
<file path=[Content_Types].xml><?xml version="1.0" encoding="utf-8"?>
<Types xmlns="http://schemas.openxmlformats.org/package/2006/content-types">
  <Default Extension="jpeg" ContentType="image/jpeg"/>
  <Default Extension="rels" ContentType="application/vnd.openxmlformats-package.relationships+xml"/>
  <Default Extension="png" ContentType="image/png"/>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60" w:lineRule="auto"/>
        <w:ind w:firstLineChars="0" w:firstLine="0"/>
      </w:pPr>
      <w:r>
        <w:rPr>
          <w:rFonts w:ascii="Times New Roman" w:hAnsi="Times New Roman" w:eastAsia="宋体"/>
          <w:b w:val="0"/>
          <w:sz w:val="24"/>
        </w:rPr>
      </w:r>
    </w:p>
    <w:p>
      <w:pPr>
        <w:spacing w:after="0" w:before="0" w:line="360" w:lineRule="auto"/>
        <w:ind w:firstLineChars="0" w:firstLine="0"/>
      </w:pPr>
      <w:r>
        <w:rPr>
          <w:rFonts w:ascii="Times New Roman" w:hAnsi="Times New Roman" w:eastAsia="宋体"/>
          <w:b w:val="0"/>
          <w:sz w:val="24"/>
        </w:rPr>
      </w:r>
    </w:p>
    <w:p>
      <w:pPr>
        <w:spacing w:after="0" w:before="0" w:line="360" w:lineRule="auto"/>
        <w:ind w:firstLineChars="0" w:firstLine="0"/>
      </w:pPr>
      <w:r>
        <w:rPr>
          <w:rFonts w:ascii="Times New Roman" w:hAnsi="Times New Roman" w:eastAsia="宋体"/>
          <w:b w:val="0"/>
          <w:sz w:val="24"/>
        </w:rPr>
      </w:r>
    </w:p>
    <w:p>
      <w:pPr>
        <w:spacing w:after="120" w:before="0" w:line="240" w:lineRule="auto"/>
        <w:ind w:firstLineChars="0" w:firstLine="0"/>
        <w:jc w:val="center"/>
      </w:pPr>
      <w:r>
        <w:rPr>
          <w:rFonts w:ascii="Times New Roman" w:hAnsi="Times New Roman" w:eastAsia="黑体"/>
          <w:b w:val="0"/>
          <w:sz w:val="44"/>
        </w:rPr>
        <w:t>2026年第八届</w:t>
      </w:r>
    </w:p>
    <w:p>
      <w:pPr>
        <w:spacing w:after="120" w:before="0" w:line="240" w:lineRule="auto"/>
        <w:ind w:firstLineChars="0" w:firstLine="0"/>
        <w:jc w:val="center"/>
      </w:pPr>
      <w:r>
        <w:rPr>
          <w:rFonts w:ascii="Times New Roman" w:hAnsi="Times New Roman" w:eastAsia="黑体"/>
          <w:b/>
          <w:sz w:val="44"/>
        </w:rPr>
        <w:t>全球校园人工智能算法精英大赛</w:t>
      </w:r>
    </w:p>
    <w:p>
      <w:pPr>
        <w:spacing w:after="360" w:before="0" w:line="240" w:lineRule="auto"/>
        <w:ind w:firstLineChars="0" w:firstLine="0"/>
        <w:jc w:val="center"/>
      </w:pPr>
      <w:r>
        <w:rPr>
          <w:rFonts w:ascii="Times New Roman" w:hAnsi="Times New Roman" w:eastAsia="黑体"/>
          <w:b w:val="0"/>
          <w:sz w:val="32"/>
        </w:rPr>
        <w:t>算法创新赛（AI+学科交叉）</w:t>
      </w:r>
    </w:p>
    <w:p>
      <w:pPr>
        <w:spacing w:after="600" w:before="0" w:line="240" w:lineRule="auto"/>
        <w:ind w:firstLineChars="0" w:firstLine="0"/>
        <w:jc w:val="center"/>
      </w:pPr>
      <w:r>
        <w:rPr>
          <w:rFonts w:ascii="Times New Roman" w:hAnsi="Times New Roman" w:eastAsia="黑体"/>
          <w:b/>
          <w:sz w:val="52"/>
        </w:rPr>
        <w:t>技术报告</w:t>
      </w:r>
    </w:p>
    <w:p>
      <w:pPr>
        <w:spacing w:after="0" w:before="0" w:line="360" w:lineRule="auto"/>
        <w:ind w:firstLineChars="0" w:firstLine="0"/>
      </w:pPr>
      <w:r>
        <w:rPr>
          <w:rFonts w:ascii="Times New Roman" w:hAnsi="Times New Roman" w:eastAsia="宋体"/>
          <w:b w:val="0"/>
          <w:sz w:val="24"/>
        </w:rPr>
      </w:r>
    </w:p>
    <w:p>
      <w:pPr>
        <w:spacing w:after="0" w:before="0" w:line="360" w:lineRule="auto"/>
        <w:ind w:firstLineChars="0" w:firstLine="0"/>
      </w:pPr>
      <w:r>
        <w:rPr>
          <w:rFonts w:ascii="Times New Roman" w:hAnsi="Times New Roman" w:eastAsia="宋体"/>
          <w:b w:val="0"/>
          <w:sz w:val="24"/>
        </w:rPr>
      </w:r>
    </w:p>
    <w:p>
      <w:pPr>
        <w:spacing w:after="160" w:before="0" w:line="240" w:lineRule="auto"/>
        <w:ind w:firstLineChars="0" w:firstLine="0"/>
        <w:jc w:val="center"/>
      </w:pPr>
      <w:r>
        <w:rPr>
          <w:rFonts w:ascii="Times New Roman" w:hAnsi="Times New Roman" w:eastAsia="宋体"/>
          <w:b w:val="0"/>
          <w:sz w:val="28"/>
        </w:rPr>
        <w:t xml:space="preserve">参赛人：沈轩昊</w:t>
      </w:r>
    </w:p>
    <w:p>
      <w:pPr>
        <w:spacing w:after="160" w:before="0" w:line="240" w:lineRule="auto"/>
        <w:ind w:firstLineChars="0" w:firstLine="0"/>
        <w:jc w:val="center"/>
      </w:pPr>
      <w:r>
        <w:rPr>
          <w:rFonts w:ascii="Times New Roman" w:hAnsi="Times New Roman" w:eastAsia="宋体"/>
          <w:b w:val="0"/>
          <w:sz w:val="28"/>
        </w:rPr>
        <w:t xml:space="preserve">参赛形式：个人参赛（独立完成）</w:t>
      </w:r>
    </w:p>
    <w:p>
      <w:pPr>
        <w:spacing w:after="160" w:before="0" w:line="240" w:lineRule="auto"/>
        <w:ind w:firstLineChars="0" w:firstLine="0"/>
        <w:jc w:val="center"/>
      </w:pPr>
      <w:r>
        <w:rPr>
          <w:rFonts w:ascii="Times New Roman" w:hAnsi="Times New Roman" w:eastAsia="宋体"/>
          <w:b w:val="0"/>
          <w:sz w:val="28"/>
        </w:rPr>
        <w:t>作品名称：SDN异常流量检测：可复现开源工程</w:t>
      </w:r>
    </w:p>
    <w:p>
      <w:pPr>
        <w:spacing w:after="160" w:before="0" w:line="240" w:lineRule="auto"/>
        <w:ind w:firstLineChars="0" w:firstLine="0"/>
        <w:jc w:val="center"/>
      </w:pPr>
      <w:r>
        <w:rPr>
          <w:rFonts w:ascii="Times New Roman" w:hAnsi="Times New Roman" w:eastAsia="宋体"/>
          <w:b w:val="0"/>
          <w:sz w:val="28"/>
        </w:rPr>
        <w:t>日期：2026年10月14日</w:t>
      </w:r>
    </w:p>
    <w:p>
      <w:pPr>
        <w:p>
          <w:pPr>
            <w:jc w:val="center"/>
            <w:spacing w:before="120" w:after="40"/>
          </w:pPr>
          <w:r>
            <w:drawing>
              <wp:inline distT="0" distB="0" distL="0" distR="0">
                <wp:extent cx="5220000" cy="3276236"/>
                <wp:docPr id="1002" name="image1.png"/>
                <a:graphic xmlns:a="http://schemas.openxmlformats.org/drawingml/2006/main">
                  <a:graphicData uri="http://schemas.openxmlformats.org/drawingml/2006/picture">
                    <pic:pic xmlns:pic="http://schemas.openxmlformats.org/drawingml/2006/picture">
                      <pic:nvPicPr>
                        <pic:cNvPr id="1002" name="image1.png"/>
                        <pic:cNvPicPr/>
                      </pic:nvPicPr>
                      <pic:blipFill>
                        <a:blip r:embed="rId11"/>
                        <a:stretch>
                          <a:fillRect/>
                        </a:stretch>
                      </pic:blipFill>
                      <pic:spPr>
                        <a:xfrm>
                          <a:off x="0" y="0"/>
                          <a:ext cx="5220000" cy="3276236"/>
                        </a:xfrm>
                        <a:prstGeom prst="rect">
                          <a:avLst/>
                        </a:prstGeom>
                      </pic:spPr>
                    </pic:pic>
                  </a:graphicData>
                </a:graphic>
              </wp:inline>
            </w:drawing>
          </w:r>
        </w:p>
        <w:p>
          <w:pPr>
            <w:jc w:val="center"/>
            <w:spacing w:after="40"/>
          </w:pPr>
          <w:r>
            <w:rPr>
              <w:b/>
              <w:sz w:val="19"/>
            </w:rPr>
            <w:t xml:space="preserve">图13-1  系统四层架构与七环节闭环</w:t>
          </w:r>
        </w:p>
        <w:p>
          <w:pPr>
            <w:jc w:val="center"/>
            <w:spacing w:after="200"/>
          </w:pPr>
          <w:r>
            <w:rPr>
              <w:sz w:val="18"/>
              <w:color w:val="595959"/>
            </w:rPr>
            <w:t xml:space="preserve">数据层 / 算法层 / 平台服务层 / 应用交互层，以及“采集→判定→分级→确认→处置→留痕→复盘回流”的闭环。</w:t>
          </w:r>
        </w:p>
        <w:p>
          <w:pPr>
            <w:jc w:val="center"/>
            <w:spacing w:before="120" w:after="40"/>
          </w:pPr>
          <w:r>
            <w:drawing>
              <wp:inline distT="0" distB="0" distL="0" distR="0">
                <wp:extent cx="5220000" cy="2579706"/>
                <wp:docPr id="1003" name="image2.png"/>
                <a:graphic xmlns:a="http://schemas.openxmlformats.org/drawingml/2006/main">
                  <a:graphicData uri="http://schemas.openxmlformats.org/drawingml/2006/picture">
                    <pic:pic xmlns:pic="http://schemas.openxmlformats.org/drawingml/2006/picture">
                      <pic:nvPicPr>
                        <pic:cNvPr id="1003" name="image2.png"/>
                        <pic:cNvPicPr/>
                      </pic:nvPicPr>
                      <pic:blipFill>
                        <a:blip r:embed="rId12"/>
                        <a:stretch>
                          <a:fillRect/>
                        </a:stretch>
                      </pic:blipFill>
                      <pic:spPr>
                        <a:xfrm>
                          <a:off x="0" y="0"/>
                          <a:ext cx="5220000" cy="2579706"/>
                        </a:xfrm>
                        <a:prstGeom prst="rect">
                          <a:avLst/>
                        </a:prstGeom>
                      </pic:spPr>
                    </pic:pic>
                  </a:graphicData>
                </a:graphic>
              </wp:inline>
            </w:drawing>
          </w:r>
        </w:p>
        <w:p>
          <w:pPr>
            <w:jc w:val="center"/>
            <w:spacing w:after="40"/>
          </w:pPr>
          <w:r>
            <w:rPr>
              <w:b/>
              <w:sz w:val="19"/>
            </w:rPr>
            <w:t xml:space="preserve">图13-2  检测—处置—复盘作业流程</w:t>
          </w:r>
        </w:p>
        <w:p>
          <w:pPr>
            <w:jc w:val="center"/>
            <w:spacing w:after="200"/>
          </w:pPr>
          <w:r>
            <w:rPr>
              <w:sz w:val="18"/>
              <w:color w:val="595959"/>
            </w:rPr>
            <w:t xml:space="preserve">含下发后的回读校验、失败回滚，以及未知形态“观察池→待研判→结论回流→增量重训”的出口。</w:t>
          </w:r>
        </w:p>
        <w:p>
          <w:pPr>
            <w:jc w:val="center"/>
            <w:spacing w:before="120" w:after="40"/>
          </w:pPr>
          <w:r>
            <w:drawing>
              <wp:inline distT="0" distB="0" distL="0" distR="0">
                <wp:extent cx="5220000" cy="2725539"/>
                <wp:docPr id="1004" name="image3.png"/>
                <a:graphic xmlns:a="http://schemas.openxmlformats.org/drawingml/2006/main">
                  <a:graphicData uri="http://schemas.openxmlformats.org/drawingml/2006/picture">
                    <pic:pic xmlns:pic="http://schemas.openxmlformats.org/drawingml/2006/picture">
                      <pic:nvPicPr>
                        <pic:cNvPr id="1004" name="image3.png"/>
                        <pic:cNvPicPr/>
                      </pic:nvPicPr>
                      <pic:blipFill>
                        <a:blip r:embed="rId13"/>
                        <a:stretch>
                          <a:fillRect/>
                        </a:stretch>
                      </pic:blipFill>
                      <pic:spPr>
                        <a:xfrm>
                          <a:off x="0" y="0"/>
                          <a:ext cx="5220000" cy="2725539"/>
                        </a:xfrm>
                        <a:prstGeom prst="rect">
                          <a:avLst/>
                        </a:prstGeom>
                      </pic:spPr>
                    </pic:pic>
                  </a:graphicData>
                </a:graphic>
              </wp:inline>
            </w:drawing>
          </w:r>
        </w:p>
        <w:p>
          <w:pPr>
            <w:jc w:val="center"/>
            <w:spacing w:after="40"/>
          </w:pPr>
          <w:r>
            <w:rPr>
              <w:b/>
              <w:sz w:val="19"/>
            </w:rPr>
            <w:t xml:space="preserve">图13-3  一页纸结论（关键数字与证据链）</w:t>
          </w:r>
        </w:p>
        <w:p>
          <w:pPr>
            <w:jc w:val="center"/>
            <w:spacing w:after="200"/>
          </w:pPr>
          <w:r>
            <w:rPr>
              <w:sz w:val="18"/>
              <w:color w:val="595959"/>
            </w:rPr>
            <w:t xml:space="preserve">由 tools/make_onepager.py 生成，图上数字全部取自磁盘产物。</w:t>
          </w:r>
        </w:p>
        <w:p>
          <w:pPr>
            <w:jc w:val="center"/>
            <w:spacing w:before="120" w:after="40"/>
          </w:pPr>
          <w:r>
            <w:drawing>
              <wp:inline distT="0" distB="0" distL="0" distR="0">
                <wp:extent cx="5220000" cy="2073939"/>
                <wp:docPr id="1005" name="image4.png"/>
                <a:graphic xmlns:a="http://schemas.openxmlformats.org/drawingml/2006/main">
                  <a:graphicData uri="http://schemas.openxmlformats.org/drawingml/2006/picture">
                    <pic:pic xmlns:pic="http://schemas.openxmlformats.org/drawingml/2006/picture">
                      <pic:nvPicPr>
                        <pic:cNvPr id="1005" name="image4.png"/>
                        <pic:cNvPicPr/>
                      </pic:nvPicPr>
                      <pic:blipFill>
                        <a:blip r:embed="rId14"/>
                        <a:stretch>
                          <a:fillRect/>
                        </a:stretch>
                      </pic:blipFill>
                      <pic:spPr>
                        <a:xfrm>
                          <a:off x="0" y="0"/>
                          <a:ext cx="5220000" cy="2073939"/>
                        </a:xfrm>
                        <a:prstGeom prst="rect">
                          <a:avLst/>
                        </a:prstGeom>
                      </pic:spPr>
                    </pic:pic>
                  </a:graphicData>
                </a:graphic>
              </wp:inline>
            </w:drawing>
          </w:r>
        </w:p>
        <w:p>
          <w:pPr>
            <w:jc w:val="center"/>
            <w:spacing w:after="40"/>
          </w:pPr>
          <w:r>
            <w:rPr>
              <w:b/>
              <w:sz w:val="19"/>
            </w:rPr>
            <w:t xml:space="preserve">图13-4  主模型混淆矩阵（8 类，seed 0）</w:t>
          </w:r>
        </w:p>
        <w:p>
          <w:pPr>
            <w:jc w:val="center"/>
            <w:spacing w:after="200"/>
          </w:pPr>
          <w:r>
            <w:rPr>
              <w:sz w:val="18"/>
              <w:color w:val="595959"/>
            </w:rPr>
            <w:t xml:space="preserve">对应表8-2 的宏平均 F1 0.9940；逐类识别率见 results/per_class_online.md。</w:t>
          </w:r>
        </w:p>
        <w:p>
          <w:pPr>
            <w:jc w:val="center"/>
            <w:spacing w:before="120" w:after="40"/>
          </w:pPr>
          <w:r>
            <w:drawing>
              <wp:inline distT="0" distB="0" distL="0" distR="0">
                <wp:extent cx="5220000" cy="1984540"/>
                <wp:docPr id="1006" name="image5.png"/>
                <a:graphic xmlns:a="http://schemas.openxmlformats.org/drawingml/2006/main">
                  <a:graphicData uri="http://schemas.openxmlformats.org/drawingml/2006/picture">
                    <pic:pic xmlns:pic="http://schemas.openxmlformats.org/drawingml/2006/picture">
                      <pic:nvPicPr>
                        <pic:cNvPr id="1006" name="image5.png"/>
                        <pic:cNvPicPr/>
                      </pic:nvPicPr>
                      <pic:blipFill>
                        <a:blip r:embed="rId15"/>
                        <a:stretch>
                          <a:fillRect/>
                        </a:stretch>
                      </pic:blipFill>
                      <pic:spPr>
                        <a:xfrm>
                          <a:off x="0" y="0"/>
                          <a:ext cx="5220000" cy="1984540"/>
                        </a:xfrm>
                        <a:prstGeom prst="rect">
                          <a:avLst/>
                        </a:prstGeom>
                      </pic:spPr>
                    </pic:pic>
                  </a:graphicData>
                </a:graphic>
              </wp:inline>
            </w:drawing>
          </w:r>
        </w:p>
        <w:p>
          <w:pPr>
            <w:jc w:val="center"/>
            <w:spacing w:after="40"/>
          </w:pPr>
          <w:r>
            <w:rPr>
              <w:b/>
              <w:sz w:val="19"/>
            </w:rPr>
            <w:t xml:space="preserve">图13-5  多分类 ROC / PR 曲线</w:t>
          </w:r>
        </w:p>
        <w:p>
          <w:pPr>
            <w:jc w:val="center"/>
            <w:spacing w:after="200"/>
          </w:pPr>
          <w:r>
            <w:rPr>
              <w:sz w:val="18"/>
              <w:color w:val="595959"/>
            </w:rPr>
            <w:t xml:space="preserve">同一工作点下的类间可分性；用于说明“准确率”之外的口径。</w:t>
          </w:r>
        </w:p>
        <w:p>
          <w:pPr>
            <w:jc w:val="center"/>
            <w:spacing w:before="120" w:after="40"/>
          </w:pPr>
          <w:r>
            <w:drawing>
              <wp:inline distT="0" distB="0" distL="0" distR="0">
                <wp:extent cx="5220000" cy="2938715"/>
                <wp:docPr id="1007" name="image6.png"/>
                <a:graphic xmlns:a="http://schemas.openxmlformats.org/drawingml/2006/main">
                  <a:graphicData uri="http://schemas.openxmlformats.org/drawingml/2006/picture">
                    <pic:pic xmlns:pic="http://schemas.openxmlformats.org/drawingml/2006/picture">
                      <pic:nvPicPr>
                        <pic:cNvPr id="1007" name="image6.png"/>
                        <pic:cNvPicPr/>
                      </pic:nvPicPr>
                      <pic:blipFill>
                        <a:blip r:embed="rId16"/>
                        <a:stretch>
                          <a:fillRect/>
                        </a:stretch>
                      </pic:blipFill>
                      <pic:spPr>
                        <a:xfrm>
                          <a:off x="0" y="0"/>
                          <a:ext cx="5220000" cy="2938715"/>
                        </a:xfrm>
                        <a:prstGeom prst="rect">
                          <a:avLst/>
                        </a:prstGeom>
                      </pic:spPr>
                    </pic:pic>
                  </a:graphicData>
                </a:graphic>
              </wp:inline>
            </w:drawing>
          </w:r>
        </w:p>
        <w:p>
          <w:pPr>
            <w:jc w:val="center"/>
            <w:spacing w:after="40"/>
          </w:pPr>
          <w:r>
            <w:rPr>
              <w:b/>
              <w:sz w:val="19"/>
            </w:rPr>
            <w:t xml:space="preserve">图13-6  在线告警时间线（片段召回与检测时延）</w:t>
          </w:r>
        </w:p>
        <w:p>
          <w:pPr>
            <w:jc w:val="center"/>
            <w:spacing w:after="200"/>
          </w:pPr>
          <w:r>
            <w:rPr>
              <w:sz w:val="18"/>
              <w:color w:val="595959"/>
            </w:rPr>
            <w:t xml:space="preserve">告警级口径：连续确认下的片段召回与每段检测时延，对应表8-2 的片段召回 100%。</w:t>
          </w:r>
        </w:p>
        <w:p>
          <w:pPr>
            <w:jc w:val="center"/>
            <w:spacing w:before="120" w:after="40"/>
          </w:pPr>
          <w:r>
            <w:drawing>
              <wp:inline distT="0" distB="0" distL="0" distR="0">
                <wp:extent cx="5220000" cy="1958298"/>
                <wp:docPr id="1008" name="image7.png"/>
                <a:graphic xmlns:a="http://schemas.openxmlformats.org/drawingml/2006/main">
                  <a:graphicData uri="http://schemas.openxmlformats.org/drawingml/2006/picture">
                    <pic:pic xmlns:pic="http://schemas.openxmlformats.org/drawingml/2006/picture">
                      <pic:nvPicPr>
                        <pic:cNvPr id="1008" name="image7.png"/>
                        <pic:cNvPicPr/>
                      </pic:nvPicPr>
                      <pic:blipFill>
                        <a:blip r:embed="rId17"/>
                        <a:stretch>
                          <a:fillRect/>
                        </a:stretch>
                      </pic:blipFill>
                      <pic:spPr>
                        <a:xfrm>
                          <a:off x="0" y="0"/>
                          <a:ext cx="5220000" cy="1958298"/>
                        </a:xfrm>
                        <a:prstGeom prst="rect">
                          <a:avLst/>
                        </a:prstGeom>
                      </pic:spPr>
                    </pic:pic>
                  </a:graphicData>
                </a:graphic>
              </wp:inline>
            </w:drawing>
          </w:r>
        </w:p>
        <w:p>
          <w:pPr>
            <w:jc w:val="center"/>
            <w:spacing w:after="40"/>
          </w:pPr>
          <w:r>
            <w:rPr>
              <w:b/>
              <w:sz w:val="19"/>
            </w:rPr>
            <w:t xml:space="preserve">图13-7  误报 → 人工排查工时换算</w:t>
          </w:r>
        </w:p>
        <w:p>
          <w:pPr>
            <w:jc w:val="center"/>
            <w:spacing w:after="200"/>
          </w:pPr>
          <w:r>
            <w:rPr>
              <w:sz w:val="18"/>
              <w:color w:val="595959"/>
            </w:rPr>
            <w:t xml:space="preserve">把每小时误报折算为每天工时，对应表8-3（22.54 h/天 → 3.58 h/天）。</w:t>
          </w:r>
        </w:p>
        <w:p>
          <w:pPr>
            <w:jc w:val="center"/>
            <w:spacing w:before="120" w:after="40"/>
          </w:pPr>
          <w:r>
            <w:drawing>
              <wp:inline distT="0" distB="0" distL="0" distR="0">
                <wp:extent cx="5220000" cy="1954520"/>
                <wp:docPr id="1009" name="image8.png"/>
                <a:graphic xmlns:a="http://schemas.openxmlformats.org/drawingml/2006/main">
                  <a:graphicData uri="http://schemas.openxmlformats.org/drawingml/2006/picture">
                    <pic:pic xmlns:pic="http://schemas.openxmlformats.org/drawingml/2006/picture">
                      <pic:nvPicPr>
                        <pic:cNvPr id="1009" name="image8.png"/>
                        <pic:cNvPicPr/>
                      </pic:nvPicPr>
                      <pic:blipFill>
                        <a:blip r:embed="rId18"/>
                        <a:stretch>
                          <a:fillRect/>
                        </a:stretch>
                      </pic:blipFill>
                      <pic:spPr>
                        <a:xfrm>
                          <a:off x="0" y="0"/>
                          <a:ext cx="5220000" cy="1954520"/>
                        </a:xfrm>
                        <a:prstGeom prst="rect">
                          <a:avLst/>
                        </a:prstGeom>
                      </pic:spPr>
                    </pic:pic>
                  </a:graphicData>
                </a:graphic>
              </wp:inline>
            </w:drawing>
          </w:r>
        </w:p>
        <w:p>
          <w:pPr>
            <w:jc w:val="center"/>
            <w:spacing w:after="40"/>
          </w:pPr>
          <w:r>
            <w:rPr>
              <w:b/>
              <w:sz w:val="19"/>
            </w:rPr>
            <w:t xml:space="preserve">图13-8  窗口长度消融（部署级结论）</w:t>
          </w:r>
        </w:p>
        <w:p>
          <w:pPr>
            <w:jc w:val="center"/>
            <w:spacing w:after="200"/>
          </w:pPr>
          <w:r>
            <w:rPr>
              <w:sz w:val="18"/>
              <w:color w:val="595959"/>
            </w:rPr>
            <w:t xml:space="preserve">T=16 → 32：误报由 28.31 次/小时降至 0.11 次/小时，代价是约 26 ms 额外时延。</w:t>
          </w:r>
        </w:p>
        <w:p>
          <w:pPr>
            <w:jc w:val="center"/>
            <w:spacing w:before="120" w:after="40"/>
          </w:pPr>
          <w:r>
            <w:drawing>
              <wp:inline distT="0" distB="0" distL="0" distR="0">
                <wp:extent cx="5220000" cy="1821424"/>
                <wp:docPr id="1010" name="image9.png"/>
                <a:graphic xmlns:a="http://schemas.openxmlformats.org/drawingml/2006/main">
                  <a:graphicData uri="http://schemas.openxmlformats.org/drawingml/2006/picture">
                    <pic:pic xmlns:pic="http://schemas.openxmlformats.org/drawingml/2006/picture">
                      <pic:nvPicPr>
                        <pic:cNvPr id="1010" name="image9.png"/>
                        <pic:cNvPicPr/>
                      </pic:nvPicPr>
                      <pic:blipFill>
                        <a:blip r:embed="rId19"/>
                        <a:stretch>
                          <a:fillRect/>
                        </a:stretch>
                      </pic:blipFill>
                      <pic:spPr>
                        <a:xfrm>
                          <a:off x="0" y="0"/>
                          <a:ext cx="5220000" cy="1821424"/>
                        </a:xfrm>
                        <a:prstGeom prst="rect">
                          <a:avLst/>
                        </a:prstGeom>
                      </pic:spPr>
                    </pic:pic>
                  </a:graphicData>
                </a:graphic>
              </wp:inline>
            </w:drawing>
          </w:r>
        </w:p>
        <w:p>
          <w:pPr>
            <w:jc w:val="center"/>
            <w:spacing w:after="40"/>
          </w:pPr>
          <w:r>
            <w:rPr>
              <w:b/>
              <w:sz w:val="19"/>
            </w:rPr>
            <w:t xml:space="preserve">图13-9  对抗鲁棒性与缓解效果</w:t>
          </w:r>
        </w:p>
        <w:p>
          <w:pPr>
            <w:jc w:val="center"/>
            <w:spacing w:after="200"/>
          </w:pPr>
          <w:r>
            <w:rPr>
              <w:sz w:val="18"/>
              <w:color w:val="595959"/>
            </w:rPr>
            <w:t xml:space="preserve">白盒 L∞ 定向扰动使逃逸率升至 73%；对抗训练收益 +0.1237、干净精度代价 −0.0069。</w:t>
          </w:r>
        </w:p>
        <w:p>
          <w:pPr>
            <w:jc w:val="center"/>
            <w:spacing w:before="120" w:after="40"/>
          </w:pPr>
          <w:r>
            <w:drawing>
              <wp:inline distT="0" distB="0" distL="0" distR="0">
                <wp:extent cx="5220000" cy="3262500"/>
                <wp:docPr id="1011" name="image10.png"/>
                <a:graphic xmlns:a="http://schemas.openxmlformats.org/drawingml/2006/main">
                  <a:graphicData uri="http://schemas.openxmlformats.org/drawingml/2006/picture">
                    <pic:pic xmlns:pic="http://schemas.openxmlformats.org/drawingml/2006/picture">
                      <pic:nvPicPr>
                        <pic:cNvPr id="1011" name="image10.png"/>
                        <pic:cNvPicPr/>
                      </pic:nvPicPr>
                      <pic:blipFill>
                        <a:blip r:embed="rId20"/>
                        <a:stretch>
                          <a:fillRect/>
                        </a:stretch>
                      </pic:blipFill>
                      <pic:spPr>
                        <a:xfrm>
                          <a:off x="0" y="0"/>
                          <a:ext cx="5220000" cy="3262500"/>
                        </a:xfrm>
                        <a:prstGeom prst="rect">
                          <a:avLst/>
                        </a:prstGeom>
                      </pic:spPr>
                    </pic:pic>
                  </a:graphicData>
                </a:graphic>
              </wp:inline>
            </w:drawing>
          </w:r>
        </w:p>
        <w:p>
          <w:pPr>
            <w:jc w:val="center"/>
            <w:spacing w:after="40"/>
          </w:pPr>
          <w:r>
            <w:rPr>
              <w:b/>
              <w:sz w:val="19"/>
            </w:rPr>
            <w:t xml:space="preserve">图13-10  演示大屏：攻击告警实时态势</w:t>
          </w:r>
        </w:p>
        <w:p>
          <w:pPr>
            <w:jc w:val="center"/>
            <w:spacing w:after="200"/>
          </w:pPr>
          <w:r>
            <w:rPr>
              <w:sz w:val="18"/>
              <w:color w:val="595959"/>
            </w:rPr>
            <w:t xml:space="preserve">离线可用的大屏（端口 5070）：实时曲线、处置控制台、审计台账与服务状态条。</w:t>
          </w:r>
        </w:p>
        <w:p>
          <w:pPr>
            <w:jc w:val="center"/>
            <w:spacing w:before="120" w:after="40"/>
          </w:pPr>
          <w:r>
            <w:drawing>
              <wp:inline distT="0" distB="0" distL="0" distR="0">
                <wp:extent cx="5220000" cy="3262500"/>
                <wp:docPr id="1012" name="image11.png"/>
                <a:graphic xmlns:a="http://schemas.openxmlformats.org/drawingml/2006/main">
                  <a:graphicData uri="http://schemas.openxmlformats.org/drawingml/2006/picture">
                    <pic:pic xmlns:pic="http://schemas.openxmlformats.org/drawingml/2006/picture">
                      <pic:nvPicPr>
                        <pic:cNvPr id="1012" name="image11.png"/>
                        <pic:cNvPicPr/>
                      </pic:nvPicPr>
                      <pic:blipFill>
                        <a:blip r:embed="rId21"/>
                        <a:stretch>
                          <a:fillRect/>
                        </a:stretch>
                      </pic:blipFill>
                      <pic:spPr>
                        <a:xfrm>
                          <a:off x="0" y="0"/>
                          <a:ext cx="5220000" cy="3262500"/>
                        </a:xfrm>
                        <a:prstGeom prst="rect">
                          <a:avLst/>
                        </a:prstGeom>
                      </pic:spPr>
                    </pic:pic>
                  </a:graphicData>
                </a:graphic>
              </wp:inline>
            </w:drawing>
          </w:r>
        </w:p>
        <w:p>
          <w:pPr>
            <w:jc w:val="center"/>
            <w:spacing w:after="40"/>
          </w:pPr>
          <w:r>
            <w:rPr>
              <w:b/>
              <w:sz w:val="19"/>
            </w:rPr>
            <w:t xml:space="preserve">图13-11  复核台：待研判队列与观察池</w:t>
          </w:r>
        </w:p>
        <w:p>
          <w:pPr>
            <w:jc w:val="center"/>
            <w:spacing w:after="200"/>
          </w:pPr>
          <w:r>
            <w:rPr>
              <w:sz w:val="18"/>
              <w:color w:val="595959"/>
            </w:rPr>
            <w:t xml:space="preserve">值班员对未知告警一键给结论（确认攻击 / 判为正常），结论按 review_id 回流为训练样本。</w:t>
          </w:r>
        </w:p>
        <w:p>
          <w:pPr>
            <w:jc w:val="center"/>
            <w:spacing w:before="120" w:after="40"/>
          </w:pPr>
          <w:r>
            <w:drawing>
              <wp:inline distT="0" distB="0" distL="0" distR="0">
                <wp:extent cx="5220000" cy="10798875"/>
                <wp:docPr id="1013" name="image12.png"/>
                <a:graphic xmlns:a="http://schemas.openxmlformats.org/drawingml/2006/main">
                  <a:graphicData uri="http://schemas.openxmlformats.org/drawingml/2006/picture">
                    <pic:pic xmlns:pic="http://schemas.openxmlformats.org/drawingml/2006/picture">
                      <pic:nvPicPr>
                        <pic:cNvPr id="1013" name="image12.png"/>
                        <pic:cNvPicPr/>
                      </pic:nvPicPr>
                      <pic:blipFill>
                        <a:blip r:embed="rId22"/>
                        <a:stretch>
                          <a:fillRect/>
                        </a:stretch>
                      </pic:blipFill>
                      <pic:spPr>
                        <a:xfrm>
                          <a:off x="0" y="0"/>
                          <a:ext cx="5220000" cy="10798875"/>
                        </a:xfrm>
                        <a:prstGeom prst="rect">
                          <a:avLst/>
                        </a:prstGeom>
                      </pic:spPr>
                    </pic:pic>
                  </a:graphicData>
                </a:graphic>
              </wp:inline>
            </w:drawing>
          </w:r>
        </w:p>
        <w:p>
          <w:pPr>
            <w:jc w:val="center"/>
            <w:spacing w:after="40"/>
          </w:pPr>
          <w:r>
            <w:rPr>
              <w:b/>
              <w:sz w:val="19"/>
            </w:rPr>
            <w:t xml:space="preserve">图13-12  评审视图（工作点与可验证性）</w:t>
          </w:r>
        </w:p>
        <w:p>
          <w:pPr>
            <w:jc w:val="center"/>
            <w:spacing w:after="200"/>
          </w:pPr>
          <w:r>
            <w:rPr>
              <w:sz w:val="18"/>
              <w:color w:val="595959"/>
            </w:rPr>
            <w:t xml:space="preserve">一屏给出工作点选择器、对照实验记录与可验证性面板，数字读自 /api/judge 的真实产物。</w:t>
          </w:r>
        </w:p>
        <w:sectPr>
          <w:pgSz w:w="11906" w:h="16838"/>
          <w:pgMar w:top="1417" w:right="1417" w:bottom="1417" w:left="1417" w:header="720" w:footer="720" w:gutter="0"/>
          <w:cols w:space="720"/>
          <w:docGrid w:linePitch="360"/>
        </w:sectPr>
      </w:pPr>
    </w:p>
    <w:p>
      <w:pPr>
        <w:spacing w:after="240" w:before="0" w:line="240" w:lineRule="auto"/>
        <w:ind w:firstLineChars="0" w:firstLine="0"/>
        <w:jc w:val="center"/>
      </w:pPr>
      <w:r>
        <w:rPr>
          <w:rFonts w:ascii="Times New Roman" w:hAnsi="Times New Roman" w:eastAsia="黑体"/>
          <w:b/>
          <w:sz w:val="32"/>
        </w:rPr>
        <w:t>目  录</w:t>
      </w:r>
    </w:p>
    <w:p>
      <w:pPr>
        <w:ind w:left="0" w:firstLineChars="0" w:firstLine="0"/>
        <w:tabs>
          <w:tab w:val="right" w:leader="dot" w:pos="8510"/>
        </w:tabs>
        <w:spacing w:line="240" w:lineRule="auto"/>
      </w:pPr>
      <w:r>
        <w:rPr>
          <w:rFonts w:ascii="Times New Roman" w:hAnsi="Times New Roman" w:eastAsia="宋体"/>
          <w:sz w:val="24"/>
        </w:rPr>
        <w:t xml:space="preserve">1  引言</w:t>
      </w:r>
      <w:r>
        <w:rPr>
          <w:rFonts w:ascii="Times New Roman" w:hAnsi="Times New Roman" w:eastAsia="宋体"/>
          <w:sz w:val="24"/>
        </w:rPr>
        <w:tab w:val="right"/>
      </w:r>
      <w:r>
        <w:rPr>
          <w:rFonts w:ascii="Times New Roman" w:hAnsi="Times New Roman" w:eastAsia="宋体"/>
          <w:sz w:val="24"/>
        </w:rPr>
        <w:fldChar w:fldCharType="begin"/>
        <w:instrText xml:space="preserve"> PAGEREF _Toc1001 \h </w:instrText>
        <w:fldChar w:fldCharType="separate"/>
        <w:t>0</w:t>
        <w:fldChar w:fldCharType="end"/>
      </w:r>
    </w:p>
    <w:p>
      <w:pPr>
        <w:ind w:left="0" w:firstLineChars="0" w:firstLine="0"/>
        <w:tabs>
          <w:tab w:val="right" w:leader="dot" w:pos="8510"/>
        </w:tabs>
        <w:spacing w:line="240" w:lineRule="auto"/>
      </w:pPr>
      <w:r>
        <w:rPr>
          <w:rFonts w:ascii="Times New Roman" w:hAnsi="Times New Roman" w:eastAsia="宋体"/>
          <w:sz w:val="24"/>
        </w:rPr>
        <w:t xml:space="preserve">2  需求分析</w:t>
      </w:r>
      <w:r>
        <w:rPr>
          <w:rFonts w:ascii="Times New Roman" w:hAnsi="Times New Roman" w:eastAsia="宋体"/>
          <w:sz w:val="24"/>
        </w:rPr>
        <w:tab w:val="right"/>
      </w:r>
      <w:r>
        <w:rPr>
          <w:rFonts w:ascii="Times New Roman" w:hAnsi="Times New Roman" w:eastAsia="宋体"/>
          <w:sz w:val="24"/>
        </w:rPr>
        <w:fldChar w:fldCharType="begin"/>
        <w:instrText xml:space="preserve"> PAGEREF _Toc1002 \h </w:instrText>
        <w:fldChar w:fldCharType="separate"/>
        <w:t>0</w:t>
        <w:fldChar w:fldCharType="end"/>
      </w:r>
    </w:p>
    <w:p>
      <w:pPr>
        <w:ind w:left="0" w:firstLineChars="0" w:firstLine="0"/>
        <w:tabs>
          <w:tab w:val="right" w:leader="dot" w:pos="8510"/>
        </w:tabs>
        <w:spacing w:line="240" w:lineRule="auto"/>
      </w:pPr>
      <w:r>
        <w:rPr>
          <w:rFonts w:ascii="Times New Roman" w:hAnsi="Times New Roman" w:eastAsia="宋体"/>
          <w:sz w:val="24"/>
        </w:rPr>
        <w:t xml:space="preserve">3  功能述论</w:t>
      </w:r>
      <w:r>
        <w:rPr>
          <w:rFonts w:ascii="Times New Roman" w:hAnsi="Times New Roman" w:eastAsia="宋体"/>
          <w:sz w:val="24"/>
        </w:rPr>
        <w:tab w:val="right"/>
      </w:r>
      <w:r>
        <w:rPr>
          <w:rFonts w:ascii="Times New Roman" w:hAnsi="Times New Roman" w:eastAsia="宋体"/>
          <w:sz w:val="24"/>
        </w:rPr>
        <w:fldChar w:fldCharType="begin"/>
        <w:instrText xml:space="preserve"> PAGEREF _Toc1003 \h </w:instrText>
        <w:fldChar w:fldCharType="separate"/>
        <w:t>0</w:t>
        <w:fldChar w:fldCharType="end"/>
      </w:r>
    </w:p>
    <w:p>
      <w:pPr>
        <w:ind w:left="0" w:firstLineChars="0" w:firstLine="0"/>
        <w:tabs>
          <w:tab w:val="right" w:leader="dot" w:pos="8510"/>
        </w:tabs>
        <w:spacing w:line="240" w:lineRule="auto"/>
      </w:pPr>
      <w:r>
        <w:rPr>
          <w:rFonts w:ascii="Times New Roman" w:hAnsi="Times New Roman" w:eastAsia="宋体"/>
          <w:sz w:val="24"/>
        </w:rPr>
        <w:t xml:space="preserve">4  理论基础与问题关联分析</w:t>
      </w:r>
      <w:r>
        <w:rPr>
          <w:rFonts w:ascii="Times New Roman" w:hAnsi="Times New Roman" w:eastAsia="宋体"/>
          <w:sz w:val="24"/>
        </w:rPr>
        <w:tab w:val="right"/>
      </w:r>
      <w:r>
        <w:rPr>
          <w:rFonts w:ascii="Times New Roman" w:hAnsi="Times New Roman" w:eastAsia="宋体"/>
          <w:sz w:val="24"/>
        </w:rPr>
        <w:fldChar w:fldCharType="begin"/>
        <w:instrText xml:space="preserve"> PAGEREF _Toc1004 \h </w:instrText>
        <w:fldChar w:fldCharType="separate"/>
        <w:t>0</w:t>
        <w:fldChar w:fldCharType="end"/>
      </w:r>
    </w:p>
    <w:p>
      <w:pPr>
        <w:ind w:left="0" w:firstLineChars="0" w:firstLine="0"/>
        <w:tabs>
          <w:tab w:val="right" w:leader="dot" w:pos="8510"/>
        </w:tabs>
        <w:spacing w:line="240" w:lineRule="auto"/>
      </w:pPr>
      <w:r>
        <w:rPr>
          <w:rFonts w:ascii="Times New Roman" w:hAnsi="Times New Roman" w:eastAsia="宋体"/>
          <w:sz w:val="24"/>
        </w:rPr>
        <w:t xml:space="preserve">5  设计流程与方法</w:t>
      </w:r>
      <w:r>
        <w:rPr>
          <w:rFonts w:ascii="Times New Roman" w:hAnsi="Times New Roman" w:eastAsia="宋体"/>
          <w:sz w:val="24"/>
        </w:rPr>
        <w:tab w:val="right"/>
      </w:r>
      <w:r>
        <w:rPr>
          <w:rFonts w:ascii="Times New Roman" w:hAnsi="Times New Roman" w:eastAsia="宋体"/>
          <w:sz w:val="24"/>
        </w:rPr>
        <w:fldChar w:fldCharType="begin"/>
        <w:instrText xml:space="preserve"> PAGEREF _Toc1005 \h </w:instrText>
        <w:fldChar w:fldCharType="separate"/>
        <w:t>0</w:t>
        <w:fldChar w:fldCharType="end"/>
      </w:r>
    </w:p>
    <w:p>
      <w:pPr>
        <w:ind w:left="0" w:firstLineChars="0" w:firstLine="0"/>
        <w:tabs>
          <w:tab w:val="right" w:leader="dot" w:pos="8510"/>
        </w:tabs>
        <w:spacing w:line="240" w:lineRule="auto"/>
      </w:pPr>
      <w:r>
        <w:rPr>
          <w:rFonts w:ascii="Times New Roman" w:hAnsi="Times New Roman" w:eastAsia="宋体"/>
          <w:sz w:val="24"/>
        </w:rPr>
        <w:t xml:space="preserve">6  系统整体框架与作业流程</w:t>
      </w:r>
      <w:r>
        <w:rPr>
          <w:rFonts w:ascii="Times New Roman" w:hAnsi="Times New Roman" w:eastAsia="宋体"/>
          <w:sz w:val="24"/>
        </w:rPr>
        <w:tab w:val="right"/>
      </w:r>
      <w:r>
        <w:rPr>
          <w:rFonts w:ascii="Times New Roman" w:hAnsi="Times New Roman" w:eastAsia="宋体"/>
          <w:sz w:val="24"/>
        </w:rPr>
        <w:fldChar w:fldCharType="begin"/>
        <w:instrText xml:space="preserve"> PAGEREF _Toc1006 \h </w:instrText>
        <w:fldChar w:fldCharType="separate"/>
        <w:t>0</w:t>
        <w:fldChar w:fldCharType="end"/>
      </w:r>
    </w:p>
    <w:p>
      <w:pPr>
        <w:ind w:left="0" w:firstLineChars="0" w:firstLine="0"/>
        <w:tabs>
          <w:tab w:val="right" w:leader="dot" w:pos="8510"/>
        </w:tabs>
        <w:spacing w:line="240" w:lineRule="auto"/>
      </w:pPr>
      <w:r>
        <w:rPr>
          <w:rFonts w:ascii="Times New Roman" w:hAnsi="Times New Roman" w:eastAsia="宋体"/>
          <w:sz w:val="24"/>
        </w:rPr>
        <w:t xml:space="preserve">7  项目实施</w:t>
      </w:r>
      <w:r>
        <w:rPr>
          <w:rFonts w:ascii="Times New Roman" w:hAnsi="Times New Roman" w:eastAsia="宋体"/>
          <w:sz w:val="24"/>
        </w:rPr>
        <w:tab w:val="right"/>
      </w:r>
      <w:r>
        <w:rPr>
          <w:rFonts w:ascii="Times New Roman" w:hAnsi="Times New Roman" w:eastAsia="宋体"/>
          <w:sz w:val="24"/>
        </w:rPr>
        <w:fldChar w:fldCharType="begin"/>
        <w:instrText xml:space="preserve"> PAGEREF _Toc1007 \h </w:instrText>
        <w:fldChar w:fldCharType="separate"/>
        <w:t>0</w:t>
        <w:fldChar w:fldCharType="end"/>
      </w:r>
    </w:p>
    <w:p>
      <w:pPr>
        <w:ind w:left="0" w:firstLineChars="0" w:firstLine="0"/>
        <w:tabs>
          <w:tab w:val="right" w:leader="dot" w:pos="8510"/>
        </w:tabs>
        <w:spacing w:line="240" w:lineRule="auto"/>
      </w:pPr>
      <w:r>
        <w:rPr>
          <w:rFonts w:ascii="Times New Roman" w:hAnsi="Times New Roman" w:eastAsia="宋体"/>
          <w:sz w:val="24"/>
        </w:rPr>
        <w:t xml:space="preserve">8  验证作业的数据</w:t>
      </w:r>
      <w:r>
        <w:rPr>
          <w:rFonts w:ascii="Times New Roman" w:hAnsi="Times New Roman" w:eastAsia="宋体"/>
          <w:sz w:val="24"/>
        </w:rPr>
        <w:tab w:val="right"/>
      </w:r>
      <w:r>
        <w:rPr>
          <w:rFonts w:ascii="Times New Roman" w:hAnsi="Times New Roman" w:eastAsia="宋体"/>
          <w:sz w:val="24"/>
        </w:rPr>
        <w:fldChar w:fldCharType="begin"/>
        <w:instrText xml:space="preserve"> PAGEREF _Toc1008 \h </w:instrText>
        <w:fldChar w:fldCharType="separate"/>
        <w:t>0</w:t>
        <w:fldChar w:fldCharType="end"/>
      </w:r>
    </w:p>
    <w:p>
      <w:pPr>
        <w:ind w:left="0" w:firstLineChars="0" w:firstLine="0"/>
        <w:tabs>
          <w:tab w:val="right" w:leader="dot" w:pos="8510"/>
        </w:tabs>
        <w:spacing w:line="240" w:lineRule="auto"/>
      </w:pPr>
      <w:r>
        <w:rPr>
          <w:rFonts w:ascii="Times New Roman" w:hAnsi="Times New Roman" w:eastAsia="宋体"/>
          <w:sz w:val="24"/>
        </w:rPr>
        <w:t xml:space="preserve">9  效果与分析</w:t>
      </w:r>
      <w:r>
        <w:rPr>
          <w:rFonts w:ascii="Times New Roman" w:hAnsi="Times New Roman" w:eastAsia="宋体"/>
          <w:sz w:val="24"/>
        </w:rPr>
        <w:tab w:val="right"/>
      </w:r>
      <w:r>
        <w:rPr>
          <w:rFonts w:ascii="Times New Roman" w:hAnsi="Times New Roman" w:eastAsia="宋体"/>
          <w:sz w:val="24"/>
        </w:rPr>
        <w:fldChar w:fldCharType="begin"/>
        <w:instrText xml:space="preserve"> PAGEREF _Toc1009 \h </w:instrText>
        <w:fldChar w:fldCharType="separate"/>
        <w:t>0</w:t>
        <w:fldChar w:fldCharType="end"/>
      </w:r>
    </w:p>
    <w:p>
      <w:pPr>
        <w:ind w:left="0" w:firstLineChars="0" w:firstLine="0"/>
        <w:tabs>
          <w:tab w:val="right" w:leader="dot" w:pos="8510"/>
        </w:tabs>
        <w:spacing w:line="240" w:lineRule="auto"/>
      </w:pPr>
      <w:r>
        <w:rPr>
          <w:rFonts w:ascii="Times New Roman" w:hAnsi="Times New Roman" w:eastAsia="宋体"/>
          <w:sz w:val="24"/>
        </w:rPr>
        <w:t xml:space="preserve">10  应用环境分析</w:t>
      </w:r>
      <w:r>
        <w:rPr>
          <w:rFonts w:ascii="Times New Roman" w:hAnsi="Times New Roman" w:eastAsia="宋体"/>
          <w:sz w:val="24"/>
        </w:rPr>
        <w:tab w:val="right"/>
      </w:r>
      <w:r>
        <w:rPr>
          <w:rFonts w:ascii="Times New Roman" w:hAnsi="Times New Roman" w:eastAsia="宋体"/>
          <w:sz w:val="24"/>
        </w:rPr>
        <w:fldChar w:fldCharType="begin"/>
        <w:instrText xml:space="preserve"> PAGEREF _Toc1010 \h </w:instrText>
        <w:fldChar w:fldCharType="separate"/>
        <w:t>0</w:t>
        <w:fldChar w:fldCharType="end"/>
      </w:r>
    </w:p>
    <w:p>
      <w:pPr>
        <w:ind w:left="0" w:firstLineChars="0" w:firstLine="0"/>
        <w:tabs>
          <w:tab w:val="right" w:leader="dot" w:pos="8510"/>
        </w:tabs>
        <w:spacing w:line="240" w:lineRule="auto"/>
      </w:pPr>
      <w:r>
        <w:rPr>
          <w:rFonts w:ascii="Times New Roman" w:hAnsi="Times New Roman" w:eastAsia="宋体"/>
          <w:sz w:val="24"/>
        </w:rPr>
        <w:t xml:space="preserve">11  问题解决程度</w:t>
      </w:r>
      <w:r>
        <w:rPr>
          <w:rFonts w:ascii="Times New Roman" w:hAnsi="Times New Roman" w:eastAsia="宋体"/>
          <w:sz w:val="24"/>
        </w:rPr>
        <w:tab w:val="right"/>
      </w:r>
      <w:r>
        <w:rPr>
          <w:rFonts w:ascii="Times New Roman" w:hAnsi="Times New Roman" w:eastAsia="宋体"/>
          <w:sz w:val="24"/>
        </w:rPr>
        <w:fldChar w:fldCharType="begin"/>
        <w:instrText xml:space="preserve"> PAGEREF _Toc1011 \h </w:instrText>
        <w:fldChar w:fldCharType="separate"/>
        <w:t>0</w:t>
        <w:fldChar w:fldCharType="end"/>
      </w:r>
    </w:p>
    <w:p>
      <w:pPr>
        <w:ind w:left="0" w:firstLineChars="0" w:firstLine="0"/>
        <w:tabs>
          <w:tab w:val="right" w:leader="dot" w:pos="8510"/>
        </w:tabs>
        <w:spacing w:line="240" w:lineRule="auto"/>
      </w:pPr>
      <w:r>
        <w:rPr>
          <w:rFonts w:ascii="Times New Roman" w:hAnsi="Times New Roman" w:eastAsia="宋体"/>
          <w:sz w:val="24"/>
        </w:rPr>
        <w:t xml:space="preserve">12  未来展望</w:t>
      </w:r>
      <w:r>
        <w:rPr>
          <w:rFonts w:ascii="Times New Roman" w:hAnsi="Times New Roman" w:eastAsia="宋体"/>
          <w:sz w:val="24"/>
        </w:rPr>
        <w:tab w:val="right"/>
      </w:r>
      <w:r>
        <w:rPr>
          <w:rFonts w:ascii="Times New Roman" w:hAnsi="Times New Roman" w:eastAsia="宋体"/>
          <w:sz w:val="24"/>
        </w:rPr>
        <w:fldChar w:fldCharType="begin"/>
        <w:instrText xml:space="preserve"> PAGEREF _Toc1012 \h </w:instrText>
        <w:fldChar w:fldCharType="separate"/>
        <w:t>0</w:t>
        <w:fldChar w:fldCharType="end"/>
      </w:r>
    </w:p>
    <w:p>
      <w:pPr>
        <w:ind w:left="0" w:firstLineChars="0" w:firstLine="0"/>
        <w:tabs>
          <w:tab w:val="right" w:leader="dot" w:pos="8510"/>
        </w:tabs>
        <w:spacing w:line="240" w:lineRule="auto"/>
      </w:pPr>
      <w:r>
        <w:rPr>
          <w:rFonts w:ascii="Times New Roman" w:hAnsi="Times New Roman" w:eastAsia="宋体"/>
          <w:sz w:val="24"/>
        </w:rPr>
        <w:t xml:space="preserve">13  附录</w:t>
      </w:r>
      <w:r>
        <w:rPr>
          <w:rFonts w:ascii="Times New Roman" w:hAnsi="Times New Roman" w:eastAsia="宋体"/>
          <w:sz w:val="24"/>
        </w:rPr>
        <w:tab w:val="right"/>
      </w:r>
      <w:r>
        <w:rPr>
          <w:rFonts w:ascii="Times New Roman" w:hAnsi="Times New Roman" w:eastAsia="宋体"/>
          <w:sz w:val="24"/>
        </w:rPr>
        <w:fldChar w:fldCharType="begin"/>
        <w:instrText xml:space="preserve"> PAGEREF _Toc1013 \h </w:instrText>
        <w:fldChar w:fldCharType="separate"/>
        <w:t>0</w:t>
        <w:fldChar w:fldCharType="end"/>
      </w:r>
    </w:p>
    <w:p>
      <w:pPr>
        <w:ind w:left="567" w:firstLineChars="0" w:firstLine="0"/>
        <w:tabs>
          <w:tab w:val="right" w:leader="dot" w:pos="8510"/>
        </w:tabs>
        <w:spacing w:line="240" w:lineRule="auto"/>
      </w:pPr>
      <w:r>
        <w:rPr>
          <w:rFonts w:ascii="Times New Roman" w:hAnsi="Times New Roman" w:eastAsia="宋体"/>
          <w:sz w:val="24"/>
        </w:rPr>
        <w:t xml:space="preserve">1.1  项目背景</w:t>
      </w:r>
      <w:r>
        <w:rPr>
          <w:rFonts w:ascii="Times New Roman" w:hAnsi="Times New Roman" w:eastAsia="宋体"/>
          <w:sz w:val="24"/>
        </w:rPr>
        <w:tab w:val="right"/>
      </w:r>
      <w:r>
        <w:rPr>
          <w:rFonts w:ascii="Times New Roman" w:hAnsi="Times New Roman" w:eastAsia="宋体"/>
          <w:sz w:val="24"/>
        </w:rPr>
        <w:fldChar w:fldCharType="begin"/>
        <w:instrText xml:space="preserve"> PAGEREF _Toc1014 \h </w:instrText>
        <w:fldChar w:fldCharType="separate"/>
        <w:t>0</w:t>
        <w:fldChar w:fldCharType="end"/>
      </w:r>
    </w:p>
    <w:p>
      <w:pPr>
        <w:ind w:left="567" w:firstLineChars="0" w:firstLine="0"/>
        <w:tabs>
          <w:tab w:val="right" w:leader="dot" w:pos="8510"/>
        </w:tabs>
        <w:spacing w:line="240" w:lineRule="auto"/>
      </w:pPr>
      <w:r>
        <w:rPr>
          <w:rFonts w:ascii="Times New Roman" w:hAnsi="Times New Roman" w:eastAsia="宋体"/>
          <w:sz w:val="24"/>
        </w:rPr>
        <w:t xml:space="preserve">1.2  系统总体构成</w:t>
      </w:r>
      <w:r>
        <w:rPr>
          <w:rFonts w:ascii="Times New Roman" w:hAnsi="Times New Roman" w:eastAsia="宋体"/>
          <w:sz w:val="24"/>
        </w:rPr>
        <w:tab w:val="right"/>
      </w:r>
      <w:r>
        <w:rPr>
          <w:rFonts w:ascii="Times New Roman" w:hAnsi="Times New Roman" w:eastAsia="宋体"/>
          <w:sz w:val="24"/>
        </w:rPr>
        <w:fldChar w:fldCharType="begin"/>
        <w:instrText xml:space="preserve"> PAGEREF _Toc1015 \h </w:instrText>
        <w:fldChar w:fldCharType="separate"/>
        <w:t>0</w:t>
        <w:fldChar w:fldCharType="end"/>
      </w:r>
    </w:p>
    <w:p>
      <w:pPr>
        <w:ind w:left="567" w:firstLineChars="0" w:firstLine="0"/>
        <w:tabs>
          <w:tab w:val="right" w:leader="dot" w:pos="8510"/>
        </w:tabs>
        <w:spacing w:line="240" w:lineRule="auto"/>
      </w:pPr>
      <w:r>
        <w:rPr>
          <w:rFonts w:ascii="Times New Roman" w:hAnsi="Times New Roman" w:eastAsia="宋体"/>
          <w:sz w:val="24"/>
        </w:rPr>
        <w:t xml:space="preserve">2.1  学科现状</w:t>
      </w:r>
      <w:r>
        <w:rPr>
          <w:rFonts w:ascii="Times New Roman" w:hAnsi="Times New Roman" w:eastAsia="宋体"/>
          <w:sz w:val="24"/>
        </w:rPr>
        <w:tab w:val="right"/>
      </w:r>
      <w:r>
        <w:rPr>
          <w:rFonts w:ascii="Times New Roman" w:hAnsi="Times New Roman" w:eastAsia="宋体"/>
          <w:sz w:val="24"/>
        </w:rPr>
        <w:fldChar w:fldCharType="begin"/>
        <w:instrText xml:space="preserve"> PAGEREF _Toc1016 \h </w:instrText>
        <w:fldChar w:fldCharType="separate"/>
        <w:t>0</w:t>
        <w:fldChar w:fldCharType="end"/>
      </w:r>
    </w:p>
    <w:p>
      <w:pPr>
        <w:ind w:left="567" w:firstLineChars="0" w:firstLine="0"/>
        <w:tabs>
          <w:tab w:val="right" w:leader="dot" w:pos="8510"/>
        </w:tabs>
        <w:spacing w:line="240" w:lineRule="auto"/>
      </w:pPr>
      <w:r>
        <w:rPr>
          <w:rFonts w:ascii="Times New Roman" w:hAnsi="Times New Roman" w:eastAsia="宋体"/>
          <w:sz w:val="24"/>
        </w:rPr>
        <w:t xml:space="preserve">2.2  用户需求</w:t>
      </w:r>
      <w:r>
        <w:rPr>
          <w:rFonts w:ascii="Times New Roman" w:hAnsi="Times New Roman" w:eastAsia="宋体"/>
          <w:sz w:val="24"/>
        </w:rPr>
        <w:tab w:val="right"/>
      </w:r>
      <w:r>
        <w:rPr>
          <w:rFonts w:ascii="Times New Roman" w:hAnsi="Times New Roman" w:eastAsia="宋体"/>
          <w:sz w:val="24"/>
        </w:rPr>
        <w:fldChar w:fldCharType="begin"/>
        <w:instrText xml:space="preserve"> PAGEREF _Toc1017 \h </w:instrText>
        <w:fldChar w:fldCharType="separate"/>
        <w:t>0</w:t>
        <w:fldChar w:fldCharType="end"/>
      </w:r>
    </w:p>
    <w:p>
      <w:pPr>
        <w:ind w:left="567" w:firstLineChars="0" w:firstLine="0"/>
        <w:tabs>
          <w:tab w:val="right" w:leader="dot" w:pos="8510"/>
        </w:tabs>
        <w:spacing w:line="240" w:lineRule="auto"/>
      </w:pPr>
      <w:r>
        <w:rPr>
          <w:rFonts w:ascii="Times New Roman" w:hAnsi="Times New Roman" w:eastAsia="宋体"/>
          <w:sz w:val="24"/>
        </w:rPr>
        <w:t xml:space="preserve">2.3  可行性分析</w:t>
      </w:r>
      <w:r>
        <w:rPr>
          <w:rFonts w:ascii="Times New Roman" w:hAnsi="Times New Roman" w:eastAsia="宋体"/>
          <w:sz w:val="24"/>
        </w:rPr>
        <w:tab w:val="right"/>
      </w:r>
      <w:r>
        <w:rPr>
          <w:rFonts w:ascii="Times New Roman" w:hAnsi="Times New Roman" w:eastAsia="宋体"/>
          <w:sz w:val="24"/>
        </w:rPr>
        <w:fldChar w:fldCharType="begin"/>
        <w:instrText xml:space="preserve"> PAGEREF _Toc1018 \h </w:instrText>
        <w:fldChar w:fldCharType="separate"/>
        <w:t>0</w:t>
        <w:fldChar w:fldCharType="end"/>
      </w:r>
    </w:p>
    <w:p>
      <w:pPr>
        <w:ind w:left="567" w:firstLineChars="0" w:firstLine="0"/>
        <w:tabs>
          <w:tab w:val="right" w:leader="dot" w:pos="8510"/>
        </w:tabs>
        <w:spacing w:line="240" w:lineRule="auto"/>
      </w:pPr>
      <w:r>
        <w:rPr>
          <w:rFonts w:ascii="Times New Roman" w:hAnsi="Times New Roman" w:eastAsia="宋体"/>
          <w:sz w:val="24"/>
        </w:rPr>
        <w:t xml:space="preserve">3.1  产品整体设计</w:t>
      </w:r>
      <w:r>
        <w:rPr>
          <w:rFonts w:ascii="Times New Roman" w:hAnsi="Times New Roman" w:eastAsia="宋体"/>
          <w:sz w:val="24"/>
        </w:rPr>
        <w:tab w:val="right"/>
      </w:r>
      <w:r>
        <w:rPr>
          <w:rFonts w:ascii="Times New Roman" w:hAnsi="Times New Roman" w:eastAsia="宋体"/>
          <w:sz w:val="24"/>
        </w:rPr>
        <w:fldChar w:fldCharType="begin"/>
        <w:instrText xml:space="preserve"> PAGEREF _Toc1019 \h </w:instrText>
        <w:fldChar w:fldCharType="separate"/>
        <w:t>0</w:t>
        <w:fldChar w:fldCharType="end"/>
      </w:r>
    </w:p>
    <w:p>
      <w:pPr>
        <w:ind w:left="567" w:firstLineChars="0" w:firstLine="0"/>
        <w:tabs>
          <w:tab w:val="right" w:leader="dot" w:pos="8510"/>
        </w:tabs>
        <w:spacing w:line="240" w:lineRule="auto"/>
      </w:pPr>
      <w:r>
        <w:rPr>
          <w:rFonts w:ascii="Times New Roman" w:hAnsi="Times New Roman" w:eastAsia="宋体"/>
          <w:sz w:val="24"/>
        </w:rPr>
        <w:t xml:space="preserve">3.2  各子系统功能开发</w:t>
      </w:r>
      <w:r>
        <w:rPr>
          <w:rFonts w:ascii="Times New Roman" w:hAnsi="Times New Roman" w:eastAsia="宋体"/>
          <w:sz w:val="24"/>
        </w:rPr>
        <w:tab w:val="right"/>
      </w:r>
      <w:r>
        <w:rPr>
          <w:rFonts w:ascii="Times New Roman" w:hAnsi="Times New Roman" w:eastAsia="宋体"/>
          <w:sz w:val="24"/>
        </w:rPr>
        <w:fldChar w:fldCharType="begin"/>
        <w:instrText xml:space="preserve"> PAGEREF _Toc1020 \h </w:instrText>
        <w:fldChar w:fldCharType="separate"/>
        <w:t>0</w:t>
        <w:fldChar w:fldCharType="end"/>
      </w:r>
    </w:p>
    <w:p>
      <w:pPr>
        <w:ind w:left="567" w:firstLineChars="0" w:firstLine="0"/>
        <w:tabs>
          <w:tab w:val="right" w:leader="dot" w:pos="8510"/>
        </w:tabs>
        <w:spacing w:line="240" w:lineRule="auto"/>
      </w:pPr>
      <w:r>
        <w:rPr>
          <w:rFonts w:ascii="Times New Roman" w:hAnsi="Times New Roman" w:eastAsia="宋体"/>
          <w:sz w:val="24"/>
        </w:rPr>
        <w:t xml:space="preserve">3.3  软硬件设备清单</w:t>
      </w:r>
      <w:r>
        <w:rPr>
          <w:rFonts w:ascii="Times New Roman" w:hAnsi="Times New Roman" w:eastAsia="宋体"/>
          <w:sz w:val="24"/>
        </w:rPr>
        <w:tab w:val="right"/>
      </w:r>
      <w:r>
        <w:rPr>
          <w:rFonts w:ascii="Times New Roman" w:hAnsi="Times New Roman" w:eastAsia="宋体"/>
          <w:sz w:val="24"/>
        </w:rPr>
        <w:fldChar w:fldCharType="begin"/>
        <w:instrText xml:space="preserve"> PAGEREF _Toc1021 \h </w:instrText>
        <w:fldChar w:fldCharType="separate"/>
        <w:t>0</w:t>
        <w:fldChar w:fldCharType="end"/>
      </w:r>
    </w:p>
    <w:p>
      <w:pPr>
        <w:ind w:left="567" w:firstLineChars="0" w:firstLine="0"/>
        <w:tabs>
          <w:tab w:val="right" w:leader="dot" w:pos="8510"/>
        </w:tabs>
        <w:spacing w:line="240" w:lineRule="auto"/>
      </w:pPr>
      <w:r>
        <w:rPr>
          <w:rFonts w:ascii="Times New Roman" w:hAnsi="Times New Roman" w:eastAsia="宋体"/>
          <w:sz w:val="24"/>
        </w:rPr>
        <w:t xml:space="preserve">5.1  业务整体逻辑设计</w:t>
      </w:r>
      <w:r>
        <w:rPr>
          <w:rFonts w:ascii="Times New Roman" w:hAnsi="Times New Roman" w:eastAsia="宋体"/>
          <w:sz w:val="24"/>
        </w:rPr>
        <w:tab w:val="right"/>
      </w:r>
      <w:r>
        <w:rPr>
          <w:rFonts w:ascii="Times New Roman" w:hAnsi="Times New Roman" w:eastAsia="宋体"/>
          <w:sz w:val="24"/>
        </w:rPr>
        <w:fldChar w:fldCharType="begin"/>
        <w:instrText xml:space="preserve"> PAGEREF _Toc1022 \h </w:instrText>
        <w:fldChar w:fldCharType="separate"/>
        <w:t>0</w:t>
        <w:fldChar w:fldCharType="end"/>
      </w:r>
    </w:p>
    <w:p>
      <w:pPr>
        <w:ind w:left="567" w:firstLineChars="0" w:firstLine="0"/>
        <w:tabs>
          <w:tab w:val="right" w:leader="dot" w:pos="8510"/>
        </w:tabs>
        <w:spacing w:line="240" w:lineRule="auto"/>
      </w:pPr>
      <w:r>
        <w:rPr>
          <w:rFonts w:ascii="Times New Roman" w:hAnsi="Times New Roman" w:eastAsia="宋体"/>
          <w:sz w:val="24"/>
        </w:rPr>
        <w:t xml:space="preserve">5.2  数据采集与流水线设计</w:t>
      </w:r>
      <w:r>
        <w:rPr>
          <w:rFonts w:ascii="Times New Roman" w:hAnsi="Times New Roman" w:eastAsia="宋体"/>
          <w:sz w:val="24"/>
        </w:rPr>
        <w:tab w:val="right"/>
      </w:r>
      <w:r>
        <w:rPr>
          <w:rFonts w:ascii="Times New Roman" w:hAnsi="Times New Roman" w:eastAsia="宋体"/>
          <w:sz w:val="24"/>
        </w:rPr>
        <w:fldChar w:fldCharType="begin"/>
        <w:instrText xml:space="preserve"> PAGEREF _Toc1023 \h </w:instrText>
        <w:fldChar w:fldCharType="separate"/>
        <w:t>0</w:t>
        <w:fldChar w:fldCharType="end"/>
      </w:r>
    </w:p>
    <w:p>
      <w:pPr>
        <w:ind w:left="567" w:firstLineChars="0" w:firstLine="0"/>
        <w:tabs>
          <w:tab w:val="right" w:leader="dot" w:pos="8510"/>
        </w:tabs>
        <w:spacing w:line="240" w:lineRule="auto"/>
      </w:pPr>
      <w:r>
        <w:rPr>
          <w:rFonts w:ascii="Times New Roman" w:hAnsi="Times New Roman" w:eastAsia="宋体"/>
          <w:sz w:val="24"/>
        </w:rPr>
        <w:t xml:space="preserve">5.3  AI算法模块详细设计</w:t>
      </w:r>
      <w:r>
        <w:rPr>
          <w:rFonts w:ascii="Times New Roman" w:hAnsi="Times New Roman" w:eastAsia="宋体"/>
          <w:sz w:val="24"/>
        </w:rPr>
        <w:tab w:val="right"/>
      </w:r>
      <w:r>
        <w:rPr>
          <w:rFonts w:ascii="Times New Roman" w:hAnsi="Times New Roman" w:eastAsia="宋体"/>
          <w:sz w:val="24"/>
        </w:rPr>
        <w:fldChar w:fldCharType="begin"/>
        <w:instrText xml:space="preserve"> PAGEREF _Toc1024 \h </w:instrText>
        <w:fldChar w:fldCharType="separate"/>
        <w:t>0</w:t>
        <w:fldChar w:fldCharType="end"/>
      </w:r>
    </w:p>
    <w:p>
      <w:pPr>
        <w:ind w:left="567" w:firstLineChars="0" w:firstLine="0"/>
        <w:tabs>
          <w:tab w:val="right" w:leader="dot" w:pos="8510"/>
        </w:tabs>
        <w:spacing w:line="240" w:lineRule="auto"/>
      </w:pPr>
      <w:r>
        <w:rPr>
          <w:rFonts w:ascii="Times New Roman" w:hAnsi="Times New Roman" w:eastAsia="宋体"/>
          <w:sz w:val="24"/>
        </w:rPr>
        <w:t xml:space="preserve">5.4  评估与自检套件设计</w:t>
      </w:r>
      <w:r>
        <w:rPr>
          <w:rFonts w:ascii="Times New Roman" w:hAnsi="Times New Roman" w:eastAsia="宋体"/>
          <w:sz w:val="24"/>
        </w:rPr>
        <w:tab w:val="right"/>
      </w:r>
      <w:r>
        <w:rPr>
          <w:rFonts w:ascii="Times New Roman" w:hAnsi="Times New Roman" w:eastAsia="宋体"/>
          <w:sz w:val="24"/>
        </w:rPr>
        <w:fldChar w:fldCharType="begin"/>
        <w:instrText xml:space="preserve"> PAGEREF _Toc1025 \h </w:instrText>
        <w:fldChar w:fldCharType="separate"/>
        <w:t>0</w:t>
        <w:fldChar w:fldCharType="end"/>
      </w:r>
    </w:p>
    <w:p>
      <w:pPr>
        <w:ind w:left="567" w:firstLineChars="0" w:firstLine="0"/>
        <w:tabs>
          <w:tab w:val="right" w:leader="dot" w:pos="8510"/>
        </w:tabs>
        <w:spacing w:line="240" w:lineRule="auto"/>
      </w:pPr>
      <w:r>
        <w:rPr>
          <w:rFonts w:ascii="Times New Roman" w:hAnsi="Times New Roman" w:eastAsia="宋体"/>
          <w:sz w:val="24"/>
        </w:rPr>
        <w:t xml:space="preserve">5.5  SDN控制器对接模块设计</w:t>
      </w:r>
      <w:r>
        <w:rPr>
          <w:rFonts w:ascii="Times New Roman" w:hAnsi="Times New Roman" w:eastAsia="宋体"/>
          <w:sz w:val="24"/>
        </w:rPr>
        <w:tab w:val="right"/>
      </w:r>
      <w:r>
        <w:rPr>
          <w:rFonts w:ascii="Times New Roman" w:hAnsi="Times New Roman" w:eastAsia="宋体"/>
          <w:sz w:val="24"/>
        </w:rPr>
        <w:fldChar w:fldCharType="begin"/>
        <w:instrText xml:space="preserve"> PAGEREF _Toc1026 \h </w:instrText>
        <w:fldChar w:fldCharType="separate"/>
        <w:t>0</w:t>
        <w:fldChar w:fldCharType="end"/>
      </w:r>
    </w:p>
    <w:p>
      <w:pPr>
        <w:ind w:left="567" w:firstLineChars="0" w:firstLine="0"/>
        <w:tabs>
          <w:tab w:val="right" w:leader="dot" w:pos="8510"/>
        </w:tabs>
        <w:spacing w:line="240" w:lineRule="auto"/>
      </w:pPr>
      <w:r>
        <w:rPr>
          <w:rFonts w:ascii="Times New Roman" w:hAnsi="Times New Roman" w:eastAsia="宋体"/>
          <w:sz w:val="24"/>
        </w:rPr>
        <w:t xml:space="preserve">5.6  教学实验配套模块设计</w:t>
      </w:r>
      <w:r>
        <w:rPr>
          <w:rFonts w:ascii="Times New Roman" w:hAnsi="Times New Roman" w:eastAsia="宋体"/>
          <w:sz w:val="24"/>
        </w:rPr>
        <w:tab w:val="right"/>
      </w:r>
      <w:r>
        <w:rPr>
          <w:rFonts w:ascii="Times New Roman" w:hAnsi="Times New Roman" w:eastAsia="宋体"/>
          <w:sz w:val="24"/>
        </w:rPr>
        <w:fldChar w:fldCharType="begin"/>
        <w:instrText xml:space="preserve"> PAGEREF _Toc1027 \h </w:instrText>
        <w:fldChar w:fldCharType="separate"/>
        <w:t>0</w:t>
        <w:fldChar w:fldCharType="end"/>
      </w:r>
    </w:p>
    <w:p>
      <w:pPr>
        <w:ind w:left="567" w:firstLineChars="0" w:firstLine="0"/>
        <w:tabs>
          <w:tab w:val="right" w:leader="dot" w:pos="8510"/>
        </w:tabs>
        <w:spacing w:line="240" w:lineRule="auto"/>
      </w:pPr>
      <w:r>
        <w:rPr>
          <w:rFonts w:ascii="Times New Roman" w:hAnsi="Times New Roman" w:eastAsia="宋体"/>
          <w:sz w:val="24"/>
        </w:rPr>
        <w:t xml:space="preserve">6.1  系统四层整体架构</w:t>
      </w:r>
      <w:r>
        <w:rPr>
          <w:rFonts w:ascii="Times New Roman" w:hAnsi="Times New Roman" w:eastAsia="宋体"/>
          <w:sz w:val="24"/>
        </w:rPr>
        <w:tab w:val="right"/>
      </w:r>
      <w:r>
        <w:rPr>
          <w:rFonts w:ascii="Times New Roman" w:hAnsi="Times New Roman" w:eastAsia="宋体"/>
          <w:sz w:val="24"/>
        </w:rPr>
        <w:fldChar w:fldCharType="begin"/>
        <w:instrText xml:space="preserve"> PAGEREF _Toc1028 \h </w:instrText>
        <w:fldChar w:fldCharType="separate"/>
        <w:t>0</w:t>
        <w:fldChar w:fldCharType="end"/>
      </w:r>
    </w:p>
    <w:p>
      <w:pPr>
        <w:ind w:left="567" w:firstLineChars="0" w:firstLine="0"/>
        <w:tabs>
          <w:tab w:val="right" w:leader="dot" w:pos="8510"/>
        </w:tabs>
        <w:spacing w:line="240" w:lineRule="auto"/>
      </w:pPr>
      <w:r>
        <w:rPr>
          <w:rFonts w:ascii="Times New Roman" w:hAnsi="Times New Roman" w:eastAsia="宋体"/>
          <w:sz w:val="24"/>
        </w:rPr>
        <w:t xml:space="preserve">6.2  各子系统作业流程</w:t>
      </w:r>
      <w:r>
        <w:rPr>
          <w:rFonts w:ascii="Times New Roman" w:hAnsi="Times New Roman" w:eastAsia="宋体"/>
          <w:sz w:val="24"/>
        </w:rPr>
        <w:tab w:val="right"/>
      </w:r>
      <w:r>
        <w:rPr>
          <w:rFonts w:ascii="Times New Roman" w:hAnsi="Times New Roman" w:eastAsia="宋体"/>
          <w:sz w:val="24"/>
        </w:rPr>
        <w:fldChar w:fldCharType="begin"/>
        <w:instrText xml:space="preserve"> PAGEREF _Toc1029 \h </w:instrText>
        <w:fldChar w:fldCharType="separate"/>
        <w:t>0</w:t>
        <w:fldChar w:fldCharType="end"/>
      </w:r>
    </w:p>
    <w:p>
      <w:pPr>
        <w:ind w:left="567" w:firstLineChars="0" w:firstLine="0"/>
        <w:tabs>
          <w:tab w:val="right" w:leader="dot" w:pos="8510"/>
        </w:tabs>
        <w:spacing w:line="240" w:lineRule="auto"/>
      </w:pPr>
      <w:r>
        <w:rPr>
          <w:rFonts w:ascii="Times New Roman" w:hAnsi="Times New Roman" w:eastAsia="宋体"/>
          <w:sz w:val="24"/>
        </w:rPr>
        <w:t xml:space="preserve">7.1  实施计划</w:t>
      </w:r>
      <w:r>
        <w:rPr>
          <w:rFonts w:ascii="Times New Roman" w:hAnsi="Times New Roman" w:eastAsia="宋体"/>
          <w:sz w:val="24"/>
        </w:rPr>
        <w:tab w:val="right"/>
      </w:r>
      <w:r>
        <w:rPr>
          <w:rFonts w:ascii="Times New Roman" w:hAnsi="Times New Roman" w:eastAsia="宋体"/>
          <w:sz w:val="24"/>
        </w:rPr>
        <w:fldChar w:fldCharType="begin"/>
        <w:instrText xml:space="preserve"> PAGEREF _Toc1030 \h </w:instrText>
        <w:fldChar w:fldCharType="separate"/>
        <w:t>0</w:t>
        <w:fldChar w:fldCharType="end"/>
      </w:r>
    </w:p>
    <w:p>
      <w:pPr>
        <w:ind w:left="567" w:firstLineChars="0" w:firstLine="0"/>
        <w:tabs>
          <w:tab w:val="right" w:leader="dot" w:pos="8510"/>
        </w:tabs>
        <w:spacing w:line="240" w:lineRule="auto"/>
      </w:pPr>
      <w:r>
        <w:rPr>
          <w:rFonts w:ascii="Times New Roman" w:hAnsi="Times New Roman" w:eastAsia="宋体"/>
          <w:sz w:val="24"/>
        </w:rPr>
        <w:t xml:space="preserve">7.2  技术实现（分层实现与学科交叉价值）</w:t>
      </w:r>
      <w:r>
        <w:rPr>
          <w:rFonts w:ascii="Times New Roman" w:hAnsi="Times New Roman" w:eastAsia="宋体"/>
          <w:sz w:val="24"/>
        </w:rPr>
        <w:tab w:val="right"/>
      </w:r>
      <w:r>
        <w:rPr>
          <w:rFonts w:ascii="Times New Roman" w:hAnsi="Times New Roman" w:eastAsia="宋体"/>
          <w:sz w:val="24"/>
        </w:rPr>
        <w:fldChar w:fldCharType="begin"/>
        <w:instrText xml:space="preserve"> PAGEREF _Toc1031 \h </w:instrText>
        <w:fldChar w:fldCharType="separate"/>
        <w:t>0</w:t>
        <w:fldChar w:fldCharType="end"/>
      </w:r>
    </w:p>
    <w:p>
      <w:pPr>
        <w:ind w:left="567" w:firstLineChars="0" w:firstLine="0"/>
        <w:tabs>
          <w:tab w:val="right" w:leader="dot" w:pos="8510"/>
        </w:tabs>
        <w:spacing w:line="240" w:lineRule="auto"/>
      </w:pPr>
      <w:r>
        <w:rPr>
          <w:rFonts w:ascii="Times New Roman" w:hAnsi="Times New Roman" w:eastAsia="宋体"/>
          <w:sz w:val="24"/>
        </w:rPr>
        <w:t xml:space="preserve">学科交叉的落点不是“AI+网安”的标签叠加，而是三条双向约束：其一，安全侧的误报预算决定了评估口径——我们不报同域准确率，而报 1% 误报预算下的召回与每小时误报；其二，安全侧“未知形态不得硬判”的保守原则，逼出了开集新颖性度量与人工研判出口（未知告警最高只到限速）；其三，AI 侧的能力边界反过来约束安全运行策略（跨域迁移能力有限，因此必须支持影子运行、人工复核与处置回滚）。以下四层分别说明这些约束落在哪一侧。</w:t>
      </w:r>
    </w:p>
    <w:p>
      <w:pPr>
        <w:ind w:left="567" w:firstLineChars="0" w:firstLine="0"/>
        <w:tabs>
          <w:tab w:val="right" w:leader="dot" w:pos="8510"/>
        </w:tabs>
        <w:spacing w:line="240" w:lineRule="auto"/>
      </w:pPr>
      <w:r>
        <w:rPr>
          <w:rFonts w:ascii="Times New Roman" w:hAnsi="Times New Roman" w:eastAsia="宋体"/>
          <w:sz w:val="24"/>
        </w:rPr>
        <w:t xml:space="preserve">7.3  个人分工与承担内容0</w:t>
      </w:r>
    </w:p>
    <w:p>
      <w:pPr>
        <w:ind w:left="567" w:firstLineChars="0" w:firstLine="0"/>
        <w:tabs>
          <w:tab w:val="right" w:leader="dot" w:pos="8510"/>
        </w:tabs>
        <w:spacing w:line="240" w:lineRule="auto"/>
      </w:pPr>
      <w:r>
        <w:rPr>
          <w:rFonts w:ascii="Times New Roman" w:hAnsi="Times New Roman" w:eastAsia="宋体"/>
          <w:sz w:val="24"/>
        </w:rPr>
        <w:t xml:space="preserve">9.1  功能效果</w:t>
      </w:r>
      <w:r>
        <w:rPr>
          <w:rFonts w:ascii="Times New Roman" w:hAnsi="Times New Roman" w:eastAsia="宋体"/>
          <w:sz w:val="24"/>
        </w:rPr>
        <w:tab w:val="right"/>
      </w:r>
      <w:r>
        <w:rPr>
          <w:rFonts w:ascii="Times New Roman" w:hAnsi="Times New Roman" w:eastAsia="宋体"/>
          <w:sz w:val="24"/>
        </w:rPr>
        <w:fldChar w:fldCharType="begin"/>
        <w:instrText xml:space="preserve"> PAGEREF _Toc1033 \h </w:instrText>
        <w:fldChar w:fldCharType="separate"/>
        <w:t>0</w:t>
        <w:fldChar w:fldCharType="end"/>
      </w:r>
    </w:p>
    <w:p>
      <w:pPr>
        <w:ind w:left="567" w:firstLineChars="0" w:firstLine="0"/>
        <w:tabs>
          <w:tab w:val="right" w:leader="dot" w:pos="8510"/>
        </w:tabs>
        <w:spacing w:line="240" w:lineRule="auto"/>
      </w:pPr>
      <w:r>
        <w:rPr>
          <w:rFonts w:ascii="Times New Roman" w:hAnsi="Times New Roman" w:eastAsia="宋体"/>
          <w:sz w:val="24"/>
        </w:rPr>
        <w:t xml:space="preserve">一句话概括：这套工程的价值不在“再多一个精度数字”，而在把**不可复现的研究 demo**变成**可复现、可自检、能接进控制平面**的工程资产。下面从科研、教学、工程三个使用场景展开。</w:t>
      </w:r>
    </w:p>
    <w:p>
      <w:pPr>
        <w:ind w:left="567" w:firstLineChars="0" w:firstLine="0"/>
        <w:tabs>
          <w:tab w:val="right" w:leader="dot" w:pos="8510"/>
        </w:tabs>
        <w:spacing w:line="240" w:lineRule="auto"/>
      </w:pPr>
      <w:r>
        <w:rPr>
          <w:rFonts w:ascii="Times New Roman" w:hAnsi="Times New Roman" w:eastAsia="宋体"/>
          <w:sz w:val="24"/>
        </w:rPr>
        <w:t xml:space="preserve">9.2  客观待优化点</w:t>
      </w:r>
      <w:r>
        <w:rPr>
          <w:rFonts w:ascii="Times New Roman" w:hAnsi="Times New Roman" w:eastAsia="宋体"/>
          <w:sz w:val="24"/>
        </w:rPr>
        <w:tab w:val="right"/>
      </w:r>
      <w:r>
        <w:rPr>
          <w:rFonts w:ascii="Times New Roman" w:hAnsi="Times New Roman" w:eastAsia="宋体"/>
          <w:sz w:val="24"/>
        </w:rPr>
        <w:fldChar w:fldCharType="begin"/>
        <w:instrText xml:space="preserve"> PAGEREF _Toc1034 \h </w:instrText>
        <w:fldChar w:fldCharType="separate"/>
        <w:t>0</w:t>
        <w:fldChar w:fldCharType="end"/>
      </w:r>
    </w:p>
    <w:p>
      <w:pPr>
        <w:ind w:left="567" w:firstLineChars="0" w:firstLine="0"/>
        <w:tabs>
          <w:tab w:val="right" w:leader="dot" w:pos="8510"/>
        </w:tabs>
        <w:spacing w:line="240" w:lineRule="auto"/>
      </w:pPr>
      <w:r>
        <w:rPr>
          <w:rFonts w:ascii="Times New Roman" w:hAnsi="Times New Roman" w:eastAsia="宋体"/>
          <w:sz w:val="24"/>
        </w:rPr>
        <w:t xml:space="preserve">10.1  学科政策环境</w:t>
      </w:r>
      <w:r>
        <w:rPr>
          <w:rFonts w:ascii="Times New Roman" w:hAnsi="Times New Roman" w:eastAsia="宋体"/>
          <w:sz w:val="24"/>
        </w:rPr>
        <w:tab w:val="right"/>
      </w:r>
      <w:r>
        <w:rPr>
          <w:rFonts w:ascii="Times New Roman" w:hAnsi="Times New Roman" w:eastAsia="宋体"/>
          <w:sz w:val="24"/>
        </w:rPr>
        <w:fldChar w:fldCharType="begin"/>
        <w:instrText xml:space="preserve"> PAGEREF _Toc1035 \h </w:instrText>
        <w:fldChar w:fldCharType="separate"/>
        <w:t>0</w:t>
        <w:fldChar w:fldCharType="end"/>
      </w:r>
    </w:p>
    <w:p>
      <w:pPr>
        <w:ind w:left="567" w:firstLineChars="0" w:firstLine="0"/>
        <w:tabs>
          <w:tab w:val="right" w:leader="dot" w:pos="8510"/>
        </w:tabs>
        <w:spacing w:line="240" w:lineRule="auto"/>
      </w:pPr>
      <w:r>
        <w:rPr>
          <w:rFonts w:ascii="Times New Roman" w:hAnsi="Times New Roman" w:eastAsia="宋体"/>
          <w:sz w:val="24"/>
        </w:rPr>
        <w:t xml:space="preserve">10.2  教学科研环境</w:t>
      </w:r>
      <w:r>
        <w:rPr>
          <w:rFonts w:ascii="Times New Roman" w:hAnsi="Times New Roman" w:eastAsia="宋体"/>
          <w:sz w:val="24"/>
        </w:rPr>
        <w:tab w:val="right"/>
      </w:r>
      <w:r>
        <w:rPr>
          <w:rFonts w:ascii="Times New Roman" w:hAnsi="Times New Roman" w:eastAsia="宋体"/>
          <w:sz w:val="24"/>
        </w:rPr>
        <w:fldChar w:fldCharType="begin"/>
        <w:instrText xml:space="preserve"> PAGEREF _Toc1036 \h </w:instrText>
        <w:fldChar w:fldCharType="separate"/>
        <w:t>0</w:t>
        <w:fldChar w:fldCharType="end"/>
      </w:r>
    </w:p>
    <w:p>
      <w:pPr>
        <w:ind w:left="567" w:firstLineChars="0" w:firstLine="0"/>
        <w:tabs>
          <w:tab w:val="right" w:leader="dot" w:pos="8510"/>
        </w:tabs>
        <w:spacing w:line="240" w:lineRule="auto"/>
      </w:pPr>
      <w:r>
        <w:rPr>
          <w:rFonts w:ascii="Times New Roman" w:hAnsi="Times New Roman" w:eastAsia="宋体"/>
          <w:sz w:val="24"/>
        </w:rPr>
        <w:t xml:space="preserve">10.3  技术环境</w:t>
      </w:r>
      <w:r>
        <w:rPr>
          <w:rFonts w:ascii="Times New Roman" w:hAnsi="Times New Roman" w:eastAsia="宋体"/>
          <w:sz w:val="24"/>
        </w:rPr>
        <w:tab w:val="right"/>
      </w:r>
      <w:r>
        <w:rPr>
          <w:rFonts w:ascii="Times New Roman" w:hAnsi="Times New Roman" w:eastAsia="宋体"/>
          <w:sz w:val="24"/>
        </w:rPr>
        <w:fldChar w:fldCharType="begin"/>
        <w:instrText xml:space="preserve"> PAGEREF _Toc1037 \h </w:instrText>
        <w:fldChar w:fldCharType="separate"/>
        <w:t>0</w:t>
        <w:fldChar w:fldCharType="end"/>
      </w:r>
    </w:p>
    <w:p>
      <w:pPr>
        <w:ind w:left="567" w:firstLineChars="0" w:firstLine="0"/>
        <w:tabs>
          <w:tab w:val="right" w:leader="dot" w:pos="8510"/>
        </w:tabs>
        <w:spacing w:line="240" w:lineRule="auto"/>
      </w:pPr>
      <w:r>
        <w:rPr>
          <w:rFonts w:ascii="Times New Roman" w:hAnsi="Times New Roman" w:eastAsia="宋体"/>
          <w:sz w:val="24"/>
        </w:rPr>
        <w:t xml:space="preserve">10.4  市场与推广定位</w:t>
      </w:r>
      <w:r>
        <w:rPr>
          <w:rFonts w:ascii="Times New Roman" w:hAnsi="Times New Roman" w:eastAsia="宋体"/>
          <w:sz w:val="24"/>
        </w:rPr>
        <w:tab w:val="right"/>
      </w:r>
      <w:r>
        <w:rPr>
          <w:rFonts w:ascii="Times New Roman" w:hAnsi="Times New Roman" w:eastAsia="宋体"/>
          <w:sz w:val="24"/>
        </w:rPr>
        <w:fldChar w:fldCharType="begin"/>
        <w:instrText xml:space="preserve"> PAGEREF _Toc1038 \h </w:instrText>
        <w:fldChar w:fldCharType="separate"/>
        <w:t>0</w:t>
        <w:fldChar w:fldCharType="end"/>
      </w:r>
    </w:p>
    <w:p>
      <w:pPr>
        <w:ind w:left="567" w:firstLineChars="0" w:firstLine="0"/>
        <w:tabs>
          <w:tab w:val="right" w:leader="dot" w:pos="8510"/>
        </w:tabs>
        <w:spacing w:line="240" w:lineRule="auto"/>
      </w:pPr>
      <w:r>
        <w:rPr>
          <w:rFonts w:ascii="Times New Roman" w:hAnsi="Times New Roman" w:eastAsia="宋体"/>
          <w:sz w:val="24"/>
        </w:rPr>
        <w:t xml:space="preserve">13.1  代码与资源说明</w:t>
      </w:r>
      <w:r>
        <w:rPr>
          <w:rFonts w:ascii="Times New Roman" w:hAnsi="Times New Roman" w:eastAsia="宋体"/>
          <w:sz w:val="24"/>
        </w:rPr>
        <w:tab w:val="right"/>
      </w:r>
      <w:r>
        <w:rPr>
          <w:rFonts w:ascii="Times New Roman" w:hAnsi="Times New Roman" w:eastAsia="宋体"/>
          <w:sz w:val="24"/>
        </w:rPr>
        <w:fldChar w:fldCharType="begin"/>
        <w:instrText xml:space="preserve"> PAGEREF _Toc1039 \h </w:instrText>
        <w:fldChar w:fldCharType="separate"/>
        <w:t>0</w:t>
        <w:fldChar w:fldCharType="end"/>
      </w:r>
    </w:p>
    <w:p>
      <w:pPr>
        <w:ind w:left="567" w:firstLineChars="0" w:firstLine="0"/>
        <w:tabs>
          <w:tab w:val="right" w:leader="dot" w:pos="8510"/>
        </w:tabs>
        <w:spacing w:line="240" w:lineRule="auto"/>
      </w:pPr>
      <w:r>
        <w:rPr>
          <w:rFonts w:ascii="Times New Roman" w:hAnsi="Times New Roman" w:eastAsia="宋体"/>
          <w:sz w:val="24"/>
        </w:rPr>
        <w:t xml:space="preserve">13.2  参考文献</w:t>
      </w:r>
      <w:r>
        <w:rPr>
          <w:rFonts w:ascii="Times New Roman" w:hAnsi="Times New Roman" w:eastAsia="宋体"/>
          <w:sz w:val="24"/>
        </w:rPr>
        <w:tab w:val="right"/>
      </w:r>
      <w:r>
        <w:rPr>
          <w:rFonts w:ascii="Times New Roman" w:hAnsi="Times New Roman" w:eastAsia="宋体"/>
          <w:sz w:val="24"/>
        </w:rPr>
        <w:fldChar w:fldCharType="begin"/>
        <w:instrText xml:space="preserve"> PAGEREF _Toc1040 \h </w:instrText>
        <w:fldChar w:fldCharType="separate"/>
        <w:t>0</w:t>
        <w:fldChar w:fldCharType="end"/>
      </w:r>
    </w:p>
    <w:p>
      <w:pPr>
        <w:ind w:left="567" w:firstLineChars="0" w:firstLine="0"/>
        <w:tabs>
          <w:tab w:val="right" w:leader="dot" w:pos="8510"/>
        </w:tabs>
        <w:spacing w:line="240" w:lineRule="auto"/>
      </w:pPr>
      <w:r>
        <w:rPr>
          <w:rFonts w:ascii="Times New Roman" w:hAnsi="Times New Roman" w:eastAsia="宋体"/>
          <w:sz w:val="24"/>
        </w:rPr>
        <w:t xml:space="preserve">13.3  补充材料</w:t>
      </w:r>
      <w:r>
        <w:rPr>
          <w:rFonts w:ascii="Times New Roman" w:hAnsi="Times New Roman" w:eastAsia="宋体"/>
          <w:sz w:val="24"/>
        </w:rPr>
        <w:tab w:val="right"/>
      </w:r>
      <w:r>
        <w:rPr>
          <w:rFonts w:ascii="Times New Roman" w:hAnsi="Times New Roman" w:eastAsia="宋体"/>
          <w:sz w:val="24"/>
        </w:rPr>
        <w:fldChar w:fldCharType="begin"/>
        <w:instrText xml:space="preserve"> PAGEREF _Toc1041 \h </w:instrText>
        <w:fldChar w:fldCharType="separate"/>
        <w:t>0</w:t>
        <w:fldChar w:fldCharType="end"/>
      </w:r>
    </w:p>
    <w:p>
      <w:pPr>
        <w:sectPr>
          <w:footerReference w:type="default" r:id="rId9"/>
          <w:pgSz w:w="11906" w:h="16838"/>
          <w:pgMar w:top="1417" w:right="1417" w:bottom="1417" w:left="1417" w:header="720" w:footer="720" w:gutter="0"/>
          <w:cols w:space="720"/>
          <w:docGrid w:linePitch="360"/>
        </w:sectPr>
      </w:pPr>
    </w:p>
    <w:p>
      <w:pPr>
        <w:pStyle w:val="Heading1"/>
        <w:spacing w:after="200" w:before="0" w:line="240" w:lineRule="auto"/>
        <w:ind w:firstLineChars="0" w:firstLine="0"/>
        <w:jc w:val="center"/>
      </w:pPr>
      <w:r>
        <w:rPr>
          <w:rFonts w:ascii="Times New Roman" w:hAnsi="Times New Roman" w:eastAsia="黑体"/>
          <w:b/>
          <w:sz w:val="32"/>
        </w:rPr>
        <w:t xml:space="preserve">摘要</w:t>
      </w:r>
    </w:p>
    <w:p>
      <w:pPr>
        <w:spacing w:after="0" w:before="0" w:line="360" w:lineRule="auto"/>
        <w:ind w:firstLineChars="200" w:firstLine="480"/>
        <w:jc w:val="both"/>
      </w:pPr>
      <w:r>
        <w:rPr>
          <w:rFonts w:ascii="Times New Roman" w:hAnsi="Times New Roman" w:eastAsia="宋体"/>
          <w:b w:val="0"/>
          <w:sz w:val="24"/>
        </w:rPr>
        <w:t>软件定义网络（SDN）在校园网络、云计算与数据中心场景广泛部署，集中式控制器容易遭受DDoS、端口扫描、暴力破解、僵尸网络等各类网络攻击。当前网络空间安全学科科研与实训存在突出现实问题：大量学术论文给出的SDN异常检测代码存在数据集泄露、时序处理错误等工程缺陷，实验难以复现；高校缺少一套完整的、开箱可用的AI+SDN安全教学科研底座，教师备课搭建实验环境成本高，学生很难完成完整闭环的入侵检测课程实践。</w:t>
      </w:r>
    </w:p>
    <w:p>
      <w:pPr>
        <w:spacing w:after="0" w:before="0" w:line="360" w:lineRule="auto"/>
        <w:ind w:firstLineChars="200" w:firstLine="480"/>
        <w:jc w:val="both"/>
      </w:pPr>
      <w:r>
        <w:rPr>
          <w:rFonts w:ascii="Times New Roman" w:hAnsi="Times New Roman" w:eastAsia="宋体"/>
          <w:b w:val="0"/>
          <w:sz w:val="24"/>
        </w:rPr>
        <w:t xml:space="preserve">本项目立足网络空间安全学科，融合人工智能时序分析技术，构建一套完整可复现的SDN异常流量检测开源工程。项目整合仿真流量生成、AI时序异常检测、在线推理服务、SDN控制器联动处置、标准化评估自检套件、教学实验资源六大子系统。工程基于CNN-BiLSTM并行双分支时序模型完成攻击识别，配套完整数据集处理流水线，修复学术Demo中时序随机切分、评估口径错误等工程缺陷；同时提供教学实验脚本、基准测试用例，面向科研人员、高校教师、学生三类用户。</w:t>
      </w:r>
    </w:p>
    <w:p>
      <w:pPr>
        <w:spacing w:after="0" w:before="0" w:line="360" w:lineRule="auto"/>
        <w:ind w:firstLineChars="200" w:firstLine="480"/>
        <w:jc w:val="both"/>
      </w:pPr>
      <w:r>
        <w:rPr>
          <w:rFonts w:ascii="Times New Roman" w:hAnsi="Times New Roman" w:eastAsia="宋体"/>
          <w:b w:val="0"/>
          <w:sz w:val="24"/>
        </w:rPr>
        <w:t>项目全部基于开源组件开发，无需昂贵专用硬件，普通计算机即可运行。经过多组对照消融实验、真机控制器联调验证，工程可一键完成从数据生成、模型训练、评估到告警处置全流程，既可以支撑SDN安全方向算法科研复现，也可以作为网络空间安全专业课程实验平台使用，为国内高校网安专业提供可复用的AI+网络安全交叉实践方案。</w:t>
      </w:r>
    </w:p>
    <w:p>
      <w:pPr>
        <w:spacing w:after="0" w:before="0" w:line="360" w:lineRule="auto"/>
        <w:ind w:firstLineChars="200" w:firstLine="480"/>
      </w:pPr>
      <w:r>
        <w:rPr>
          <w:rFonts w:ascii="Times New Roman" w:hAnsi="Times New Roman" w:eastAsia="宋体"/>
          <w:b w:val="0"/>
          <w:sz w:val="24"/>
        </w:rPr>
        <w:t>关键词：软件定义网络；异常流量检测；CNN-BiLSTM；可复现；网络空间安全教学实训</w:t>
      </w:r>
    </w:p>
    <w:p>
      <w:pPr>
        <w:pStyle w:val="Heading1"/>
      </w:pPr>
      <w:bookmarkStart w:id="1" w:name="_Toc1001"/>
      <w:r>
        <w:rPr>
          <w:rFonts w:ascii="Times New Roman" w:hAnsi="Times New Roman" w:eastAsia="黑体"/>
          <w:b/>
          <w:sz w:val="32"/>
        </w:rPr>
        <w:t>1  引言</w:t>
      </w:r>
      <w:bookmarkEnd w:id="1"/>
    </w:p>
    <w:p>
      <w:pPr>
        <w:pStyle w:val="Heading2"/>
      </w:pPr>
      <w:bookmarkStart w:id="14" w:name="_Toc1014"/>
      <w:r>
        <w:rPr>
          <w:rFonts w:ascii="Times New Roman" w:hAnsi="Times New Roman" w:eastAsia="黑体"/>
          <w:b/>
          <w:sz w:val="28"/>
        </w:rPr>
        <w:t>1.1  项目背景</w:t>
      </w:r>
      <w:bookmarkEnd w:id="14"/>
    </w:p>
    <w:p>
      <w:pPr>
        <w:spacing w:after="0" w:before="0" w:line="360" w:lineRule="auto"/>
        <w:ind w:firstLineChars="200" w:firstLine="480"/>
        <w:jc w:val="both"/>
      </w:pPr>
      <w:r>
        <w:rPr>
          <w:rFonts w:ascii="Times New Roman" w:hAnsi="Times New Roman" w:eastAsia="宋体"/>
          <w:b w:val="0"/>
          <w:sz w:val="24"/>
        </w:rPr>
        <w:t>软件定义网络（SDN）实现控制平面与数据平面解耦，凭借灵活可编程的特性，大量应用于云计算、5G承载网以及高校校园网络。但集中式SDN控制器也成为网络攻击重点目标，DDoS洪泛、端口扫描、暴力登录等攻击会造成控制器资源耗尽、流表紊乱，直接引发网络瘫痪。</w:t>
      </w:r>
    </w:p>
    <w:p>
      <w:pPr>
        <w:spacing w:after="0" w:before="0" w:line="360" w:lineRule="auto"/>
        <w:ind w:firstLineChars="200" w:firstLine="480"/>
        <w:jc w:val="both"/>
      </w:pPr>
      <w:r>
        <w:rPr>
          <w:rFonts w:ascii="Times New Roman" w:hAnsi="Times New Roman" w:eastAsia="宋体"/>
          <w:b w:val="0"/>
          <w:sz w:val="24"/>
        </w:rPr>
        <w:t>从网络空间安全学科科研与教学实训视角来看，当前行业与教学环境存在明显短板。现有很多SDN-AI异常检测论文仅侧重模型精度指标，公开代码存在数据时序切分错误、数据集泄露、评估逻辑缺陷等问题，科研人员复现论文需要耗费大量时间调试代码与环境，大量论文实验结果难以复现。</w:t>
      </w:r>
    </w:p>
    <w:p>
      <w:pPr>
        <w:spacing w:after="0" w:before="0" w:line="360" w:lineRule="auto"/>
        <w:ind w:firstLineChars="200" w:firstLine="480"/>
        <w:jc w:val="both"/>
      </w:pPr>
      <w:r>
        <w:rPr>
          <w:rFonts w:ascii="Times New Roman" w:hAnsi="Times New Roman" w:eastAsia="宋体"/>
          <w:b w:val="0"/>
          <w:sz w:val="24"/>
        </w:rPr>
        <w:t>在高校教学场景中，网络空间安全专业开设入侵检测、SDN网络安全相关课程，但是缺少完整的AI结合SDN的实践工程。商用安全产品闭源，学生无法观察内部算法逻辑；教师需要自行拼凑数据集、脚本、仿真环境来设计课程案例，备课工作量巨大；学生开展课程设计、本科毕设时缺少标准化基准，不同学生实验条件不一致，算法结果难以横向对比。</w:t>
      </w:r>
    </w:p>
    <w:p>
      <w:pPr>
        <w:spacing w:after="0" w:before="0" w:line="360" w:lineRule="auto"/>
        <w:ind w:firstLineChars="200" w:firstLine="480"/>
        <w:jc w:val="both"/>
      </w:pPr>
      <w:r>
        <w:rPr>
          <w:rFonts w:ascii="Times New Roman" w:hAnsi="Times New Roman" w:eastAsia="宋体"/>
          <w:b w:val="0"/>
          <w:sz w:val="24"/>
        </w:rPr>
        <w:t>本项目融合人工智能时序分析与网络空间安全学科知识，构建一套完整可复现SDN异常流量检测开源工程。推动SDN安全研究从“论文纸面指标”走向“工程可复现、教学可落地”，实现从仿真流量生成-AI检测-告警研判-SDN联动处置-样本回流迭代完整业务闭环，为科研探索、课程实验提供统一的开源底座。</w:t>
      </w:r>
    </w:p>
    <w:p>
      <w:pPr>
        <w:pStyle w:val="Heading2"/>
      </w:pPr>
      <w:bookmarkStart w:id="15" w:name="_Toc1015"/>
      <w:r>
        <w:rPr>
          <w:rFonts w:ascii="Times New Roman" w:hAnsi="Times New Roman" w:eastAsia="黑体"/>
          <w:b/>
          <w:sz w:val="28"/>
        </w:rPr>
        <w:t>1.2  系统总体构成</w:t>
      </w:r>
      <w:bookmarkEnd w:id="15"/>
    </w:p>
    <w:p>
      <w:pPr>
        <w:spacing w:after="0" w:before="0" w:line="360" w:lineRule="auto"/>
        <w:ind w:firstLineChars="200" w:firstLine="480"/>
        <w:jc w:val="both"/>
      </w:pPr>
      <w:r>
        <w:rPr>
          <w:rFonts w:ascii="Times New Roman" w:hAnsi="Times New Roman" w:eastAsia="宋体"/>
          <w:b w:val="0"/>
          <w:sz w:val="24"/>
        </w:rPr>
        <w:t>本系统由六大子系统共同组成：仿真流量数据集生成子系统、数据预处理流水线子系统、AI异常检测算法子系统、在线检测与研判服务子系统、SDN控制器对接处置子系统、教学实验与评估自检套件子系统。</w:t>
      </w:r>
    </w:p>
    <w:p>
      <w:pPr>
        <w:spacing w:after="0" w:before="0" w:line="360" w:lineRule="auto"/>
        <w:ind w:firstLineChars="200" w:firstLine="480"/>
        <w:jc w:val="both"/>
      </w:pPr>
      <w:r>
        <w:rPr>
          <w:rFonts w:ascii="Times New Roman" w:hAnsi="Times New Roman" w:eastAsia="宋体"/>
          <w:b w:val="0"/>
          <w:sz w:val="24"/>
        </w:rPr>
        <w:t>仿真流量数据集生成子系统：生成包含正常流量、DDoS、端口扫描、暴力破解、僵尸网络等多类攻击仿真流量，输出标准化流统计特征。数据预处理流水线子系统：完成数据清洗、时序会话分组、标准化处理，内置数据集泄露诊断校验工具。AI异常检测算法子系统：实现CNN-BiLSTM并行双分支时序检测模型，同时集成多组基线算法，支持消融、对抗、开集拒识相关实验。在线检测与研判服务子系统：提供REST推理API，实现策略热更新、告警确认抑制、审计台账、人工研判样本回流。SDN控制器对接处置子系统：对接Ryu SDN控制器，接收控制器原生流表统计，实现攻击告警后的限速、阻断联动，支持演练模式避免误操作。教学实验与评估自检套件子系统：包含全套基准测试用例、性能评估脚本、实验指导材料，提供一键复现脚本，用于课程实训与工程交付验收。</w:t>
      </w:r>
    </w:p>
    <w:p>
      <w:pPr>
        <w:pStyle w:val="Heading1"/>
      </w:pPr>
      <w:bookmarkStart w:id="2" w:name="_Toc1002"/>
      <w:r>
        <w:rPr>
          <w:rFonts w:ascii="Times New Roman" w:hAnsi="Times New Roman" w:eastAsia="黑体"/>
          <w:b/>
          <w:sz w:val="32"/>
        </w:rPr>
        <w:t>2  需求分析</w:t>
      </w:r>
      <w:bookmarkEnd w:id="2"/>
    </w:p>
    <w:p>
      <w:pPr>
        <w:pStyle w:val="Heading2"/>
      </w:pPr>
      <w:bookmarkStart w:id="16" w:name="_Toc1016"/>
      <w:r>
        <w:rPr>
          <w:rFonts w:ascii="Times New Roman" w:hAnsi="Times New Roman" w:eastAsia="黑体"/>
          <w:b/>
          <w:sz w:val="28"/>
        </w:rPr>
        <w:t>2.1  学科现状</w:t>
      </w:r>
      <w:bookmarkEnd w:id="16"/>
    </w:p>
    <w:p>
      <w:pPr>
        <w:spacing w:after="0" w:before="0" w:line="360" w:lineRule="auto"/>
        <w:ind w:firstLineChars="200" w:firstLine="480"/>
        <w:jc w:val="both"/>
      </w:pPr>
      <w:r>
        <w:rPr>
          <w:rFonts w:ascii="Times New Roman" w:hAnsi="Times New Roman" w:eastAsia="宋体"/>
          <w:b w:val="0"/>
          <w:sz w:val="24"/>
        </w:rPr>
        <w:t>网络空间安全学科中，SDN异常流量检测属于网络安全方向重要研究与教学内容。目前该方向存在两类突出矛盾：科研端论文成果工程化程度不足，复现门槛高；教学端缺少开源完整实验平台，AI与SDN结合的实践案例稀缺。通用网络安全工具无法适配SDN控制器流表的特有数据格式，也没有针对教学科研场景设计评估、自检、实验案例。</w:t>
      </w:r>
    </w:p>
    <w:p>
      <w:pPr>
        <w:spacing w:after="0" w:before="0" w:line="360" w:lineRule="auto"/>
        <w:ind w:firstLineChars="200" w:firstLine="480"/>
        <w:jc w:val="both"/>
      </w:pPr>
      <w:r>
        <w:rPr>
          <w:rFonts w:ascii="Times New Roman" w:hAnsi="Times New Roman" w:eastAsia="宋体"/>
          <w:b w:val="0"/>
          <w:sz w:val="24"/>
        </w:rPr>
        <w:t xml:space="preserve">上述痛点并非泛泛而谈，可由三个可直接复核的案例支撑：①**公开数据集本身就有陷阱**——inSDN 中 46% 的行是精确重复、标签只有“正常块 + 攻击块”两段，按常规随机切分能拿到 0.9998 的“准确率”，而改为时间序与按流身份切分后，同一模型在 1% 误报预算下召回仅 0.03~0.29（见 results/real_datasets.md、results/real_eval.md）；②**学术 Demo 的工程缺陷是真实存在的**——本工程在开发与真机联调中复现并修复了 4 处“账实不符”缺陷（只创建 Meter 未把流限上去、幂等吃掉升级、只观察也记“已执行”、只记账未下发），并为其补齐 58 项回归测试；③**教学环境搭建成本高**——把它压缩为一条复现命令（python run_all.py）与一条门禁命令（python tools/cida.py verify）。</w:t>
      </w:r>
    </w:p>
    <w:p>
      <w:pPr>
        <w:pStyle w:val="Heading2"/>
      </w:pPr>
      <w:bookmarkStart w:id="17" w:name="_Toc1017"/>
      <w:r>
        <w:rPr>
          <w:rFonts w:ascii="Times New Roman" w:hAnsi="Times New Roman" w:eastAsia="黑体"/>
          <w:b/>
          <w:sz w:val="28"/>
        </w:rPr>
        <w:t>2.2  用户需求</w:t>
      </w:r>
      <w:bookmarkEnd w:id="17"/>
    </w:p>
    <w:p>
      <w:pPr>
        <w:spacing w:after="0" w:before="0" w:line="360" w:lineRule="auto"/>
        <w:ind w:firstLineChars="200" w:firstLine="480"/>
        <w:jc w:val="both"/>
      </w:pPr>
      <w:r>
        <w:rPr>
          <w:rFonts w:ascii="Times New Roman" w:hAnsi="Times New Roman" w:eastAsia="宋体"/>
          <w:b w:val="0"/>
          <w:sz w:val="24"/>
        </w:rPr>
        <w:t>项目面向三类核心用户：科研人员、高校授课教师、网络空间安全专业学生，分别从科研需求、教学需求、学习需求开展拆解。</w:t>
      </w:r>
    </w:p>
    <w:p>
      <w:pPr>
        <w:spacing w:after="0" w:before="0" w:line="360" w:lineRule="auto"/>
        <w:ind w:firstLineChars="200" w:firstLine="480"/>
        <w:jc w:val="both"/>
      </w:pPr>
      <w:r>
        <w:rPr>
          <w:rFonts w:ascii="Times New Roman" w:hAnsi="Times New Roman" w:eastAsia="宋体"/>
          <w:b w:val="0"/>
          <w:sz w:val="24"/>
        </w:rPr>
        <w:t>科研需求：科研人员需要能够复现SDN异常检测相关学术论文，开展消融、对标、跨域迁移对照实验；需要统一基准数据集与评估工具，规避时序数据集泄露等常见科研陷阱；希望工具可以直接接入自定义数据集，方便新算法快速对照验证。</w:t>
      </w:r>
    </w:p>
    <w:p>
      <w:pPr>
        <w:spacing w:after="0" w:before="0" w:line="360" w:lineRule="auto"/>
        <w:ind w:firstLineChars="200" w:firstLine="480"/>
        <w:jc w:val="both"/>
      </w:pPr>
      <w:r>
        <w:rPr>
          <w:rFonts w:ascii="Times New Roman" w:hAnsi="Times New Roman" w:eastAsia="宋体"/>
          <w:b w:val="0"/>
          <w:sz w:val="24"/>
        </w:rPr>
        <w:t>教学需求：教师在《入侵检测技术》《软件定义网络安全》课程中，需要快速搭建实验环境，获取测试数据集、实验脚本、习题案例；希望工具可以屏蔽复杂环境部署细节，把重心放在AI安全原理教学；需要具备自检能力，方便验证学生实验输出结果。</w:t>
      </w:r>
    </w:p>
    <w:p>
      <w:pPr>
        <w:spacing w:after="0" w:before="0" w:line="360" w:lineRule="auto"/>
        <w:ind w:firstLineChars="200" w:firstLine="480"/>
        <w:jc w:val="both"/>
      </w:pPr>
      <w:r>
        <w:rPr>
          <w:rFonts w:ascii="Times New Roman" w:hAnsi="Times New Roman" w:eastAsia="宋体"/>
          <w:b w:val="0"/>
          <w:sz w:val="24"/>
        </w:rPr>
        <w:t>学习需求：学生需要一套完整开源工程，能够直观观察AI对SDN攻击流量识别全过程；可以调整模型参数、告警阈值、确认窗口，直观理解误报-召回权衡关系；能够对比不同基线算法的性能差异，完成课程设计与课程实验。</w:t>
      </w:r>
    </w:p>
    <w:p>
      <w:pPr>
        <w:pStyle w:val="Heading2"/>
      </w:pPr>
      <w:bookmarkStart w:id="18" w:name="_Toc1018"/>
      <w:r>
        <w:rPr>
          <w:rFonts w:ascii="Times New Roman" w:hAnsi="Times New Roman" w:eastAsia="黑体"/>
          <w:b/>
          <w:sz w:val="28"/>
        </w:rPr>
        <w:t>2.3  可行性分析</w:t>
      </w:r>
      <w:bookmarkEnd w:id="18"/>
    </w:p>
    <w:p>
      <w:pPr>
        <w:pStyle w:val="Heading3"/>
      </w:pPr>
      <w:r>
        <w:rPr>
          <w:rFonts w:ascii="Times New Roman" w:hAnsi="Times New Roman" w:eastAsia="黑体"/>
          <w:b/>
          <w:sz w:val="24"/>
        </w:rPr>
        <w:t>2.3.1  技术可行性</w:t>
      </w:r>
    </w:p>
    <w:p>
      <w:pPr>
        <w:spacing w:after="0" w:before="0" w:line="360" w:lineRule="auto"/>
        <w:ind w:firstLineChars="200" w:firstLine="480"/>
        <w:jc w:val="both"/>
      </w:pPr>
      <w:r>
        <w:rPr>
          <w:rFonts w:ascii="Times New Roman" w:hAnsi="Times New Roman" w:eastAsia="宋体"/>
          <w:b w:val="0"/>
          <w:sz w:val="24"/>
        </w:rPr>
        <w:t xml:space="preserve">项目所使用的SDN仿真工具、深度学习时序模型、Web服务框架均为成熟开源技术。Mininet、Ryu为网安专业教学广泛使用的SDN仿真组件；TensorFlow、Scikit-learn、Pandas等开源库生态完善。项目基于已有开源组件进行整合、二次开发与缺陷修复，不存在难以突破的技术壁垒。本工程的开发与验证由参赛人独立完成，具备 SDN 网络仿真、流量处理、深度学习模型开发与后端服务开发能力，已完成模块开发、联调、测试与文档编写，整套工程可完整落地运行。</w:t>
      </w:r>
    </w:p>
    <w:p>
      <w:pPr>
        <w:pStyle w:val="Heading3"/>
      </w:pPr>
      <w:r>
        <w:rPr>
          <w:rFonts w:ascii="Times New Roman" w:hAnsi="Times New Roman" w:eastAsia="黑体"/>
          <w:b/>
          <w:sz w:val="24"/>
        </w:rPr>
        <w:t>2.3.2  经济可行性</w:t>
      </w:r>
    </w:p>
    <w:p>
      <w:pPr>
        <w:spacing w:after="0" w:before="0" w:line="360" w:lineRule="auto"/>
        <w:ind w:firstLineChars="200" w:firstLine="480"/>
        <w:jc w:val="both"/>
      </w:pPr>
      <w:r>
        <w:rPr>
          <w:rFonts w:ascii="Times New Roman" w:hAnsi="Times New Roman" w:eastAsia="宋体"/>
          <w:b w:val="0"/>
          <w:sz w:val="24"/>
        </w:rPr>
        <w:t>本项目全部基于开源软件构建，不需要采购商业授权；运行仅需要普通x86-64个人计算机或者高校实验室服务器，不需要GPU硬件即可完成全部基础实验。后期维护以代码迭代、文档更新为主，硬件几乎无额外开销，普通高校实验室、学生课题组均可以负担。</w:t>
      </w:r>
    </w:p>
    <w:p>
      <w:pPr>
        <w:pStyle w:val="Heading3"/>
      </w:pPr>
      <w:r>
        <w:rPr>
          <w:rFonts w:ascii="Times New Roman" w:hAnsi="Times New Roman" w:eastAsia="黑体"/>
          <w:b/>
          <w:sz w:val="24"/>
        </w:rPr>
        <w:t>2.3.3  推广复用可行性</w:t>
      </w:r>
    </w:p>
    <w:p>
      <w:pPr>
        <w:spacing w:after="0" w:before="0" w:line="360" w:lineRule="auto"/>
        <w:ind w:firstLineChars="200" w:firstLine="480"/>
        <w:jc w:val="both"/>
      </w:pPr>
      <w:r>
        <w:rPr>
          <w:rFonts w:ascii="Times New Roman" w:hAnsi="Times New Roman" w:eastAsia="宋体"/>
          <w:b w:val="0"/>
          <w:sz w:val="24"/>
        </w:rPr>
        <w:t xml:space="preserve">工程不绑定特殊硬件，只要具备普通 PC 与 Python 运行环境即可部署；所有模块解耦，数据集处理与评估套件可以剥离出来单独复用于其他流式网络异常检测课题；配套完整实验材料可直接用于高校课程。推广路径分为三步：第一，完成完整自测与一键复现验证（130 项交付自检 0 失败）；第二，开源发布并配套开箱即用的课程实验包（实验指导、习题案例、离线回放工具）；第三，面向国内高校网络空间安全专业推广使用。</w:t>
      </w:r>
    </w:p>
    <w:p>
      <w:pPr>
        <w:pStyle w:val="Heading1"/>
      </w:pPr>
      <w:bookmarkStart w:id="3" w:name="_Toc1003"/>
      <w:r>
        <w:rPr>
          <w:rFonts w:ascii="Times New Roman" w:hAnsi="Times New Roman" w:eastAsia="黑体"/>
          <w:b/>
          <w:sz w:val="32"/>
        </w:rPr>
        <w:t>3  功能述论</w:t>
      </w:r>
      <w:bookmarkEnd w:id="3"/>
    </w:p>
    <w:p>
      <w:pPr>
        <w:pStyle w:val="Heading2"/>
      </w:pPr>
      <w:bookmarkStart w:id="19" w:name="_Toc1019"/>
      <w:r>
        <w:rPr>
          <w:rFonts w:ascii="Times New Roman" w:hAnsi="Times New Roman" w:eastAsia="黑体"/>
          <w:b/>
          <w:sz w:val="28"/>
        </w:rPr>
        <w:t>3.1  产品整体设计</w:t>
      </w:r>
      <w:bookmarkEnd w:id="19"/>
    </w:p>
    <w:p>
      <w:pPr>
        <w:spacing w:after="0" w:before="0" w:line="360" w:lineRule="auto"/>
        <w:ind w:firstLineChars="200" w:firstLine="480"/>
        <w:jc w:val="both"/>
      </w:pPr>
      <w:r>
        <w:rPr>
          <w:rFonts w:ascii="Times New Roman" w:hAnsi="Times New Roman" w:eastAsia="宋体"/>
          <w:b w:val="0"/>
          <w:sz w:val="24"/>
        </w:rPr>
        <w:t xml:space="preserve">本项目面向网络空间安全学科科研与教学场景，构建一套可复现开源SDN异常流量检测工程，整体划分为六个子系统：仿真流量数据集生成子系统、数据预处理流水线子系统、AI异常检测算法子系统、在线检测与研判服务子系统、SDN控制器对接处置子系统、教学实验与评估自检套件子系统。系统兼顾离线科研实验模式与在线部署运行模式，同一套代码支持两种运行形态。</w:t>
      </w:r>
    </w:p>
    <w:p>
      <w:pPr>
        <w:pStyle w:val="Heading2"/>
      </w:pPr>
      <w:bookmarkStart w:id="20" w:name="_Toc1020"/>
      <w:r>
        <w:rPr>
          <w:rFonts w:ascii="Times New Roman" w:hAnsi="Times New Roman" w:eastAsia="黑体"/>
          <w:b/>
          <w:sz w:val="28"/>
        </w:rPr>
        <w:t>3.2  各子系统功能开发</w:t>
      </w:r>
      <w:bookmarkEnd w:id="20"/>
    </w:p>
    <w:p>
      <w:pPr>
        <w:spacing w:after="0" w:before="0" w:line="360" w:lineRule="auto"/>
        <w:ind w:firstLineChars="200" w:firstLine="480"/>
        <w:jc w:val="both"/>
      </w:pPr>
      <w:r>
        <w:rPr>
          <w:rFonts w:ascii="Times New Roman" w:hAnsi="Times New Roman" w:eastAsia="宋体"/>
          <w:b w:val="0"/>
          <w:sz w:val="24"/>
        </w:rPr>
        <w:t>仿真流量数据集生成子系统：能够生成正常业务流量、DDoS、DoS、端口探测、暴力破解、僵尸网络等多类SDN仿真流量；支持配置攻击占比、噪声、样本重叠度等难度参数；输出标准化流统计特征数据集，同时支持导入CIC-IDS、inSDN等公开外部数据集。</w:t>
      </w:r>
    </w:p>
    <w:p>
      <w:pPr>
        <w:spacing w:after="0" w:before="0" w:line="360" w:lineRule="auto"/>
        <w:ind w:firstLineChars="200" w:firstLine="480"/>
        <w:jc w:val="both"/>
      </w:pPr>
      <w:r>
        <w:rPr>
          <w:rFonts w:ascii="Times New Roman" w:hAnsi="Times New Roman" w:eastAsia="宋体"/>
          <w:b w:val="0"/>
          <w:sz w:val="24"/>
        </w:rPr>
        <w:t>数据预处理流水线子系统：完成流量数据清洗、去重、按会话时序分组；严格区分训练集、验证集、测试集，标准化器仅从训练集拟合，避免数据泄露；内置数据集泄露诊断校验工具，一旦检测到时序切分错误直接终止评估流程。</w:t>
      </w:r>
    </w:p>
    <w:p>
      <w:pPr>
        <w:spacing w:after="0" w:before="0" w:line="360" w:lineRule="auto"/>
        <w:ind w:firstLineChars="200" w:firstLine="480"/>
        <w:jc w:val="both"/>
      </w:pPr>
      <w:r>
        <w:rPr>
          <w:rFonts w:ascii="Times New Roman" w:hAnsi="Times New Roman" w:eastAsia="宋体"/>
          <w:b w:val="0"/>
          <w:sz w:val="24"/>
        </w:rPr>
        <w:t>AI异常检测算法子系统：实现CNN-BiLSTM并行双分支时序检测模型，支持多任务双头输出（攻击细分类别+二分类攻击判别）；集成能量分数、马氏距离实现开集未知攻击拒识；内置RNN、LSTM、MLP等多条基线算法，支持消融实验、PGD对抗样本测试。</w:t>
      </w:r>
    </w:p>
    <w:p>
      <w:pPr>
        <w:spacing w:after="0" w:before="0" w:line="360" w:lineRule="auto"/>
        <w:ind w:firstLineChars="200" w:firstLine="480"/>
        <w:jc w:val="both"/>
      </w:pPr>
      <w:r>
        <w:rPr>
          <w:rFonts w:ascii="Times New Roman" w:hAnsi="Times New Roman" w:eastAsia="宋体"/>
          <w:b w:val="0"/>
          <w:sz w:val="24"/>
        </w:rPr>
        <w:t>在线检测与研判服务子系统：提供HTTP-REST检测接口，实现滑动窗口批推理优化；支持策略热更新，无需重启服务修改告警阈值、确认窗口、白名单；实现多窗口告警确认抑制抖动，审计台账持久化保存；提供人工研判接口，研判结果可以导出形成新训练候选数据集。</w:t>
      </w:r>
    </w:p>
    <w:p>
      <w:pPr>
        <w:spacing w:after="0" w:before="0" w:line="360" w:lineRule="auto"/>
        <w:ind w:firstLineChars="200" w:firstLine="480"/>
        <w:jc w:val="both"/>
      </w:pPr>
      <w:r>
        <w:rPr>
          <w:rFonts w:ascii="Times New Roman" w:hAnsi="Times New Roman" w:eastAsia="宋体"/>
          <w:b w:val="0"/>
          <w:sz w:val="24"/>
        </w:rPr>
        <w:t>SDN控制器对接处置子系统：适配Ryu控制器OpenFlow1.3协议，读取控制器原生流表统计特征；实现幂等流表规则下发，支持演练模式（只记录告警不下发阻断规则）；对于判定为未知攻击的流量强制降级限速，禁止直接阻断，规避误封业务风险。</w:t>
      </w:r>
    </w:p>
    <w:p>
      <w:pPr>
        <w:spacing w:after="0" w:before="0" w:line="360" w:lineRule="auto"/>
        <w:ind w:firstLineChars="200" w:firstLine="480"/>
        <w:jc w:val="both"/>
      </w:pPr>
      <w:r>
        <w:rPr>
          <w:rFonts w:ascii="Times New Roman" w:hAnsi="Times New Roman" w:eastAsia="宋体"/>
          <w:b w:val="0"/>
          <w:sz w:val="24"/>
        </w:rPr>
        <w:t>教学实验与评估自检套件子系统：提供一键复现脚本、冒烟快速验证脚本；内置全套评估指标脚本，输出离线指标、在线告警指标、运维工时换算；提供教学实验指导文档、实验习题、基准测试用例；提供130项交付自检套件，校验整套工程运行完整性。</w:t>
      </w:r>
    </w:p>
    <w:p>
      <w:pPr>
        <w:pStyle w:val="Heading2"/>
      </w:pPr>
      <w:bookmarkStart w:id="21" w:name="_Toc1021"/>
      <w:r>
        <w:rPr>
          <w:rFonts w:ascii="Times New Roman" w:hAnsi="Times New Roman" w:eastAsia="黑体"/>
          <w:b/>
          <w:sz w:val="28"/>
        </w:rPr>
        <w:t>3.3  软硬件设备清单</w:t>
      </w:r>
      <w:bookmarkEnd w:id="21"/>
    </w:p>
    <w:p>
      <w:pPr>
        <w:spacing w:after="0" w:before="0" w:line="360" w:lineRule="auto"/>
        <w:ind w:firstLineChars="200" w:firstLine="480"/>
        <w:jc w:val="both"/>
      </w:pPr>
      <w:r>
        <w:rPr>
          <w:rFonts w:ascii="Times New Roman" w:hAnsi="Times New Roman" w:eastAsia="宋体"/>
          <w:b w:val="0"/>
          <w:sz w:val="24"/>
        </w:rPr>
        <w:t>硬件：普通x86-64 PC，内存不低于8GB，无需GPU。软件环境：Ubuntu系统，Python3.11，Ryu控制器，Mininet仿真环境。开源依赖库：TensorFlow-CPU、scikit-learn、pandas、numpy、Flask。交付产出物：完整开源代码仓库、仿真数据集生成脚本、评估自检套件、实验指导文档、测试用例。</w:t>
      </w:r>
    </w:p>
    <w:p>
      <w:pPr>
        <w:pStyle w:val="Heading1"/>
      </w:pPr>
      <w:bookmarkStart w:id="4" w:name="_Toc1004"/>
      <w:r>
        <w:rPr>
          <w:rFonts w:ascii="Times New Roman" w:hAnsi="Times New Roman" w:eastAsia="黑体"/>
          <w:b/>
          <w:sz w:val="32"/>
        </w:rPr>
        <w:t>4  理论基础与问题关联分析</w:t>
      </w:r>
      <w:bookmarkEnd w:id="4"/>
    </w:p>
    <w:p>
      <w:pPr>
        <w:spacing w:after="0" w:before="0" w:line="360" w:lineRule="auto"/>
        <w:ind w:firstLineChars="200" w:firstLine="480"/>
        <w:jc w:val="both"/>
      </w:pPr>
      <w:r>
        <w:rPr>
          <w:rFonts w:ascii="Times New Roman" w:hAnsi="Times New Roman" w:eastAsia="宋体"/>
          <w:b w:val="0"/>
          <w:sz w:val="24"/>
        </w:rPr>
        <w:t>本章阐述项目用到核心技术原理，并说明该理论如何解决本项目对应的科研与教学痛点。</w:t>
      </w:r>
    </w:p>
    <w:p>
      <w:pPr>
        <w:pStyle w:val="Heading3"/>
      </w:pPr>
      <w:r>
        <w:rPr>
          <w:rFonts w:ascii="Times New Roman" w:hAnsi="Times New Roman" w:eastAsia="黑体"/>
          <w:b/>
          <w:sz w:val="24"/>
        </w:rPr>
        <w:t>4.1  SDN流统计特征理论</w:t>
      </w:r>
    </w:p>
    <w:p>
      <w:pPr>
        <w:spacing w:after="0" w:before="0" w:line="360" w:lineRule="auto"/>
        <w:ind w:firstLineChars="200" w:firstLine="480"/>
        <w:jc w:val="both"/>
      </w:pPr>
      <w:r>
        <w:rPr>
          <w:rFonts w:ascii="Times New Roman" w:hAnsi="Times New Roman" w:eastAsia="宋体"/>
          <w:b w:val="0"/>
          <w:sz w:val="24"/>
        </w:rPr>
        <w:t>SDN控制器可以直接统计每条流的报文数、字节数、持续时长等流表统计信息，不需要抓取完整原始报文。在本项目中，使用控制器原生流统计特征，解决真实SDN环境下无法获取完整pcap报文的现实约束；同时面向教学，让学生理解“不解析报文载荷，仅依靠流统计信息实现攻击识别”的检测思路。</w:t>
      </w:r>
    </w:p>
    <w:p>
      <w:pPr>
        <w:pStyle w:val="Heading3"/>
      </w:pPr>
      <w:r>
        <w:rPr>
          <w:rFonts w:ascii="Times New Roman" w:hAnsi="Times New Roman" w:eastAsia="黑体"/>
          <w:b/>
          <w:sz w:val="24"/>
        </w:rPr>
        <w:t>4.2  时序滑动窗口建模</w:t>
      </w:r>
    </w:p>
    <w:p>
      <w:pPr>
        <w:spacing w:after="0" w:before="0" w:line="360" w:lineRule="auto"/>
        <w:ind w:firstLineChars="200" w:firstLine="480"/>
        <w:jc w:val="both"/>
      </w:pPr>
      <w:r>
        <w:rPr>
          <w:rFonts w:ascii="Times New Roman" w:hAnsi="Times New Roman" w:eastAsia="宋体"/>
          <w:b w:val="0"/>
          <w:sz w:val="24"/>
        </w:rPr>
        <w:t>网络攻击行为往往分布在多条连续流记录中，单条流很难完整判断攻击行为，使用固定长度T的时序窗口，将连续多条流统计特征组装为张量送入模型。在本项目中，解决单一流特征信息不足的问题；同时教学层面帮助学生理解网络攻击是时序行为，而非孤立数据包。</w:t>
      </w:r>
    </w:p>
    <w:p>
      <w:pPr>
        <w:pStyle w:val="Heading3"/>
      </w:pPr>
      <w:r>
        <w:rPr>
          <w:rFonts w:ascii="Times New Roman" w:hAnsi="Times New Roman" w:eastAsia="黑体"/>
          <w:b/>
          <w:sz w:val="24"/>
        </w:rPr>
        <w:t>4.3  CNN-BiLSTM并行双分支网络</w:t>
      </w:r>
    </w:p>
    <w:p>
      <w:pPr>
        <w:spacing w:after="0" w:before="0" w:line="360" w:lineRule="auto"/>
        <w:ind w:firstLineChars="200" w:firstLine="480"/>
        <w:jc w:val="both"/>
      </w:pPr>
      <w:r>
        <w:rPr>
          <w:rFonts w:ascii="Times New Roman" w:hAnsi="Times New Roman" w:eastAsia="宋体"/>
          <w:b w:val="0"/>
          <w:sz w:val="24"/>
        </w:rPr>
        <w:t>一维膨胀CNN擅长提取序列局部短时突发模式；双向BiLSTM擅长捕捉序列长距离时序演化特征；两路分支分别提取特征之后拼接融合。多任务双头输出，分别完成攻击细分类别识别与攻击二分类判别。在本项目中，实现SDN时序流量的异常识别；同时设置消融实验，验证不同分支对整体效果贡献，供科研人员做对照；教学中可以让学生修改网络结构，观察识别效果变化。</w:t>
      </w:r>
    </w:p>
    <w:p>
      <w:pPr>
        <w:pStyle w:val="Heading3"/>
      </w:pPr>
      <w:r>
        <w:rPr>
          <w:rFonts w:ascii="Times New Roman" w:hAnsi="Times New Roman" w:eastAsia="黑体"/>
          <w:b/>
          <w:sz w:val="24"/>
        </w:rPr>
        <w:t>4.4  开集识别（新颖性检测）</w:t>
      </w:r>
    </w:p>
    <w:p>
      <w:pPr>
        <w:spacing w:after="0" w:before="0" w:line="360" w:lineRule="auto"/>
        <w:ind w:firstLineChars="200" w:firstLine="480"/>
        <w:jc w:val="both"/>
      </w:pPr>
      <w:r>
        <w:rPr>
          <w:rFonts w:ascii="Times New Roman" w:hAnsi="Times New Roman" w:eastAsia="宋体"/>
          <w:b w:val="0"/>
          <w:sz w:val="24"/>
        </w:rPr>
        <w:t>能量分数、马氏距离算法用于判别样本是否属于训练集没有见过的新型未知攻击，实现开集拒识。在本项目中，解决闭集模型对未知攻击盲目自信输出结果的缺陷；对应真实网络安全场景，现实环境攻击类型永远是不断新增的。</w:t>
      </w:r>
    </w:p>
    <w:p>
      <w:pPr>
        <w:pStyle w:val="Heading3"/>
      </w:pPr>
      <w:r>
        <w:rPr>
          <w:rFonts w:ascii="Times New Roman" w:hAnsi="Times New Roman" w:eastAsia="黑体"/>
          <w:b/>
          <w:sz w:val="24"/>
        </w:rPr>
        <w:t>4.5  时序数据集防泄露理论</w:t>
      </w:r>
    </w:p>
    <w:p>
      <w:pPr>
        <w:spacing w:after="0" w:before="0" w:line="360" w:lineRule="auto"/>
        <w:ind w:firstLineChars="200" w:firstLine="480"/>
        <w:jc w:val="both"/>
      </w:pPr>
      <w:r>
        <w:rPr>
          <w:rFonts w:ascii="Times New Roman" w:hAnsi="Times New Roman" w:eastAsia="宋体"/>
          <w:b w:val="0"/>
          <w:sz w:val="24"/>
        </w:rPr>
        <w:t>时序数据必须按照时间顺序切分训练集与测试集，不能随机打乱切分，否则会造成数据泄露，产生虚高的纸面指标。在本项目中，实现数据集泄露自动诊断工具，修复很多学术Demo随机切分的错误；教会科研与学生群体时序安全数据集的正确处理范式。</w:t>
      </w:r>
    </w:p>
    <w:p>
      <w:pPr>
        <w:pStyle w:val="Heading3"/>
      </w:pPr>
      <w:r>
        <w:rPr>
          <w:rFonts w:ascii="Times New Roman" w:hAnsi="Times New Roman" w:eastAsia="黑体"/>
          <w:b/>
          <w:sz w:val="24"/>
        </w:rPr>
        <w:t>4.6  告警后处理与工作点Pareto权衡</w:t>
      </w:r>
    </w:p>
    <w:p>
      <w:pPr>
        <w:spacing w:after="0" w:before="0" w:line="360" w:lineRule="auto"/>
        <w:ind w:firstLineChars="200" w:firstLine="480"/>
        <w:jc w:val="both"/>
      </w:pPr>
      <w:r>
        <w:rPr>
          <w:rFonts w:ascii="Times New Roman" w:hAnsi="Times New Roman" w:eastAsia="宋体"/>
          <w:b w:val="0"/>
          <w:sz w:val="24"/>
        </w:rPr>
        <w:t>通过调整告警阈值、连续确认窗口，实现攻击召回与误报次数之间的权衡，将模型指标进一步换算为运维排查工时。在本项目中，不只输出模型F1、AUC，把算法指标转化为真实业务可以理解的代价；教学上让学生直观认识到“不存在完美阈值，需要业务权衡误报与漏报”。</w:t>
      </w:r>
    </w:p>
    <w:p>
      <w:pPr>
        <w:pStyle w:val="Heading1"/>
      </w:pPr>
      <w:bookmarkStart w:id="5" w:name="_Toc1005"/>
      <w:r>
        <w:rPr>
          <w:rFonts w:ascii="Times New Roman" w:hAnsi="Times New Roman" w:eastAsia="黑体"/>
          <w:b/>
          <w:sz w:val="32"/>
        </w:rPr>
        <w:t>5  设计流程与方法</w:t>
      </w:r>
      <w:bookmarkEnd w:id="5"/>
    </w:p>
    <w:p>
      <w:pPr>
        <w:pStyle w:val="Heading2"/>
      </w:pPr>
      <w:bookmarkStart w:id="22" w:name="_Toc1022"/>
      <w:r>
        <w:rPr>
          <w:rFonts w:ascii="Times New Roman" w:hAnsi="Times New Roman" w:eastAsia="黑体"/>
          <w:b/>
          <w:sz w:val="28"/>
        </w:rPr>
        <w:t>5.1  业务整体逻辑设计</w:t>
      </w:r>
      <w:bookmarkEnd w:id="22"/>
    </w:p>
    <w:p>
      <w:pPr>
        <w:spacing w:after="0" w:before="0" w:line="360" w:lineRule="auto"/>
        <w:ind w:firstLineChars="200" w:firstLine="480"/>
        <w:jc w:val="both"/>
      </w:pPr>
      <w:r>
        <w:rPr>
          <w:rFonts w:ascii="Times New Roman" w:hAnsi="Times New Roman" w:eastAsia="宋体"/>
          <w:b w:val="0"/>
          <w:sz w:val="24"/>
        </w:rPr>
        <w:t>系统存在两种运行模式：离线科研实验模式、在线部署运行模式。离线科研模式：输入仿真或公开数据集，执行训练、消融、评估脚本，输出性能报告、实验图表。在线部署模式：接收SDN控制器流表数据，经过预处理送入AI推理服务，输出告警，根据策略联动SDN控制器执行处置动作，告警记录存入审计台账；人工研判样本回流形成新数据集。</w:t>
      </w:r>
    </w:p>
    <w:p>
      <w:pPr>
        <w:pStyle w:val="Heading2"/>
      </w:pPr>
      <w:bookmarkStart w:id="23" w:name="_Toc1023"/>
      <w:r>
        <w:rPr>
          <w:rFonts w:ascii="Times New Roman" w:hAnsi="Times New Roman" w:eastAsia="黑体"/>
          <w:b/>
          <w:sz w:val="28"/>
        </w:rPr>
        <w:t>5.2  数据采集与流水线设计</w:t>
      </w:r>
      <w:bookmarkEnd w:id="23"/>
    </w:p>
    <w:p>
      <w:pPr>
        <w:spacing w:after="0" w:before="0" w:line="360" w:lineRule="auto"/>
        <w:ind w:firstLineChars="200" w:firstLine="480"/>
        <w:jc w:val="both"/>
      </w:pPr>
      <w:r>
        <w:rPr>
          <w:rFonts w:ascii="Times New Roman" w:hAnsi="Times New Roman" w:eastAsia="宋体"/>
          <w:b w:val="0"/>
          <w:sz w:val="24"/>
        </w:rPr>
        <w:t>数据来源：仿真流量生成器输出、Mininet仿真采集、导入CIC-IDS与inSDN公开数据集。数据清洗：过滤无效记录，去除重复样本。时序会话分组：按照流会话、时间顺序完成样本排序。数据集切分：严格按照时间顺序切分训练集、验证集、测试集；标准化器仅在训练集拟合。时序窗口构造：生成T长度时序样本张量。泄露诊断模块：检测是否存在时序随机切分等泄露风险，存在风险则拒绝执行评估。</w:t>
      </w:r>
    </w:p>
    <w:p>
      <w:pPr>
        <w:pStyle w:val="Heading2"/>
      </w:pPr>
      <w:bookmarkStart w:id="24" w:name="_Toc1024"/>
      <w:r>
        <w:rPr>
          <w:rFonts w:ascii="Times New Roman" w:hAnsi="Times New Roman" w:eastAsia="黑体"/>
          <w:b/>
          <w:sz w:val="28"/>
        </w:rPr>
        <w:t>5.3  AI算法模块详细设计</w:t>
      </w:r>
      <w:bookmarkEnd w:id="24"/>
    </w:p>
    <w:p>
      <w:pPr>
        <w:spacing w:after="0" w:before="0" w:line="360" w:lineRule="auto"/>
        <w:ind w:firstLineChars="200" w:firstLine="480"/>
        <w:jc w:val="both"/>
      </w:pPr>
      <w:r>
        <w:rPr>
          <w:rFonts w:ascii="Times New Roman" w:hAnsi="Times New Roman" w:eastAsia="宋体"/>
          <w:b w:val="0"/>
          <w:sz w:val="24"/>
        </w:rPr>
        <w:t>输入：(T,F)维度时序张量，T=16代表窗口流记录数量，F代表特征维度。分支一：一维膨胀CNN，提取短时突发流量模式，注意力池化输出局部特征向量。分支二：BiLSTM双向长短期网络，提取长时序演化特征，注意力池化输出时序特征向量。特征拼接：两路分支输出拼接融合。多任务双头输出：头1为8分类，识别攻击具体类别；头2为二分类，判别窗口是否为攻击。开集拒识计算：能量分数、马氏距离计算样本新颖性分数，区分已知攻击与未知异常。基线模型封装：MLP、RNN、LSTM等基线统一接口，便于横向对照。</w:t>
      </w:r>
    </w:p>
    <w:p>
      <w:pPr>
        <w:pStyle w:val="Heading2"/>
      </w:pPr>
      <w:bookmarkStart w:id="25" w:name="_Toc1025"/>
      <w:r>
        <w:rPr>
          <w:rFonts w:ascii="Times New Roman" w:hAnsi="Times New Roman" w:eastAsia="黑体"/>
          <w:b/>
          <w:sz w:val="28"/>
        </w:rPr>
        <w:t>5.4  评估与自检套件设计</w:t>
      </w:r>
      <w:bookmarkEnd w:id="25"/>
    </w:p>
    <w:p>
      <w:pPr>
        <w:spacing w:after="0" w:before="0" w:line="360" w:lineRule="auto"/>
        <w:ind w:firstLineChars="200" w:firstLine="480"/>
        <w:jc w:val="both"/>
      </w:pPr>
      <w:r>
        <w:rPr>
          <w:rFonts w:ascii="Times New Roman" w:hAnsi="Times New Roman" w:eastAsia="宋体"/>
          <w:b w:val="0"/>
          <w:sz w:val="24"/>
        </w:rPr>
        <w:t>评估套件分为离线指标模块、在线告警指标模块、工作点枚举模块。离线指标：宏F1、ROC-AUC、混淆矩阵。在线告警指标：攻击片段召回、每小时误报次数、平均检测时延；同时换算每日告警量、人工排查工时。工作点Pareto枚举：遍历阈值、确认窗口参数，输出权衡表格，不需要重复训练模型。自检套件：130项自动化检查项，校验环境、数据集、模型产物、哈希校验，判断整套工程是否运行正常。</w:t>
      </w:r>
    </w:p>
    <w:p>
      <w:pPr>
        <w:pStyle w:val="Heading2"/>
      </w:pPr>
      <w:bookmarkStart w:id="26" w:name="_Toc1026"/>
      <w:r>
        <w:rPr>
          <w:rFonts w:ascii="Times New Roman" w:hAnsi="Times New Roman" w:eastAsia="黑体"/>
          <w:b/>
          <w:sz w:val="28"/>
        </w:rPr>
        <w:t>5.5  SDN控制器对接模块设计</w:t>
      </w:r>
      <w:bookmarkEnd w:id="26"/>
    </w:p>
    <w:p>
      <w:pPr>
        <w:spacing w:after="0" w:before="0" w:line="360" w:lineRule="auto"/>
        <w:ind w:firstLineChars="200" w:firstLine="480"/>
        <w:jc w:val="both"/>
      </w:pPr>
      <w:r>
        <w:rPr>
          <w:rFonts w:ascii="Times New Roman" w:hAnsi="Times New Roman" w:eastAsia="宋体"/>
          <w:b w:val="0"/>
          <w:sz w:val="24"/>
        </w:rPr>
        <w:t xml:space="preserve">对接 Ryu 控制器 OpenFlow 1.3 协议：经南向 OpenFlow 1.3 接收交换机上报的流表统计数据，转换为本系统标准特征格式；通过 HTTP 调用本地 AI 检测服务 API 获取检测结果；根据检测结果与系统策略执行动作，演练模式仅记录日志，已知攻击可以下发流表执行限速或阻断，未知异常强制仅做限速，禁止直接阻断；流表规则自动设置超时时间，实现幂等下发，避免重复下发相同规则。</w:t>
      </w:r>
    </w:p>
    <w:p>
      <w:pPr>
        <w:pStyle w:val="Heading2"/>
      </w:pPr>
      <w:bookmarkStart w:id="27" w:name="_Toc1027"/>
      <w:r>
        <w:rPr>
          <w:rFonts w:ascii="Times New Roman" w:hAnsi="Times New Roman" w:eastAsia="黑体"/>
          <w:b/>
          <w:sz w:val="28"/>
        </w:rPr>
        <w:t>5.6  教学实验配套模块设计</w:t>
      </w:r>
      <w:bookmarkEnd w:id="27"/>
    </w:p>
    <w:p>
      <w:pPr>
        <w:spacing w:after="0" w:before="0" w:line="360" w:lineRule="auto"/>
        <w:ind w:firstLineChars="200" w:firstLine="480"/>
        <w:jc w:val="both"/>
      </w:pPr>
      <w:r>
        <w:rPr>
          <w:rFonts w:ascii="Times New Roman" w:hAnsi="Times New Roman" w:eastAsia="宋体"/>
          <w:b w:val="0"/>
          <w:sz w:val="24"/>
        </w:rPr>
        <w:t>基于工程封装教学资源：实验指导书，分步实验操作步骤；可调参数案例，修改窗口长度、告警阈值，观察指标变化；实验习题与考核案例，设置实验任务，学生修改模型、对比基线算法；离线回放演示工具，不需要启动真实SDN控制器，回放历史流量完成课堂演示。</w:t>
      </w:r>
    </w:p>
    <w:p>
      <w:pPr>
        <w:pStyle w:val="Heading1"/>
      </w:pPr>
      <w:bookmarkStart w:id="6" w:name="_Toc1006"/>
      <w:r>
        <w:rPr>
          <w:rFonts w:ascii="Times New Roman" w:hAnsi="Times New Roman" w:eastAsia="黑体"/>
          <w:b/>
          <w:sz w:val="32"/>
        </w:rPr>
        <w:t>6  系统整体框架与作业流程</w:t>
      </w:r>
      <w:bookmarkEnd w:id="6"/>
    </w:p>
    <w:p>
      <w:pPr>
        <w:pStyle w:val="Heading2"/>
      </w:pPr>
      <w:bookmarkStart w:id="28" w:name="_Toc1028"/>
      <w:r>
        <w:rPr>
          <w:rFonts w:ascii="Times New Roman" w:hAnsi="Times New Roman" w:eastAsia="黑体"/>
          <w:b/>
          <w:sz w:val="28"/>
        </w:rPr>
        <w:t>6.1  系统四层整体架构</w:t>
      </w:r>
      <w:bookmarkEnd w:id="28"/>
    </w:p>
    <w:p>
      <w:pPr>
        <w:spacing w:after="0" w:before="0" w:line="360" w:lineRule="auto"/>
        <w:ind w:firstLineChars="200" w:firstLine="480"/>
        <w:jc w:val="both"/>
      </w:pPr>
      <w:r>
        <w:rPr>
          <w:rFonts w:ascii="Times New Roman" w:hAnsi="Times New Roman" w:eastAsia="宋体"/>
          <w:b w:val="0"/>
          <w:sz w:val="24"/>
        </w:rPr>
        <w:t>本项目整体分为四层：数据层、算法层、平台服务层、应用交互层。</w:t>
      </w:r>
    </w:p>
    <w:p>
      <w:pPr>
        <w:spacing w:after="0" w:before="0" w:line="360" w:lineRule="auto"/>
        <w:ind w:firstLineChars="200" w:firstLine="480"/>
        <w:jc w:val="both"/>
      </w:pPr>
      <w:r>
        <w:rPr>
          <w:rFonts w:ascii="Times New Roman" w:hAnsi="Times New Roman" w:eastAsia="宋体"/>
          <w:b w:val="0"/>
          <w:sz w:val="24"/>
        </w:rPr>
        <w:t>数据层：负责流量数据的生成、读取、清洗、时序窗口构建。数据源包含自研仿真流量生成器、Mininet仿真采集、外部公开数据集。输出标准化时序样本，内置数据集泄露校验。为本项目提供原始输入数据，解决科研教学的数据来源问题。</w:t>
      </w:r>
    </w:p>
    <w:p>
      <w:pPr>
        <w:spacing w:after="0" w:before="0" w:line="360" w:lineRule="auto"/>
        <w:ind w:firstLineChars="200" w:firstLine="480"/>
        <w:jc w:val="both"/>
      </w:pPr>
      <w:r>
        <w:rPr>
          <w:rFonts w:ascii="Times New Roman" w:hAnsi="Times New Roman" w:eastAsia="宋体"/>
          <w:b w:val="0"/>
          <w:sz w:val="24"/>
        </w:rPr>
        <w:t>算法层：包含CNN-BiLSTM双分支时序模型、多组基线算法、对抗样本模块、开集拒识模块。接收来自数据层的张量输入，完成模型训练、推理，输出攻击分类、异常置信度、新颖性得分。把原始流量特征转化为攻击识别结果，是系统的智能核心。</w:t>
      </w:r>
    </w:p>
    <w:p>
      <w:pPr>
        <w:spacing w:after="0" w:before="0" w:line="360" w:lineRule="auto"/>
        <w:ind w:firstLineChars="200" w:firstLine="480"/>
        <w:jc w:val="both"/>
      </w:pPr>
      <w:r>
        <w:rPr>
          <w:rFonts w:ascii="Times New Roman" w:hAnsi="Times New Roman" w:eastAsia="宋体"/>
          <w:b w:val="0"/>
          <w:sz w:val="24"/>
        </w:rPr>
        <w:t>平台服务层：包含在线推理服务、策略热更新模块、审计台账模块、研判样本回流模块、SDN控制器对接适配层、评估自检套件。实现模型工程化封装，对外提供API，完成告警逻辑、SDN联动处置、实验评估，打通从AI输出到业务处置的链路。</w:t>
      </w:r>
    </w:p>
    <w:p>
      <w:pPr>
        <w:spacing w:after="0" w:before="0" w:line="360" w:lineRule="auto"/>
        <w:ind w:firstLineChars="200" w:firstLine="480"/>
        <w:jc w:val="both"/>
      </w:pPr>
      <w:r>
        <w:rPr>
          <w:rFonts w:ascii="Times New Roman" w:hAnsi="Times New Roman" w:eastAsia="宋体"/>
          <w:b w:val="0"/>
          <w:sz w:val="24"/>
        </w:rPr>
        <w:t>应用交互层：面向科研人员、教师、学生三类使用者。提供命令行脚本、离线演示回放工具、全套文档、实验案例。用户不需要关心底层算法细节，直接调用整套工程完成科研实验或者课程实训。</w:t>
      </w:r>
    </w:p>
    <w:p>
      <w:pPr>
        <w:pStyle w:val="Heading2"/>
      </w:pPr>
      <w:bookmarkStart w:id="29" w:name="_Toc1029"/>
      <w:r>
        <w:rPr>
          <w:rFonts w:ascii="Times New Roman" w:hAnsi="Times New Roman" w:eastAsia="黑体"/>
          <w:b/>
          <w:sz w:val="28"/>
        </w:rPr>
        <w:t>6.2  各子系统作业流程</w:t>
      </w:r>
      <w:bookmarkEnd w:id="29"/>
    </w:p>
    <w:p>
      <w:pPr>
        <w:spacing w:after="0" w:before="0" w:line="360" w:lineRule="auto"/>
        <w:ind w:firstLineChars="200" w:firstLine="480"/>
        <w:jc w:val="both"/>
      </w:pPr>
      <w:r>
        <w:rPr>
          <w:rFonts w:ascii="Times New Roman" w:hAnsi="Times New Roman" w:eastAsia="宋体"/>
          <w:b w:val="0"/>
          <w:sz w:val="24"/>
        </w:rPr>
        <w:t>离线科研实验作业流程：启动一键复现脚本，生成或导入数据集，流水线预处理与泄露校验，模型训练，执行消融、基线对比、对抗测试，评估套件输出指标与图表报告。</w:t>
      </w:r>
    </w:p>
    <w:p>
      <w:pPr>
        <w:spacing w:after="0" w:before="0" w:line="360" w:lineRule="auto"/>
        <w:ind w:firstLineChars="200" w:firstLine="480"/>
        <w:jc w:val="both"/>
      </w:pPr>
      <w:r>
        <w:rPr>
          <w:rFonts w:ascii="Times New Roman" w:hAnsi="Times New Roman" w:eastAsia="宋体"/>
          <w:b w:val="0"/>
          <w:sz w:val="24"/>
        </w:rPr>
        <w:t>在线SDN检测作业流程：SDN控制器采集流表统计数据，数据层完成特征格式化，送入在线推理服务，时序滑动窗口攒批推理，AI输出检测结果与新颖性分数，根据系统策略、确认窗口完成告警判定，审计台账保存全部记录。演练模式仅保存日志，不下发任何流表；真实运行模式已知攻击执行限速或阻断，未知异常仅执行限速；人工研判管理员对告警复核，研判结果保存为候选训练样本，用于后续迭代模型。</w:t>
      </w:r>
    </w:p>
    <w:p>
      <w:pPr>
        <w:spacing w:after="0" w:before="0" w:line="360" w:lineRule="auto"/>
        <w:ind w:firstLineChars="200" w:firstLine="480"/>
        <w:jc w:val="both"/>
      </w:pPr>
      <w:r>
        <w:rPr>
          <w:rFonts w:ascii="Times New Roman" w:hAnsi="Times New Roman" w:eastAsia="宋体"/>
          <w:b w:val="0"/>
          <w:sz w:val="24"/>
        </w:rPr>
        <w:t>教学实验作业流程：学生部署工程环境，运行仿真流量生成器产生攻击流量，执行检测脚本或启动在线服务，修改阈值、确认窗口、模型参数，运行评估脚本查看指标变化，完成实验报告；教师使用自检套件校验学生实验产物。</w:t>
      </w:r>
    </w:p>
    <w:p>
      <w:pPr>
        <w:pStyle w:val="Heading1"/>
      </w:pPr>
      <w:bookmarkStart w:id="7" w:name="_Toc1007"/>
      <w:r>
        <w:rPr>
          <w:rFonts w:ascii="Times New Roman" w:hAnsi="Times New Roman" w:eastAsia="黑体"/>
          <w:b/>
          <w:sz w:val="32"/>
        </w:rPr>
        <w:t>7  项目实施</w:t>
      </w:r>
      <w:bookmarkEnd w:id="7"/>
    </w:p>
    <w:p>
      <w:pPr>
        <w:pStyle w:val="Heading2"/>
      </w:pPr>
      <w:bookmarkStart w:id="30" w:name="_Toc1030"/>
      <w:r>
        <w:rPr>
          <w:rFonts w:ascii="Times New Roman" w:hAnsi="Times New Roman" w:eastAsia="黑体"/>
          <w:b/>
          <w:sz w:val="28"/>
        </w:rPr>
        <w:t>7.1  实施计划</w:t>
      </w:r>
      <w:bookmarkEnd w:id="30"/>
    </w:p>
    <w:p>
      <w:pPr>
        <w:spacing w:after="0" w:before="0" w:line="360" w:lineRule="auto"/>
        <w:ind w:firstLineChars="200" w:firstLine="480"/>
        <w:jc w:val="both"/>
      </w:pPr>
      <w:r>
        <w:rPr>
          <w:rFonts w:ascii="Times New Roman" w:hAnsi="Times New Roman" w:eastAsia="宋体"/>
          <w:b w:val="0"/>
          <w:sz w:val="24"/>
        </w:rPr>
        <w:t>总周期6个月，具体实施计划如表7-1所示。</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cantSplit/>
        </w:trPr>
        <w:tc>
          <w:tcPr>
            <w:tcW w:type="dxa" w:w="1814"/>
            <w:shd w:val="clear" w:color="auto" w:fill="D9D9D9"/>
            <w:vAlign w:val="center"/>
          </w:tcPr>
          <w:p>
            <w:pPr>
              <w:spacing w:line="240" w:lineRule="auto" w:after="0" w:before="0"/>
              <w:ind w:firstLineChars="0" w:firstLine="0"/>
              <w:jc w:val="center"/>
            </w:pPr>
            <w:r>
              <w:rPr>
                <w:rFonts w:ascii="Times New Roman" w:hAnsi="Times New Roman" w:eastAsia="宋体"/>
                <w:b/>
                <w:sz w:val="21"/>
              </w:rPr>
              <w:t>阶段</w:t>
            </w:r>
          </w:p>
        </w:tc>
        <w:tc>
          <w:tcPr>
            <w:tcW w:type="dxa" w:w="1020"/>
            <w:shd w:val="clear" w:color="auto" w:fill="D9D9D9"/>
            <w:vAlign w:val="center"/>
          </w:tcPr>
          <w:p>
            <w:pPr>
              <w:spacing w:line="240" w:lineRule="auto" w:after="0" w:before="0"/>
              <w:ind w:firstLineChars="0" w:firstLine="0"/>
              <w:jc w:val="center"/>
            </w:pPr>
            <w:r>
              <w:rPr>
                <w:rFonts w:ascii="Times New Roman" w:hAnsi="Times New Roman" w:eastAsia="宋体"/>
                <w:b/>
                <w:sz w:val="21"/>
              </w:rPr>
              <w:t>时间节点</w:t>
            </w:r>
          </w:p>
        </w:tc>
        <w:tc>
          <w:tcPr>
            <w:tcW w:type="dxa" w:w="3742"/>
            <w:shd w:val="clear" w:color="auto" w:fill="D9D9D9"/>
            <w:vAlign w:val="center"/>
          </w:tcPr>
          <w:p>
            <w:pPr>
              <w:spacing w:line="240" w:lineRule="auto" w:after="0" w:before="0"/>
              <w:ind w:firstLineChars="0" w:firstLine="0"/>
              <w:jc w:val="center"/>
            </w:pPr>
            <w:r>
              <w:rPr>
                <w:rFonts w:ascii="Times New Roman" w:hAnsi="Times New Roman" w:eastAsia="宋体"/>
                <w:b/>
                <w:sz w:val="21"/>
              </w:rPr>
              <w:t>主要任务</w:t>
            </w:r>
          </w:p>
        </w:tc>
        <w:tc>
          <w:tcPr>
            <w:tcW w:type="dxa" w:w="2494"/>
            <w:shd w:val="clear" w:color="auto" w:fill="D9D9D9"/>
            <w:vAlign w:val="center"/>
          </w:tcPr>
          <w:p>
            <w:pPr>
              <w:spacing w:line="240" w:lineRule="auto" w:after="0" w:before="0"/>
              <w:ind w:firstLineChars="0" w:firstLine="0"/>
              <w:jc w:val="center"/>
            </w:pPr>
            <w:r>
              <w:rPr>
                <w:rFonts w:ascii="Times New Roman" w:hAnsi="Times New Roman" w:eastAsia="宋体"/>
                <w:b/>
                <w:sz w:val="21"/>
              </w:rPr>
              <w:t>交付成果</w:t>
            </w:r>
          </w:p>
        </w:tc>
      </w:tr>
      <w:tr>
        <w:trPr>
          <w:cantSplit/>
        </w:trPr>
        <w:tc>
          <w:tcPr>
            <w:tcW w:type="dxa" w:w="1814"/>
            <w:vAlign w:val="center"/>
          </w:tcPr>
          <w:p>
            <w:pPr>
              <w:spacing w:line="240" w:lineRule="auto" w:after="0" w:before="0"/>
              <w:ind w:firstLineChars="0" w:firstLine="0"/>
              <w:jc w:val="center"/>
            </w:pPr>
            <w:r>
              <w:rPr>
                <w:rFonts w:ascii="Times New Roman" w:hAnsi="Times New Roman" w:eastAsia="宋体"/>
                <w:b w:val="0"/>
                <w:sz w:val="21"/>
              </w:rPr>
              <w:t>第一阶段：需求梳理与底座搭建</w:t>
            </w:r>
          </w:p>
        </w:tc>
        <w:tc>
          <w:tcPr>
            <w:tcW w:type="dxa" w:w="1020"/>
            <w:vAlign w:val="center"/>
          </w:tcPr>
          <w:p>
            <w:pPr>
              <w:spacing w:line="240" w:lineRule="auto" w:after="0" w:before="0"/>
              <w:ind w:firstLineChars="0" w:firstLine="0"/>
              <w:jc w:val="center"/>
            </w:pPr>
            <w:r>
              <w:rPr>
                <w:rFonts w:ascii="Times New Roman" w:hAnsi="Times New Roman" w:eastAsia="宋体"/>
                <w:b w:val="0"/>
                <w:sz w:val="21"/>
              </w:rPr>
              <w:t>第1-2月</w:t>
            </w:r>
          </w:p>
        </w:tc>
        <w:tc>
          <w:tcPr>
            <w:tcW w:type="dxa" w:w="3742"/>
            <w:vAlign w:val="center"/>
          </w:tcPr>
          <w:p>
            <w:pPr>
              <w:spacing w:line="240" w:lineRule="auto" w:after="0" w:before="0"/>
              <w:ind w:firstLineChars="0" w:firstLine="0"/>
              <w:jc w:val="left"/>
            </w:pPr>
            <w:r>
              <w:rPr>
                <w:rFonts w:ascii="Times New Roman" w:hAnsi="Times New Roman" w:eastAsia="宋体"/>
                <w:b w:val="0"/>
                <w:sz w:val="21"/>
              </w:rPr>
              <w:t>1.梳理SDN安全科研教学痛点，整理原有Demo全部缺陷清单；2.搭建Mininet+Ryu仿真环境；3.完成数据集流水线开发，实现时序切分、泄露诊断工具；4.完成基础CNN-BiLSTM模型实现。</w:t>
            </w:r>
          </w:p>
        </w:tc>
        <w:tc>
          <w:tcPr>
            <w:tcW w:type="dxa" w:w="2494"/>
            <w:vAlign w:val="center"/>
          </w:tcPr>
          <w:p>
            <w:pPr>
              <w:spacing w:line="240" w:lineRule="auto" w:after="0" w:before="0"/>
              <w:ind w:firstLineChars="0" w:firstLine="0"/>
              <w:jc w:val="left"/>
            </w:pPr>
            <w:r>
              <w:rPr>
                <w:rFonts w:ascii="Times New Roman" w:hAnsi="Times New Roman" w:eastAsia="宋体"/>
                <w:b w:val="0"/>
                <w:sz w:val="21"/>
              </w:rPr>
              <w:t>缺陷清单；仿真环境底座；数据集预处理脚本；基础模型代码</w:t>
            </w:r>
          </w:p>
        </w:tc>
      </w:tr>
      <w:tr>
        <w:trPr>
          <w:cantSplit/>
        </w:trPr>
        <w:tc>
          <w:tcPr>
            <w:tcW w:type="dxa" w:w="1814"/>
            <w:vAlign w:val="center"/>
          </w:tcPr>
          <w:p>
            <w:pPr>
              <w:spacing w:line="240" w:lineRule="auto" w:after="0" w:before="0"/>
              <w:ind w:firstLineChars="0" w:firstLine="0"/>
              <w:jc w:val="center"/>
            </w:pPr>
            <w:r>
              <w:rPr>
                <w:rFonts w:ascii="Times New Roman" w:hAnsi="Times New Roman" w:eastAsia="宋体"/>
                <w:b w:val="0"/>
                <w:sz w:val="21"/>
              </w:rPr>
              <w:t>第二阶段：算法开发与基线补齐</w:t>
            </w:r>
          </w:p>
        </w:tc>
        <w:tc>
          <w:tcPr>
            <w:tcW w:type="dxa" w:w="1020"/>
            <w:vAlign w:val="center"/>
          </w:tcPr>
          <w:p>
            <w:pPr>
              <w:spacing w:line="240" w:lineRule="auto" w:after="0" w:before="0"/>
              <w:ind w:firstLineChars="0" w:firstLine="0"/>
              <w:jc w:val="center"/>
            </w:pPr>
            <w:r>
              <w:rPr>
                <w:rFonts w:ascii="Times New Roman" w:hAnsi="Times New Roman" w:eastAsia="宋体"/>
                <w:b w:val="0"/>
                <w:sz w:val="21"/>
              </w:rPr>
              <w:t>第3-4月</w:t>
            </w:r>
          </w:p>
        </w:tc>
        <w:tc>
          <w:tcPr>
            <w:tcW w:type="dxa" w:w="3742"/>
            <w:vAlign w:val="center"/>
          </w:tcPr>
          <w:p>
            <w:pPr>
              <w:spacing w:line="240" w:lineRule="auto" w:after="0" w:before="0"/>
              <w:ind w:firstLineChars="0" w:firstLine="0"/>
              <w:jc w:val="left"/>
            </w:pPr>
            <w:r>
              <w:rPr>
                <w:rFonts w:ascii="Times New Roman" w:hAnsi="Times New Roman" w:eastAsia="宋体"/>
                <w:b w:val="0"/>
                <w:sz w:val="21"/>
              </w:rPr>
              <w:t>1.开发基线算法、对抗样本、开集拒识模块；2.开展消融、对照实验；3.开发评估套件、工作点Pareto枚举工具；4.完成Ryu-guard控制器对接模块开发与单元测试。</w:t>
            </w:r>
          </w:p>
        </w:tc>
        <w:tc>
          <w:tcPr>
            <w:tcW w:type="dxa" w:w="2494"/>
            <w:vAlign w:val="center"/>
          </w:tcPr>
          <w:p>
            <w:pPr>
              <w:spacing w:line="240" w:lineRule="auto" w:after="0" w:before="0"/>
              <w:ind w:firstLineChars="0" w:firstLine="0"/>
              <w:jc w:val="left"/>
            </w:pPr>
            <w:r>
              <w:rPr>
                <w:rFonts w:ascii="Times New Roman" w:hAnsi="Times New Roman" w:eastAsia="宋体"/>
                <w:b w:val="0"/>
                <w:sz w:val="21"/>
              </w:rPr>
              <w:t>完整算法代码；消融实验脚本；评估工具；SDN对接模块</w:t>
            </w:r>
          </w:p>
        </w:tc>
      </w:tr>
      <w:tr>
        <w:trPr>
          <w:cantSplit/>
        </w:trPr>
        <w:tc>
          <w:tcPr>
            <w:tcW w:type="dxa" w:w="1814"/>
            <w:vAlign w:val="center"/>
          </w:tcPr>
          <w:p>
            <w:pPr>
              <w:spacing w:line="240" w:lineRule="auto" w:after="0" w:before="0"/>
              <w:ind w:firstLineChars="0" w:firstLine="0"/>
              <w:jc w:val="center"/>
            </w:pPr>
            <w:r>
              <w:rPr>
                <w:rFonts w:ascii="Times New Roman" w:hAnsi="Times New Roman" w:eastAsia="宋体"/>
                <w:b w:val="0"/>
                <w:sz w:val="21"/>
              </w:rPr>
              <w:t>第三阶段：系统集成与教学资源开发</w:t>
            </w:r>
          </w:p>
        </w:tc>
        <w:tc>
          <w:tcPr>
            <w:tcW w:type="dxa" w:w="1020"/>
            <w:vAlign w:val="center"/>
          </w:tcPr>
          <w:p>
            <w:pPr>
              <w:spacing w:line="240" w:lineRule="auto" w:after="0" w:before="0"/>
              <w:ind w:firstLineChars="0" w:firstLine="0"/>
              <w:jc w:val="center"/>
            </w:pPr>
            <w:r>
              <w:rPr>
                <w:rFonts w:ascii="Times New Roman" w:hAnsi="Times New Roman" w:eastAsia="宋体"/>
                <w:b w:val="0"/>
                <w:sz w:val="21"/>
              </w:rPr>
              <w:t>第5月</w:t>
            </w:r>
          </w:p>
        </w:tc>
        <w:tc>
          <w:tcPr>
            <w:tcW w:type="dxa" w:w="3742"/>
            <w:vAlign w:val="center"/>
          </w:tcPr>
          <w:p>
            <w:pPr>
              <w:spacing w:line="240" w:lineRule="auto" w:after="0" w:before="0"/>
              <w:ind w:firstLineChars="0" w:firstLine="0"/>
              <w:jc w:val="left"/>
            </w:pPr>
            <w:r>
              <w:rPr>
                <w:rFonts w:ascii="Times New Roman" w:hAnsi="Times New Roman" w:eastAsia="宋体"/>
                <w:b w:val="0"/>
                <w:sz w:val="21"/>
              </w:rPr>
              <w:t>1.实现在线推理服务、策略热更新、审计台账、样本回流；2.真机Ryu控制器联调测试；3.开发130项自检套件；4.编写实验指导书、习题案例、全套项目文档。</w:t>
            </w:r>
          </w:p>
        </w:tc>
        <w:tc>
          <w:tcPr>
            <w:tcW w:type="dxa" w:w="2494"/>
            <w:vAlign w:val="center"/>
          </w:tcPr>
          <w:p>
            <w:pPr>
              <w:spacing w:line="240" w:lineRule="auto" w:after="0" w:before="0"/>
              <w:ind w:firstLineChars="0" w:firstLine="0"/>
              <w:jc w:val="left"/>
            </w:pPr>
            <w:r>
              <w:rPr>
                <w:rFonts w:ascii="Times New Roman" w:hAnsi="Times New Roman" w:eastAsia="宋体"/>
                <w:b w:val="0"/>
                <w:sz w:val="21"/>
              </w:rPr>
              <w:t>完整集成工程；自检套件；教学资源包；全套技术文档</w:t>
            </w:r>
          </w:p>
        </w:tc>
      </w:tr>
      <w:tr>
        <w:trPr>
          <w:cantSplit/>
        </w:trPr>
        <w:tc>
          <w:tcPr>
            <w:tcW w:type="dxa" w:w="1814"/>
            <w:vAlign w:val="center"/>
          </w:tcPr>
          <w:p>
            <w:pPr>
              <w:spacing w:line="240" w:lineRule="auto" w:after="0" w:before="0"/>
              <w:ind w:firstLineChars="0" w:firstLine="0"/>
              <w:jc w:val="center"/>
            </w:pPr>
            <w:r>
              <w:rPr>
                <w:rFonts w:ascii="Times New Roman" w:hAnsi="Times New Roman" w:eastAsia="宋体"/>
                <w:b w:val="0"/>
                <w:sz w:val="21"/>
              </w:rPr>
              <w:t>第四阶段：测试迭代与成果整理</w:t>
            </w:r>
          </w:p>
        </w:tc>
        <w:tc>
          <w:tcPr>
            <w:tcW w:type="dxa" w:w="1020"/>
            <w:vAlign w:val="center"/>
          </w:tcPr>
          <w:p>
            <w:pPr>
              <w:spacing w:line="240" w:lineRule="auto" w:after="0" w:before="0"/>
              <w:ind w:firstLineChars="0" w:firstLine="0"/>
              <w:jc w:val="center"/>
            </w:pPr>
            <w:r>
              <w:rPr>
                <w:rFonts w:ascii="Times New Roman" w:hAnsi="Times New Roman" w:eastAsia="宋体"/>
                <w:b w:val="0"/>
                <w:sz w:val="21"/>
              </w:rPr>
              <w:t>第6月</w:t>
            </w:r>
          </w:p>
        </w:tc>
        <w:tc>
          <w:tcPr>
            <w:tcW w:type="dxa" w:w="3742"/>
            <w:vAlign w:val="center"/>
          </w:tcPr>
          <w:p>
            <w:pPr>
              <w:spacing w:line="240" w:lineRule="auto" w:after="0" w:before="0"/>
              <w:ind w:firstLineChars="0" w:firstLine="0"/>
              <w:jc w:val="left"/>
            </w:pPr>
            <w:r>
              <w:rPr>
                <w:rFonts w:ascii="Times New Roman" w:hAnsi="Times New Roman" w:eastAsia="宋体"/>
                <w:b w:val="0"/>
                <w:sz w:val="21"/>
              </w:rPr>
              <w:t xml:space="preserve">&lt;w:tcPr&gt;&lt;w:tcW w:type="dxa" w:w="3742"/&gt;&lt;w:vAlign w:val="center"/&gt;&lt;/w:tcPr&gt;&lt;w:p&gt;&lt;w:pPr&gt;&lt;w:spacing w:line="240" w:lineRule="auto" w:after="0" w:before="0"/&gt;&lt;w:ind w:firstLineChars="0" w:firstLine="0"/&gt;&lt;w:jc w:val="left"/&gt;&lt;/w:pPr&gt;&lt;w:r&gt;&lt;w:rPr&gt;&lt;w:rFonts w:ascii="Times New Roman" w:hAnsi="Times New Roman" w:eastAsia="宋体"/&gt;&lt;w:b w:val="0"/&gt;&lt;w:sz w:val="21"/&gt;&lt;/w:rPr&gt;&lt;w:t&gt;1.长稳回放测试，多种子复现验证；2.开源发布并整理课程实验包（一键复现、离线回放）；3.整理开源仓库，准备答辩、演示材料。</w:t>
            </w:r>
          </w:p>
        </w:tc>
        <w:tc>
          <w:tcPr>
            <w:tcW w:type="dxa" w:w="2494"/>
            <w:vAlign w:val="center"/>
          </w:tcPr>
          <w:p>
            <w:pPr>
              <w:spacing w:line="240" w:lineRule="auto" w:after="0" w:before="0"/>
              <w:ind w:firstLineChars="0" w:firstLine="0"/>
              <w:jc w:val="left"/>
            </w:pPr>
            <w:r>
              <w:rPr>
                <w:rFonts w:ascii="Times New Roman" w:hAnsi="Times New Roman" w:eastAsia="宋体"/>
                <w:b w:val="0"/>
                <w:sz w:val="21"/>
              </w:rPr>
              <w:t xml:space="preserve">&lt;w:tcPr&gt;&lt;w:tcW w:type="dxa" w:w="2494"/&gt;&lt;w:vAlign w:val="center"/&gt;&lt;/w:tcPr&gt;&lt;w:p&gt;&lt;w:pPr&gt;&lt;w:spacing w:line="240" w:lineRule="auto" w:after="0" w:before="0"/&gt;&lt;w:ind w:firstLineChars="0" w:firstLine="0"/&gt;&lt;w:jc w:val="left"/&gt;&lt;/w:pPr&gt;&lt;w:r&gt;&lt;w:rPr&gt;&lt;w:rFonts w:ascii="Times New Roman" w:hAnsi="Times New Roman" w:eastAsia="宋体"/&gt;&lt;w:b w:val="0"/&gt;&lt;w:sz w:val="21"/&gt;&lt;/w:rPr&gt;&lt;w:t&gt;稳定可运行开源工程；开源仓库与课程实验包；演示脚本、竞赛全套材料</w:t>
            </w:r>
          </w:p>
        </w:tc>
      </w:tr>
    </w:tbl>
    <w:p>
      <w:pPr>
        <w:spacing w:after="80" w:before="0" w:line="240" w:lineRule="auto"/>
        <w:ind w:firstLineChars="0" w:firstLine="0"/>
        <w:jc w:val="center"/>
      </w:pPr>
      <w:r>
        <w:rPr>
          <w:rFonts w:ascii="Times New Roman" w:hAnsi="Times New Roman" w:eastAsia="宋体"/>
          <w:b w:val="0"/>
          <w:sz w:val="21"/>
        </w:rPr>
        <w:t>表7-1  项目实施计划表</w:t>
      </w:r>
    </w:p>
    <w:p>
      <w:pPr>
        <w:pStyle w:val="Heading2"/>
      </w:pPr>
      <w:bookmarkStart w:id="31" w:name="_Toc1031"/>
      <w:r>
        <w:rPr>
          <w:rFonts w:ascii="Times New Roman" w:hAnsi="Times New Roman" w:eastAsia="黑体"/>
          <w:b/>
          <w:sz w:val="28"/>
        </w:rPr>
        <w:t>7.2  技术实现（分层实现与学科交叉价值）</w:t>
      </w:r>
      <w:bookmarkEnd w:id="31"/>
    </w:p>
    <w:p>
      <w:pPr>
        <w:spacing w:after="0" w:before="0" w:line="360" w:lineRule="auto"/>
        <w:ind w:firstLineChars="200" w:firstLine="480"/>
        <w:jc w:val="both"/>
      </w:pPr>
      <w:r>
        <w:rPr>
          <w:rFonts w:ascii="Times New Roman" w:hAnsi="Times New Roman" w:eastAsia="宋体"/>
          <w:b w:val="0"/>
          <w:sz w:val="24"/>
        </w:rPr>
        <w:t>数据层实现（网络空间安全+软件工程）：基于Python实现完整数据流水线，重点解决时序数据集泄露这一网络安全科研常见陷阱。不仅实现数据处理功能，同时把“时序数据集不能随机打乱切分”的网安科研范式固化到工具中，直接服务科研与教学。</w:t>
      </w:r>
    </w:p>
    <w:p>
      <w:pPr>
        <w:spacing w:after="0" w:before="0" w:line="360" w:lineRule="auto"/>
        <w:ind w:firstLineChars="200" w:firstLine="480"/>
        <w:jc w:val="both"/>
      </w:pPr>
      <w:r>
        <w:rPr>
          <w:rFonts w:ascii="Times New Roman" w:hAnsi="Times New Roman" w:eastAsia="宋体"/>
          <w:b w:val="0"/>
          <w:sz w:val="24"/>
        </w:rPr>
        <w:t>算法层实现（网络空间安全+人工智能）：将深度学习时序分析技术和SDN网络安全业务结合，不是直接照搬通用时序模型。针对SDN流统计特征做适配，设计多任务输出适配攻击识别分类；加入开集识别解决网络中未知攻击的现实问题，把AI算法和网络安全业务风险约束结合。</w:t>
      </w:r>
    </w:p>
    <w:p>
      <w:pPr>
        <w:spacing w:after="0" w:before="0" w:line="360" w:lineRule="auto"/>
        <w:ind w:firstLineChars="200" w:firstLine="480"/>
        <w:jc w:val="both"/>
      </w:pPr>
      <w:r>
        <w:rPr>
          <w:rFonts w:ascii="Times New Roman" w:hAnsi="Times New Roman" w:eastAsia="宋体"/>
          <w:b w:val="0"/>
          <w:sz w:val="24"/>
        </w:rPr>
        <w:t>平台服务层实现（新工科软件工程）：完成算法工程化落地，解决模型从“离线脚本”走向“在线服务”的工程问题。实现批推理性能优化、策略热更新、审计日志、演练安全模式，保障系统在线运行的稳定性与安全性。</w:t>
      </w:r>
    </w:p>
    <w:p>
      <w:pPr>
        <w:spacing w:after="0" w:before="0" w:line="360" w:lineRule="auto"/>
        <w:ind w:firstLineChars="200" w:firstLine="480"/>
        <w:jc w:val="both"/>
      </w:pPr>
      <w:r>
        <w:rPr>
          <w:rFonts w:ascii="Times New Roman" w:hAnsi="Times New Roman" w:eastAsia="宋体"/>
          <w:b w:val="0"/>
          <w:sz w:val="24"/>
        </w:rPr>
        <w:t>应用交互层实现（面向网安人才培养）：面向教学科研用户封装使用接口，屏蔽底层复杂细节。配套完整实验案例，帮助学生理解AI入侵检测原理，降低SDN-AI交叉方向的入门门槛，服务网络空间安全学科人才培养。</w:t>
      </w:r>
    </w:p>
    <w:p>
      <w:pPr>
        <w:pStyle w:val="Heading2"/>
      </w:pPr>
      <w:r>
        <w:rPr>
          <w:rFonts w:ascii="Times New Roman" w:hAnsi="Times New Roman" w:eastAsia="黑体"/>
          <w:b/>
          <w:sz w:val="28"/>
        </w:rPr>
        <w:t xml:space="preserve">7.3  个人分工与承担内容</w:t>
      </w:r>
    </w:p>
    <w:tbl>
      <w:tblPr>
        <w:tblStyle w:val="TableGrid"/>
        <w:tblW w:type="auto" w:w="0"/>
        <w:jc w:val="center"/>
        <w:tblLook w:firstColumn="1" w:firstRow="1" w:lastColumn="0" w:lastRow="0" w:noHBand="0" w:noVBand="1" w:val="04A0"/>
      </w:tblPr>
      <w:tblGrid>
        <w:gridCol w:w="3024"/>
        <w:gridCol w:w="3024"/>
        <w:gridCol w:w="3024"/>
      </w:tblGrid>
      <w:tr>
        <w:trPr>
          <w:tblHeader w:val="true"/>
          <w:cantSplit/>
        </w:trPr>
        <w:tc>
          <w:tcPr>
            <w:tcW w:type="dxa" w:w="1474"/>
            <w:shd w:val="clear" w:color="auto" w:fill="D9D9D9"/>
            <w:vAlign w:val="center"/>
          </w:tcPr>
          <w:p>
            <w:pPr>
              <w:spacing w:line="240" w:lineRule="auto" w:after="0" w:before="0"/>
              <w:ind w:firstLineChars="0" w:firstLine="0"/>
              <w:jc w:val="center"/>
            </w:pPr>
            <w:r>
              <w:rPr>
                <w:rFonts w:ascii="Times New Roman" w:hAnsi="Times New Roman" w:eastAsia="宋体"/>
                <w:b/>
                <w:sz w:val="21"/>
              </w:rPr>
              <w:t xml:space="preserve">角色</w:t>
            </w:r>
          </w:p>
        </w:tc>
        <w:tc>
          <w:tcPr>
            <w:tcW w:type="dxa" w:w="2041"/>
            <w:shd w:val="clear" w:color="auto" w:fill="D9D9D9"/>
            <w:vAlign w:val="center"/>
          </w:tcPr>
          <w:p>
            <w:pPr>
              <w:spacing w:line="240" w:lineRule="auto" w:after="0" w:before="0"/>
              <w:ind w:firstLineChars="0" w:firstLine="0"/>
              <w:jc w:val="center"/>
            </w:pPr>
            <w:r>
              <w:rPr>
                <w:rFonts w:ascii="Times New Roman" w:hAnsi="Times New Roman" w:eastAsia="宋体"/>
                <w:b/>
                <w:sz w:val="21"/>
              </w:rPr>
              <w:t xml:space="preserve">承担内容</w:t>
            </w:r>
          </w:p>
        </w:tc>
        <w:tc>
          <w:tcPr>
            <w:tcW w:type="dxa" w:w="5669"/>
            <w:shd w:val="clear" w:color="auto" w:fill="D9D9D9"/>
            <w:vAlign w:val="center"/>
          </w:tcPr>
          <w:p>
            <w:pPr>
              <w:spacing w:line="240" w:lineRule="auto" w:after="0" w:before="0"/>
              <w:ind w:firstLineChars="0" w:firstLine="0"/>
              <w:jc w:val="center"/>
            </w:pPr>
            <w:r>
              <w:rPr>
                <w:rFonts w:ascii="Times New Roman" w:hAnsi="Times New Roman" w:eastAsia="宋体"/>
                <w:b/>
                <w:sz w:val="21"/>
              </w:rPr>
              <w:t xml:space="preserve">说明</w:t>
            </w:r>
          </w:p>
        </w:tc>
      </w:tr>
      <w:tr>
        <w:trPr>
          <w:tblHeader w:val="true"/>
          <w:cantSplit/>
        </w:trPr>
        <w:tc>
          <w:tcPr>
            <w:tcW w:type="dxa" w:w="1474"/>
            <w:shd w:val="clear" w:color="auto" w:fill="D9D9D9"/>
            <w:vAlign w:val="center"/>
          </w:tcPr>
          <w:p>
            <w:pPr>
              <w:spacing w:line="240" w:lineRule="auto" w:after="0" w:before="0"/>
              <w:ind w:firstLineChars="0" w:firstLine="0"/>
              <w:jc w:val="center"/>
            </w:pPr>
            <w:r>
              <w:rPr>
                <w:rFonts w:ascii="Times New Roman" w:hAnsi="Times New Roman" w:eastAsia="宋体"/>
                <w:b/>
                <w:sz w:val="21"/>
              </w:rPr>
              <w:t xml:space="preserve">算法与模型</w:t>
            </w:r>
          </w:p>
          <w:p>
            <w:pPr>
              <w:spacing w:line="240" w:lineRule="auto" w:after="0" w:before="0"/>
              <w:ind w:firstLineChars="0" w:firstLine="0"/>
              <w:jc w:val="center"/>
            </w:pPr>
            <w:r>
              <w:rPr>
                <w:rFonts w:ascii="Times New Roman" w:hAnsi="Times New Roman" w:eastAsia="宋体"/>
                <w:b/>
                <w:sz w:val="21"/>
              </w:rPr>
              <w:t xml:space="preserve">说明：本项目为个人参赛，上表各角色均由参赛人独立承担；不存在指导教师与其他团队成员，也不依赖任何外部单位资源。</w:t>
            </w:r>
          </w:p>
        </w:tc>
        <w:tc>
          <w:tcPr>
            <w:tcW w:type="dxa" w:w="2041"/>
            <w:shd w:val="clear" w:color="auto" w:fill="D9D9D9"/>
            <w:vAlign w:val="center"/>
          </w:tcPr>
          <w:p>
            <w:pPr>
              <w:spacing w:line="240" w:lineRule="auto" w:after="0" w:before="0"/>
              <w:ind w:firstLineChars="0" w:firstLine="0"/>
              <w:jc w:val="center"/>
            </w:pPr>
            <w:r>
              <w:rPr>
                <w:rFonts w:ascii="Times New Roman" w:hAnsi="Times New Roman" w:eastAsia="宋体"/>
                <w:b/>
                <w:sz w:val="21"/>
              </w:rPr>
              <w:t xml:space="preserve">数据管线、CNN-BiLSTM 双分支模型、消融/对抗/开集实验、评估与自检套件</w:t>
            </w:r>
          </w:p>
        </w:tc>
        <w:tc>
          <w:tcPr>
            <w:tcW w:type="dxa" w:w="5669"/>
            <w:shd w:val="clear" w:color="auto" w:fill="D9D9D9"/>
            <w:vAlign w:val="center"/>
          </w:tcPr>
          <w:p>
            <w:pPr>
              <w:spacing w:line="240" w:lineRule="auto" w:after="0" w:before="0"/>
              <w:ind w:firstLineChars="0" w:firstLine="0"/>
              <w:jc w:val="center"/>
            </w:pPr>
            <w:r>
              <w:rPr>
                <w:rFonts w:ascii="Times New Roman" w:hAnsi="Times New Roman" w:eastAsia="宋体"/>
                <w:b/>
                <w:sz w:val="21"/>
              </w:rPr>
              <w:t xml:space="preserve">独立完成</w:t>
            </w:r>
          </w:p>
        </w:tc>
      </w:tr>
      <w:tr>
        <w:trPr>
          <w:tblHeader w:val="true"/>
          <w:cantSplit/>
        </w:trPr>
        <w:tc>
          <w:tcPr>
            <w:tcW w:type="dxa" w:w="1474"/>
            <w:shd w:val="clear" w:color="auto" w:fill="D9D9D9"/>
            <w:vAlign w:val="center"/>
          </w:tcPr>
          <w:p>
            <w:pPr>
              <w:spacing w:line="240" w:lineRule="auto" w:after="0" w:before="0"/>
              <w:ind w:firstLineChars="0" w:firstLine="0"/>
              <w:jc w:val="center"/>
            </w:pPr>
            <w:r>
              <w:rPr>
                <w:rFonts w:ascii="Times New Roman" w:hAnsi="Times New Roman" w:eastAsia="宋体"/>
                <w:b/>
                <w:sz w:val="21"/>
              </w:rPr>
              <w:t xml:space="preserve">平台与工程</w:t>
            </w:r>
          </w:p>
        </w:tc>
        <w:tc>
          <w:tcPr>
            <w:tcW w:type="dxa" w:w="2041"/>
            <w:shd w:val="clear" w:color="auto" w:fill="D9D9D9"/>
            <w:vAlign w:val="center"/>
          </w:tcPr>
          <w:p>
            <w:pPr>
              <w:spacing w:line="240" w:lineRule="auto" w:after="0" w:before="0"/>
              <w:ind w:firstLineChars="0" w:firstLine="0"/>
              <w:jc w:val="center"/>
            </w:pPr>
            <w:r>
              <w:rPr>
                <w:rFonts w:ascii="Times New Roman" w:hAnsi="Times New Roman" w:eastAsia="宋体"/>
                <w:b/>
                <w:sz w:val="21"/>
              </w:rPr>
              <w:t xml:space="preserve">在线推理服务、策略热更新、审计台账、研判样本回流、统一入口工具链</w:t>
            </w:r>
          </w:p>
        </w:tc>
        <w:tc>
          <w:tcPr>
            <w:tcW w:type="dxa" w:w="5669"/>
            <w:shd w:val="clear" w:color="auto" w:fill="D9D9D9"/>
            <w:vAlign w:val="center"/>
          </w:tcPr>
          <w:p>
            <w:pPr>
              <w:spacing w:line="240" w:lineRule="auto" w:after="0" w:before="0"/>
              <w:ind w:firstLineChars="0" w:firstLine="0"/>
              <w:jc w:val="center"/>
            </w:pPr>
            <w:r>
              <w:rPr>
                <w:rFonts w:ascii="Times New Roman" w:hAnsi="Times New Roman" w:eastAsia="宋体"/>
                <w:b/>
                <w:sz w:val="21"/>
              </w:rPr>
              <w:t xml:space="preserve">独立完成</w:t>
            </w:r>
          </w:p>
        </w:tc>
      </w:tr>
      <w:tr>
        <w:trPr>
          <w:tblHeader w:val="true"/>
          <w:cantSplit/>
        </w:trPr>
        <w:tc>
          <w:tcPr>
            <w:tcW w:type="dxa" w:w="1474"/>
            <w:shd w:val="clear" w:color="auto" w:fill="D9D9D9"/>
            <w:vAlign w:val="center"/>
          </w:tcPr>
          <w:p>
            <w:pPr>
              <w:spacing w:line="240" w:lineRule="auto" w:after="0" w:before="0"/>
              <w:ind w:firstLineChars="0" w:firstLine="0"/>
              <w:jc w:val="center"/>
            </w:pPr>
            <w:r>
              <w:rPr>
                <w:rFonts w:ascii="Times New Roman" w:hAnsi="Times New Roman" w:eastAsia="宋体"/>
                <w:b/>
                <w:sz w:val="21"/>
              </w:rPr>
              <w:t xml:space="preserve">网络与控制平面</w:t>
            </w:r>
          </w:p>
        </w:tc>
        <w:tc>
          <w:tcPr>
            <w:tcW w:type="dxa" w:w="2041"/>
            <w:shd w:val="clear" w:color="auto" w:fill="D9D9D9"/>
            <w:vAlign w:val="center"/>
          </w:tcPr>
          <w:p>
            <w:pPr>
              <w:spacing w:line="240" w:lineRule="auto" w:after="0" w:before="0"/>
              <w:ind w:firstLineChars="0" w:firstLine="0"/>
              <w:jc w:val="center"/>
            </w:pPr>
            <w:r>
              <w:rPr>
                <w:rFonts w:ascii="Times New Roman" w:hAnsi="Times New Roman" w:eastAsia="宋体"/>
                <w:b/>
                <w:sz w:val="21"/>
              </w:rPr>
              <w:t xml:space="preserve">Mininet/Ryu 仿真环境、OpenFlow 1.3 对接、真机联调与回读校验</w:t>
            </w:r>
          </w:p>
        </w:tc>
        <w:tc>
          <w:tcPr>
            <w:tcW w:type="dxa" w:w="5669"/>
            <w:shd w:val="clear" w:color="auto" w:fill="D9D9D9"/>
            <w:vAlign w:val="center"/>
          </w:tcPr>
          <w:p>
            <w:pPr>
              <w:spacing w:line="240" w:lineRule="auto" w:after="0" w:before="0"/>
              <w:ind w:firstLineChars="0" w:firstLine="0"/>
              <w:jc w:val="center"/>
            </w:pPr>
            <w:r>
              <w:rPr>
                <w:rFonts w:ascii="Times New Roman" w:hAnsi="Times New Roman" w:eastAsia="宋体"/>
                <w:b/>
                <w:sz w:val="21"/>
              </w:rPr>
              <w:t xml:space="preserve">独立完成</w:t>
            </w:r>
          </w:p>
        </w:tc>
      </w:tr>
      <w:tr>
        <w:trPr>
          <w:tblHeader w:val="true"/>
          <w:cantSplit/>
        </w:trPr>
        <w:tc>
          <w:tcPr>
            <w:tcW w:type="dxa" w:w="1474"/>
            <w:shd w:val="clear" w:color="auto" w:fill="D9D9D9"/>
            <w:vAlign w:val="center"/>
          </w:tcPr>
          <w:p>
            <w:pPr>
              <w:spacing w:line="240" w:lineRule="auto" w:after="0" w:before="0"/>
              <w:ind w:firstLineChars="0" w:firstLine="0"/>
              <w:jc w:val="center"/>
            </w:pPr>
            <w:r>
              <w:rPr>
                <w:rFonts w:ascii="Times New Roman" w:hAnsi="Times New Roman" w:eastAsia="宋体"/>
                <w:b/>
                <w:sz w:val="21"/>
              </w:rPr>
              <w:t xml:space="preserve">文档与交付</w:t>
            </w:r>
          </w:p>
        </w:tc>
        <w:tc>
          <w:tcPr>
            <w:tcW w:type="dxa" w:w="2041"/>
            <w:shd w:val="clear" w:color="auto" w:fill="D9D9D9"/>
            <w:vAlign w:val="center"/>
          </w:tcPr>
          <w:p>
            <w:pPr>
              <w:spacing w:line="240" w:lineRule="auto" w:after="0" w:before="0"/>
              <w:ind w:firstLineChars="0" w:firstLine="0"/>
              <w:jc w:val="center"/>
            </w:pPr>
            <w:r>
              <w:rPr>
                <w:rFonts w:ascii="Times New Roman" w:hAnsi="Times New Roman" w:eastAsia="宋体"/>
                <w:b/>
                <w:sz w:val="21"/>
              </w:rPr>
              <w:t xml:space="preserve">技术文档、实验指导与习题案例、匿名化与开源仓库整理</w:t>
            </w:r>
          </w:p>
        </w:tc>
        <w:tc>
          <w:tcPr>
            <w:tcW w:type="dxa" w:w="5669"/>
            <w:shd w:val="clear" w:color="auto" w:fill="D9D9D9"/>
            <w:vAlign w:val="center"/>
          </w:tcPr>
          <w:p>
            <w:pPr>
              <w:spacing w:line="240" w:lineRule="auto" w:after="0" w:before="0"/>
              <w:ind w:firstLineChars="0" w:firstLine="0"/>
              <w:jc w:val="center"/>
            </w:pPr>
            <w:r>
              <w:rPr>
                <w:rFonts w:ascii="Times New Roman" w:hAnsi="Times New Roman" w:eastAsia="宋体"/>
                <w:b/>
                <w:sz w:val="21"/>
              </w:rPr>
              <w:t xml:space="preserve">独立完成</w:t>
            </w:r>
          </w:p>
        </w:tc>
      </w:tr>
    </w:tbl>
    <w:p>
      <w:pPr>
        <w:spacing w:after="80" w:before="0" w:line="240" w:lineRule="auto"/>
        <w:ind w:firstLineChars="0" w:firstLine="0"/>
        <w:jc w:val="center"/>
      </w:pPr>
      <w:r>
        <w:rPr>
          <w:rFonts w:ascii="Times New Roman" w:hAnsi="Times New Roman" w:eastAsia="宋体"/>
          <w:b w:val="0"/>
          <w:sz w:val="21"/>
        </w:rPr>
        <w:t xml:space="preserve">表7-2  个人分工与承担内容表</w:t>
      </w:r>
    </w:p>
    <w:p>
      <w:pPr>
        <w:pStyle w:val="Heading1"/>
      </w:pPr>
      <w:bookmarkStart w:id="8" w:name="_Toc1008"/>
      <w:r>
        <w:rPr>
          <w:rFonts w:ascii="Times New Roman" w:hAnsi="Times New Roman" w:eastAsia="黑体"/>
          <w:b/>
          <w:sz w:val="32"/>
        </w:rPr>
        <w:t>8  验证作业的数据</w:t>
      </w:r>
      <w:bookmarkEnd w:id="8"/>
    </w:p>
    <w:p>
      <w:pPr>
        <w:spacing w:after="0" w:before="0" w:line="360" w:lineRule="auto"/>
        <w:ind w:firstLineChars="200" w:firstLine="480"/>
        <w:jc w:val="both"/>
      </w:pPr>
      <w:r>
        <w:rPr>
          <w:rFonts w:ascii="Times New Roman" w:hAnsi="Times New Roman" w:eastAsia="宋体"/>
          <w:b w:val="0"/>
          <w:sz w:val="24"/>
        </w:rPr>
        <w:t>本章节展示项目实测验证数据，分为模型离线指标、在线告警指标、控制器原生特征实验、工程性能测试。测试数据集为自研仿真SDN流量数据集，包含8类流量，共86037条流记录，使用3组随机种子重复实验取均值。</w:t>
      </w:r>
    </w:p>
    <w:p>
      <w:pPr>
        <w:spacing w:after="80" w:before="0" w:line="240" w:lineRule="auto"/>
        <w:ind w:firstLineChars="0" w:firstLine="0"/>
        <w:jc w:val="center"/>
      </w:pPr>
      <w:r>
        <w:rPr>
          <w:rFonts w:ascii="Times New Roman" w:hAnsi="Times New Roman" w:eastAsia="宋体"/>
          <w:b w:val="0"/>
          <w:sz w:val="21"/>
        </w:rPr>
        <w:t xml:space="preserve">表8-1  公开真实数据集测试结果（决定工程能否上真实环境的关键一组数字）</w:t>
      </w:r>
    </w:p>
    <w:p>
      <w:pPr>
        <w:spacing w:after="80" w:before="0" w:line="240" w:lineRule="auto"/>
        <w:ind w:firstLineChars="0" w:firstLine="0"/>
        <w:jc w:val="center"/>
      </w:pPr>
      <w:r>
        <w:rPr>
          <w:rFonts w:ascii="Times New Roman" w:hAnsi="Times New Roman" w:eastAsia="宋体"/>
          <w:b w:val="0"/>
          <w:sz w:val="21"/>
        </w:rPr>
        <w:t xml:space="preserve">下表为公开真实数据集上的实测结果，采用无泄漏协议（时间序切分、跨天评测）；主指标为 1% 误报预算下的召回（TPR@FPR=1%）。</w:t>
      </w:r>
    </w:p>
    <w:tbl>
      <w:tblPr>
        <w:tblStyle w:val="TableGrid"/>
        <w:tblW w:type="auto" w:w="0"/>
        <w:jc w:val="center"/>
        <w:tblLook w:firstColumn="1" w:firstRow="1" w:lastColumn="0" w:lastRow="0" w:noHBand="0" w:noVBand="1" w:val="04A0"/>
      </w:tblPr>
      <w:tblGrid>
        <w:gridCol w:w="4536"/>
        <w:gridCol w:w="4536"/>
      </w:tblGrid>
      <w:tr>
        <w:trPr>
          <w:tblHeader w:val="true"/>
          <w:cantSplit/>
        </w:trPr>
        <w:tc>
          <w:tcPr>
            <w:tcW w:type="dxa" w:w="5102"/>
            <w:shd w:val="clear" w:color="auto" w:fill="D9D9D9"/>
            <w:vAlign w:val="center"/>
          </w:tcPr>
          <w:p>
            <w:pPr>
              <w:spacing w:line="240" w:lineRule="auto" w:after="0" w:before="0"/>
              <w:ind w:firstLineChars="0" w:firstLine="0"/>
              <w:jc w:val="center"/>
            </w:pPr>
            <w:r>
              <w:rPr>
                <w:rFonts w:ascii="Times New Roman" w:hAnsi="Times New Roman" w:eastAsia="宋体"/>
                <w:b/>
                <w:sz w:val="21"/>
              </w:rPr>
              <w:t xml:space="preserve">数据集与协议</w:t>
            </w:r>
          </w:p>
        </w:tc>
        <w:tc>
          <w:tcPr>
            <w:tcW w:type="dxa" w:w="3969"/>
            <w:shd w:val="clear" w:color="auto" w:fill="D9D9D9"/>
            <w:vAlign w:val="center"/>
          </w:tcPr>
          <w:p>
            <w:pPr>
              <w:spacing w:line="240" w:lineRule="auto" w:after="0" w:before="0"/>
              <w:ind w:firstLineChars="0" w:firstLine="0"/>
              <w:jc w:val="center"/>
            </w:pPr>
            <w:r>
              <w:rPr>
                <w:rFonts w:ascii="Times New Roman" w:hAnsi="Times New Roman" w:eastAsia="宋体"/>
                <w:b/>
                <w:sz w:val="21"/>
              </w:rPr>
              <w:t xml:space="preserve">关键指标</w:t>
            </w:r>
          </w:p>
        </w:tc>
        <w:tc>
          <w:tcPr>
            <w:tcW w:type="dxa" w:w="3969"/>
            <w:shd w:val="clear" w:color="auto" w:fill="D9D9D9"/>
            <w:vAlign w:val="center"/>
          </w:tcPr>
          <w:p>
            <w:pPr>
              <w:spacing w:line="240" w:lineRule="auto" w:after="0" w:before="0"/>
              <w:ind w:firstLineChars="0" w:firstLine="0"/>
              <w:jc w:val="center"/>
            </w:pPr>
            <w:r>
              <w:rPr>
                <w:rFonts w:ascii="Times New Roman" w:hAnsi="Times New Roman" w:eastAsia="宋体"/>
                <w:b/>
                <w:sz w:val="21"/>
              </w:rPr>
              <w:t xml:space="preserve">说明</w:t>
            </w:r>
          </w:p>
        </w:tc>
      </w:tr>
      <w:tr>
        <w:trPr>
          <w:tblHeader w:val="true"/>
          <w:cantSplit/>
        </w:trPr>
        <w:tc>
          <w:tcPr>
            <w:tcW w:type="dxa" w:w="5102"/>
            <w:shd w:val="clear" w:color="auto" w:fill="D9D9D9"/>
            <w:vAlign w:val="center"/>
          </w:tcPr>
          <w:p>
            <w:pPr>
              <w:spacing w:line="240" w:lineRule="auto" w:after="0" w:before="0"/>
              <w:ind w:firstLineChars="0" w:firstLine="0"/>
              <w:jc w:val="center"/>
            </w:pPr>
            <w:r>
              <w:rPr>
                <w:rFonts w:ascii="Times New Roman" w:hAnsi="Times New Roman" w:eastAsia="宋体"/>
                <w:b/>
                <w:sz w:val="21"/>
              </w:rPr>
              <w:t xml:space="preserve">inSDN（公开）</w:t>
            </w:r>
          </w:p>
        </w:tc>
        <w:tc>
          <w:tcPr>
            <w:tcW w:type="dxa" w:w="3969"/>
            <w:shd w:val="clear" w:color="auto" w:fill="D9D9D9"/>
            <w:vAlign w:val="center"/>
          </w:tcPr>
          <w:p>
            <w:pPr>
              <w:spacing w:line="240" w:lineRule="auto" w:after="0" w:before="0"/>
              <w:ind w:firstLineChars="0" w:firstLine="0"/>
              <w:jc w:val="center"/>
            </w:pPr>
            <w:r>
              <w:rPr>
                <w:rFonts w:ascii="Times New Roman" w:hAnsi="Times New Roman" w:eastAsia="宋体"/>
                <w:b/>
                <w:sz w:val="21"/>
              </w:rPr>
              <w:t xml:space="preserve">TPR@FPR=1% = 0.6311（融合臂）</w:t>
            </w:r>
          </w:p>
        </w:tc>
        <w:tc>
          <w:tcPr>
            <w:tcW w:type="dxa" w:w="3969"/>
            <w:shd w:val="clear" w:color="auto" w:fill="D9D9D9"/>
            <w:vAlign w:val="center"/>
          </w:tcPr>
          <w:p>
            <w:pPr>
              <w:spacing w:line="240" w:lineRule="auto" w:after="0" w:before="0"/>
              <w:ind w:firstLineChars="0" w:firstLine="0"/>
              <w:jc w:val="center"/>
            </w:pPr>
            <w:r>
              <w:rPr>
                <w:rFonts w:ascii="Times New Roman" w:hAnsi="Times New Roman" w:eastAsia="宋体"/>
                <w:b/>
                <w:sz w:val="21"/>
              </w:rPr>
              <w:t xml:space="preserve">控制器原生字段口径；以无监督目标域基线作对照</w:t>
            </w:r>
          </w:p>
        </w:tc>
      </w:tr>
      <w:tr>
        <w:trPr>
          <w:tblHeader w:val="true"/>
          <w:cantSplit/>
        </w:trPr>
        <w:tc>
          <w:tcPr>
            <w:tcW w:type="dxa" w:w="5102"/>
            <w:shd w:val="clear" w:color="auto" w:fill="D9D9D9"/>
            <w:vAlign w:val="center"/>
          </w:tcPr>
          <w:p>
            <w:pPr>
              <w:spacing w:line="240" w:lineRule="auto" w:after="0" w:before="0"/>
              <w:ind w:firstLineChars="0" w:firstLine="0"/>
              <w:jc w:val="center"/>
            </w:pPr>
            <w:r>
              <w:rPr>
                <w:rFonts w:ascii="Times New Roman" w:hAnsi="Times New Roman" w:eastAsia="宋体"/>
                <w:b/>
                <w:sz w:val="21"/>
              </w:rPr>
              <w:t xml:space="preserve">CIC-IDS2017（公开，跨天）</w:t>
            </w:r>
          </w:p>
        </w:tc>
        <w:tc>
          <w:tcPr>
            <w:tcW w:type="dxa" w:w="3969"/>
            <w:shd w:val="clear" w:color="auto" w:fill="D9D9D9"/>
            <w:vAlign w:val="center"/>
          </w:tcPr>
          <w:p>
            <w:pPr>
              <w:spacing w:line="240" w:lineRule="auto" w:after="0" w:before="0"/>
              <w:ind w:firstLineChars="0" w:firstLine="0"/>
              <w:jc w:val="center"/>
            </w:pPr>
            <w:r>
              <w:rPr>
                <w:rFonts w:ascii="Times New Roman" w:hAnsi="Times New Roman" w:eastAsia="宋体"/>
                <w:b/>
                <w:sz w:val="21"/>
              </w:rPr>
              <w:t xml:space="preserve">未见攻击族 TPR@FPR=1% = 0.2745</w:t>
            </w:r>
          </w:p>
        </w:tc>
        <w:tc>
          <w:tcPr>
            <w:tcW w:type="dxa" w:w="3969"/>
            <w:shd w:val="clear" w:color="auto" w:fill="D9D9D9"/>
            <w:vAlign w:val="center"/>
          </w:tcPr>
          <w:p>
            <w:pPr>
              <w:spacing w:line="240" w:lineRule="auto" w:after="0" w:before="0"/>
              <w:ind w:firstLineChars="0" w:firstLine="0"/>
              <w:jc w:val="center"/>
            </w:pPr>
            <w:r>
              <w:rPr>
                <w:rFonts w:ascii="Times New Roman" w:hAnsi="Times New Roman" w:eastAsia="宋体"/>
                <w:b/>
                <w:sz w:val="21"/>
              </w:rPr>
              <w:t xml:space="preserve">按时间序切分，训练与测试跨天（零样本迁移）</w:t>
            </w:r>
          </w:p>
        </w:tc>
      </w:tr>
      <w:tr>
        <w:trPr>
          <w:tblHeader w:val="true"/>
          <w:cantSplit/>
        </w:trPr>
        <w:tc>
          <w:tcPr>
            <w:tcW w:type="dxa" w:w="5102"/>
            <w:shd w:val="clear" w:color="auto" w:fill="D9D9D9"/>
            <w:vAlign w:val="center"/>
          </w:tcPr>
          <w:p>
            <w:pPr>
              <w:spacing w:line="240" w:lineRule="auto" w:after="0" w:before="0"/>
              <w:ind w:firstLineChars="0" w:firstLine="0"/>
              <w:jc w:val="center"/>
            </w:pPr>
            <w:r>
              <w:rPr>
                <w:rFonts w:ascii="Times New Roman" w:hAnsi="Times New Roman" w:eastAsia="宋体"/>
                <w:b/>
                <w:sz w:val="21"/>
              </w:rPr>
              <w:t xml:space="preserve">CIC-IDS2017（公开，在线口径）</w:t>
            </w:r>
          </w:p>
        </w:tc>
        <w:tc>
          <w:tcPr>
            <w:tcW w:type="dxa" w:w="3969"/>
            <w:shd w:val="clear" w:color="auto" w:fill="D9D9D9"/>
            <w:vAlign w:val="center"/>
          </w:tcPr>
          <w:p>
            <w:pPr>
              <w:spacing w:line="240" w:lineRule="auto" w:after="0" w:before="0"/>
              <w:ind w:firstLineChars="0" w:firstLine="0"/>
              <w:jc w:val="center"/>
            </w:pPr>
            <w:r>
              <w:rPr>
                <w:rFonts w:ascii="Times New Roman" w:hAnsi="Times New Roman" w:eastAsia="宋体"/>
                <w:b/>
                <w:sz w:val="21"/>
              </w:rPr>
              <w:t xml:space="preserve">攻击片段召回 0.9231（36/39）</w:t>
            </w:r>
          </w:p>
        </w:tc>
        <w:tc>
          <w:tcPr>
            <w:tcW w:type="dxa" w:w="3969"/>
            <w:shd w:val="clear" w:color="auto" w:fill="D9D9D9"/>
            <w:vAlign w:val="center"/>
          </w:tcPr>
          <w:p>
            <w:pPr>
              <w:spacing w:line="240" w:lineRule="auto" w:after="0" w:before="0"/>
              <w:ind w:firstLineChars="0" w:firstLine="0"/>
              <w:jc w:val="center"/>
            </w:pPr>
            <w:r>
              <w:rPr>
                <w:rFonts w:ascii="Times New Roman" w:hAnsi="Times New Roman" w:eastAsia="宋体"/>
                <w:b/>
                <w:sz w:val="21"/>
              </w:rPr>
              <w:t xml:space="preserve">告警级口径（含连续确认），贴近真实运营判定</w:t>
            </w:r>
          </w:p>
        </w:tc>
      </w:tr>
      <w:tr>
        <w:trPr>
          <w:tblHeader w:val="true"/>
          <w:cantSplit/>
        </w:trPr>
        <w:tc>
          <w:tcPr>
            <w:tcW w:type="dxa" w:w="5102"/>
            <w:shd w:val="clear" w:color="auto" w:fill="D9D9D9"/>
            <w:vAlign w:val="center"/>
          </w:tcPr>
          <w:p>
            <w:pPr>
              <w:spacing w:line="240" w:lineRule="auto" w:after="0" w:before="0"/>
              <w:ind w:firstLineChars="0" w:firstLine="0"/>
              <w:jc w:val="center"/>
            </w:pPr>
            <w:r>
              <w:rPr>
                <w:rFonts w:ascii="Times New Roman" w:hAnsi="Times New Roman" w:eastAsia="宋体"/>
                <w:b/>
                <w:sz w:val="21"/>
              </w:rPr>
              <w:t xml:space="preserve">自研仿真数据集（主实验）</w:t>
            </w:r>
          </w:p>
        </w:tc>
        <w:tc>
          <w:tcPr>
            <w:tcW w:type="dxa" w:w="3969"/>
            <w:shd w:val="clear" w:color="auto" w:fill="D9D9D9"/>
            <w:vAlign w:val="center"/>
          </w:tcPr>
          <w:p>
            <w:pPr>
              <w:spacing w:line="240" w:lineRule="auto" w:after="0" w:before="0"/>
              <w:ind w:firstLineChars="0" w:firstLine="0"/>
              <w:jc w:val="center"/>
            </w:pPr>
            <w:r>
              <w:rPr>
                <w:rFonts w:ascii="Times New Roman" w:hAnsi="Times New Roman" w:eastAsia="宋体"/>
                <w:b/>
                <w:sz w:val="21"/>
              </w:rPr>
              <w:t xml:space="preserve">宏 F1 0.9940±0.0011、片段召回 100%</w:t>
            </w:r>
          </w:p>
        </w:tc>
        <w:tc>
          <w:tcPr>
            <w:tcW w:type="dxa" w:w="3969"/>
            <w:shd w:val="clear" w:color="auto" w:fill="D9D9D9"/>
            <w:vAlign w:val="center"/>
          </w:tcPr>
          <w:p>
            <w:pPr>
              <w:spacing w:line="240" w:lineRule="auto" w:after="0" w:before="0"/>
              <w:ind w:firstLineChars="0" w:firstLine="0"/>
              <w:jc w:val="center"/>
            </w:pPr>
            <w:r>
              <w:rPr>
                <w:rFonts w:ascii="Times New Roman" w:hAnsi="Times New Roman" w:eastAsia="宋体"/>
                <w:b/>
                <w:sz w:val="21"/>
              </w:rPr>
              <w:t xml:space="preserve">完整指标见 表8-2</w:t>
            </w:r>
          </w:p>
        </w:tc>
      </w:tr>
    </w:tbl>
    <w:p>
      <w:pPr>
        <w:spacing w:after="80" w:before="0" w:line="240" w:lineRule="auto"/>
        <w:ind w:firstLineChars="0" w:firstLine="0"/>
        <w:jc w:val="center"/>
      </w:pPr>
      <w:r>
        <w:rPr>
          <w:rFonts w:ascii="Times New Roman" w:hAnsi="Times New Roman" w:eastAsia="宋体"/>
          <w:b w:val="0"/>
          <w:sz w:val="21"/>
        </w:rPr>
        <w:t xml:space="preserve">表8-2  模型离线性能指标（自研数据集、71 维流特征）</w:t>
      </w:r>
    </w:p>
    <w:p>
      <w:pPr>
        <w:spacing w:after="80" w:before="0" w:line="240" w:lineRule="auto"/>
        <w:ind w:firstLineChars="0" w:firstLine="0"/>
        <w:jc w:val="center"/>
      </w:pPr>
      <w:r>
        <w:rPr>
          <w:rFonts w:ascii="Times New Roman" w:hAnsi="Times New Roman" w:eastAsia="宋体"/>
          <w:b w:val="0"/>
          <w:sz w:val="21"/>
        </w:rPr>
        <w:t xml:space="preserve">工况：窗口长度 T=16，在线步长 3 条流/次判定，3 组随机种子取均值；测试流 21,478 条流记录（227 个在线窗口）；全量自研数据集 86,037 条流记录。</w:t>
      </w:r>
    </w:p>
    <w:tbl>
      <w:tblPr>
        <w:tblStyle w:val="TableGrid"/>
        <w:tblW w:type="auto" w:w="0"/>
        <w:jc w:val="center"/>
        <w:tblLook w:firstColumn="1" w:firstRow="1" w:lastColumn="0" w:lastRow="0" w:noHBand="0" w:noVBand="1" w:val="04A0"/>
      </w:tblPr>
      <w:tblGrid>
        <w:gridCol w:w="4536"/>
        <w:gridCol w:w="4536"/>
      </w:tblGrid>
      <w:tr>
        <w:trPr>
          <w:tblHeader w:val="true"/>
          <w:cantSplit/>
        </w:trPr>
        <w:tc>
          <w:tcPr>
            <w:tcW w:type="dxa" w:w="5102"/>
            <w:shd w:val="clear" w:color="auto" w:fill="D9D9D9"/>
            <w:vAlign w:val="center"/>
          </w:tcPr>
          <w:p>
            <w:pPr>
              <w:spacing w:line="240" w:lineRule="auto" w:after="0" w:before="0"/>
              <w:ind w:firstLineChars="0" w:firstLine="0"/>
              <w:jc w:val="center"/>
            </w:pPr>
            <w:r>
              <w:rPr>
                <w:rFonts w:ascii="Times New Roman" w:hAnsi="Times New Roman" w:eastAsia="宋体"/>
                <w:b/>
                <w:sz w:val="21"/>
              </w:rPr>
              <w:t>指标</w:t>
            </w:r>
          </w:p>
        </w:tc>
        <w:tc>
          <w:tcPr>
            <w:tcW w:type="dxa" w:w="3969"/>
            <w:shd w:val="clear" w:color="auto" w:fill="D9D9D9"/>
            <w:vAlign w:val="center"/>
          </w:tcPr>
          <w:p>
            <w:pPr>
              <w:spacing w:line="240" w:lineRule="auto" w:after="0" w:before="0"/>
              <w:ind w:firstLineChars="0" w:firstLine="0"/>
              <w:jc w:val="center"/>
            </w:pPr>
            <w:r>
              <w:rPr>
                <w:rFonts w:ascii="Times New Roman" w:hAnsi="Times New Roman" w:eastAsia="宋体"/>
                <w:b/>
                <w:sz w:val="21"/>
              </w:rPr>
              <w:t>测试结果</w:t>
            </w:r>
          </w:p>
        </w:tc>
      </w:tr>
      <w:tr>
        <w:trPr>
          <w:cantSplit/>
        </w:trPr>
        <w:tc>
          <w:tcPr>
            <w:tcW w:type="dxa" w:w="5102"/>
            <w:vAlign w:val="center"/>
          </w:tcPr>
          <w:p>
            <w:pPr>
              <w:spacing w:line="240" w:lineRule="auto" w:after="0" w:before="0"/>
              <w:ind w:firstLineChars="0" w:firstLine="0"/>
              <w:jc w:val="left"/>
            </w:pPr>
            <w:r>
              <w:rPr>
                <w:rFonts w:ascii="Times New Roman" w:hAnsi="Times New Roman" w:eastAsia="宋体"/>
                <w:b w:val="0"/>
                <w:sz w:val="21"/>
              </w:rPr>
              <w:t>宏平均F1</w:t>
            </w:r>
          </w:p>
        </w:tc>
        <w:tc>
          <w:tcPr>
            <w:tcW w:type="dxa" w:w="3969"/>
            <w:vAlign w:val="center"/>
          </w:tcPr>
          <w:p>
            <w:pPr>
              <w:spacing w:line="240" w:lineRule="auto" w:after="0" w:before="0"/>
              <w:ind w:firstLineChars="0" w:firstLine="0"/>
              <w:jc w:val="center"/>
            </w:pPr>
            <w:r>
              <w:rPr>
                <w:rFonts w:ascii="Times New Roman" w:hAnsi="Times New Roman" w:eastAsia="宋体"/>
                <w:b w:val="0"/>
                <w:sz w:val="21"/>
              </w:rPr>
              <w:t>0.9940±0.0011</w:t>
            </w:r>
          </w:p>
        </w:tc>
      </w:tr>
      <w:tr>
        <w:trPr>
          <w:cantSplit/>
        </w:trPr>
        <w:tc>
          <w:tcPr>
            <w:tcW w:type="dxa" w:w="5102"/>
            <w:vAlign w:val="center"/>
          </w:tcPr>
          <w:p>
            <w:pPr>
              <w:spacing w:line="240" w:lineRule="auto" w:after="0" w:before="0"/>
              <w:ind w:firstLineChars="0" w:firstLine="0"/>
              <w:jc w:val="left"/>
            </w:pPr>
            <w:r>
              <w:rPr>
                <w:rFonts w:ascii="Times New Roman" w:hAnsi="Times New Roman" w:eastAsia="宋体"/>
                <w:b w:val="0"/>
                <w:sz w:val="21"/>
              </w:rPr>
              <w:t>攻击片段召回率</w:t>
            </w:r>
          </w:p>
        </w:tc>
        <w:tc>
          <w:tcPr>
            <w:tcW w:type="dxa" w:w="3969"/>
            <w:vAlign w:val="center"/>
          </w:tcPr>
          <w:p>
            <w:pPr>
              <w:spacing w:line="240" w:lineRule="auto" w:after="0" w:before="0"/>
              <w:ind w:firstLineChars="0" w:firstLine="0"/>
              <w:jc w:val="center"/>
            </w:pPr>
            <w:r>
              <w:rPr>
                <w:rFonts w:ascii="Times New Roman" w:hAnsi="Times New Roman" w:eastAsia="宋体"/>
                <w:b w:val="0"/>
                <w:sz w:val="21"/>
              </w:rPr>
              <w:t>100%</w:t>
            </w:r>
          </w:p>
        </w:tc>
      </w:tr>
      <w:tr>
        <w:trPr>
          <w:cantSplit/>
        </w:trPr>
        <w:tc>
          <w:tcPr>
            <w:tcW w:type="dxa" w:w="5102"/>
            <w:vAlign w:val="center"/>
          </w:tcPr>
          <w:p>
            <w:pPr>
              <w:spacing w:line="240" w:lineRule="auto" w:after="0" w:before="0"/>
              <w:ind w:firstLineChars="0" w:firstLine="0"/>
              <w:jc w:val="left"/>
            </w:pPr>
            <w:r>
              <w:rPr>
                <w:rFonts w:ascii="Times New Roman" w:hAnsi="Times New Roman" w:eastAsia="宋体"/>
                <w:b w:val="0"/>
                <w:sz w:val="21"/>
              </w:rPr>
              <w:t xml:space="preserve">端到端平均检测时延（含窗口累积与连续确认）</w:t>
            </w:r>
          </w:p>
        </w:tc>
        <w:tc>
          <w:tcPr>
            <w:tcW w:type="dxa" w:w="3969"/>
            <w:vAlign w:val="center"/>
          </w:tcPr>
          <w:p>
            <w:pPr>
              <w:spacing w:line="240" w:lineRule="auto" w:after="0" w:before="0"/>
              <w:ind w:firstLineChars="0" w:firstLine="0"/>
              <w:jc w:val="center"/>
            </w:pPr>
            <w:r>
              <w:rPr>
                <w:rFonts w:ascii="Times New Roman" w:hAnsi="Times New Roman" w:eastAsia="宋体"/>
                <w:b w:val="0"/>
                <w:sz w:val="21"/>
              </w:rPr>
              <w:t xml:space="preserve">18.4 ms（p95 71.2 ms）</w:t>
            </w:r>
          </w:p>
        </w:tc>
      </w:tr>
    </w:tbl>
    <w:p>
      <w:pPr>
        <w:spacing w:after="80" w:before="0" w:line="240" w:lineRule="auto"/>
        <w:ind w:firstLineChars="0" w:firstLine="0"/>
        <w:jc w:val="center"/>
      </w:pPr>
      <w:r>
        <w:rPr>
          <w:rFonts w:ascii="Times New Roman" w:hAnsi="Times New Roman" w:eastAsia="宋体"/>
          <w:b w:val="0"/>
          <w:sz w:val="21"/>
        </w:rPr>
        <w:t xml:space="preserve">表8-3  在线告警工作点对照</w:t>
      </w:r>
    </w:p>
    <w:p>
      <w:pPr>
        <w:spacing w:after="80" w:before="0" w:line="240" w:lineRule="auto"/>
        <w:ind w:firstLineChars="0" w:firstLine="0"/>
        <w:jc w:val="center"/>
      </w:pPr>
      <w:r>
        <w:rPr>
          <w:rFonts w:ascii="Times New Roman" w:hAnsi="Times New Roman" w:eastAsia="宋体"/>
          <w:b w:val="0"/>
          <w:sz w:val="21"/>
        </w:rPr>
        <w:t xml:space="preserve">工况：枚举阈值与连续确认窗口数两个旋钮（不重训模型）；误报按每小时折算，人工排查工时按每条告警 10 分钟折算。</w:t>
      </w:r>
    </w:p>
    <w:tbl>
      <w:tblPr>
        <w:tblStyle w:val="TableGrid"/>
        <w:tblW w:type="auto" w:w="0"/>
        <w:jc w:val="center"/>
        <w:tblLook w:firstColumn="1" w:firstRow="1" w:lastColumn="0" w:lastRow="0" w:noHBand="0" w:noVBand="1" w:val="04A0"/>
      </w:tblPr>
      <w:tblGrid>
        <w:gridCol w:w="3024"/>
        <w:gridCol w:w="3024"/>
        <w:gridCol w:w="3024"/>
      </w:tblGrid>
      <w:tr>
        <w:trPr>
          <w:tblHeader w:val="true"/>
          <w:cantSplit/>
        </w:trPr>
        <w:tc>
          <w:tcPr>
            <w:tcW w:type="dxa" w:w="3402"/>
            <w:shd w:val="clear" w:color="auto" w:fill="D9D9D9"/>
            <w:vAlign w:val="center"/>
          </w:tcPr>
          <w:p>
            <w:pPr>
              <w:spacing w:line="240" w:lineRule="auto" w:after="0" w:before="0"/>
              <w:ind w:firstLineChars="0" w:firstLine="0"/>
              <w:jc w:val="center"/>
            </w:pPr>
            <w:r>
              <w:rPr>
                <w:rFonts w:ascii="Times New Roman" w:hAnsi="Times New Roman" w:eastAsia="宋体"/>
                <w:b/>
                <w:sz w:val="21"/>
              </w:rPr>
              <w:t>配置条件</w:t>
            </w:r>
          </w:p>
        </w:tc>
        <w:tc>
          <w:tcPr>
            <w:tcW w:type="dxa" w:w="2835"/>
            <w:shd w:val="clear" w:color="auto" w:fill="D9D9D9"/>
            <w:vAlign w:val="center"/>
          </w:tcPr>
          <w:p>
            <w:pPr>
              <w:spacing w:line="240" w:lineRule="auto" w:after="0" w:before="0"/>
              <w:ind w:firstLineChars="0" w:firstLine="0"/>
              <w:jc w:val="center"/>
            </w:pPr>
            <w:r>
              <w:rPr>
                <w:rFonts w:ascii="Times New Roman" w:hAnsi="Times New Roman" w:eastAsia="宋体"/>
                <w:b/>
                <w:sz w:val="21"/>
              </w:rPr>
              <w:t>每小时误报次数</w:t>
            </w:r>
          </w:p>
        </w:tc>
        <w:tc>
          <w:tcPr>
            <w:tcW w:type="dxa" w:w="2835"/>
            <w:shd w:val="clear" w:color="auto" w:fill="D9D9D9"/>
            <w:vAlign w:val="center"/>
          </w:tcPr>
          <w:p>
            <w:pPr>
              <w:spacing w:line="240" w:lineRule="auto" w:after="0" w:before="0"/>
              <w:ind w:firstLineChars="0" w:firstLine="0"/>
              <w:jc w:val="center"/>
            </w:pPr>
            <w:r>
              <w:rPr>
                <w:rFonts w:ascii="Times New Roman" w:hAnsi="Times New Roman" w:eastAsia="宋体"/>
                <w:b/>
                <w:sz w:val="21"/>
              </w:rPr>
              <w:t>换算每日人工排查工时</w:t>
            </w:r>
          </w:p>
        </w:tc>
      </w:tr>
      <w:tr>
        <w:trPr>
          <w:cantSplit/>
        </w:trPr>
        <w:tc>
          <w:tcPr>
            <w:tcW w:type="dxa" w:w="3402"/>
            <w:vAlign w:val="center"/>
          </w:tcPr>
          <w:p>
            <w:pPr>
              <w:spacing w:line="240" w:lineRule="auto" w:after="0" w:before="0"/>
              <w:ind w:firstLineChars="0" w:firstLine="0"/>
              <w:jc w:val="left"/>
            </w:pPr>
            <w:r>
              <w:rPr>
                <w:rFonts w:ascii="Times New Roman" w:hAnsi="Times New Roman" w:eastAsia="宋体"/>
                <w:b w:val="0"/>
                <w:sz w:val="21"/>
              </w:rPr>
              <w:t>无连续确认窗口</w:t>
            </w:r>
          </w:p>
        </w:tc>
        <w:tc>
          <w:tcPr>
            <w:tcW w:type="dxa" w:w="2835"/>
            <w:vAlign w:val="center"/>
          </w:tcPr>
          <w:p>
            <w:pPr>
              <w:spacing w:line="240" w:lineRule="auto" w:after="0" w:before="0"/>
              <w:ind w:firstLineChars="0" w:firstLine="0"/>
              <w:jc w:val="center"/>
            </w:pPr>
            <w:r>
              <w:rPr>
                <w:rFonts w:ascii="Times New Roman" w:hAnsi="Times New Roman" w:eastAsia="宋体"/>
                <w:b w:val="0"/>
                <w:sz w:val="21"/>
              </w:rPr>
              <w:t>8.56次/小时</w:t>
            </w:r>
          </w:p>
        </w:tc>
        <w:tc>
          <w:tcPr>
            <w:tcW w:type="dxa" w:w="2835"/>
            <w:vAlign w:val="center"/>
          </w:tcPr>
          <w:p>
            <w:pPr>
              <w:spacing w:line="240" w:lineRule="auto" w:after="0" w:before="0"/>
              <w:ind w:firstLineChars="0" w:firstLine="0"/>
              <w:jc w:val="center"/>
            </w:pPr>
            <w:r>
              <w:rPr>
                <w:rFonts w:ascii="Times New Roman" w:hAnsi="Times New Roman" w:eastAsia="宋体"/>
                <w:b w:val="0"/>
                <w:sz w:val="21"/>
              </w:rPr>
              <w:t xml:space="preserve">22.54 h/天</w:t>
            </w:r>
          </w:p>
        </w:tc>
      </w:tr>
      <w:tr>
        <w:trPr>
          <w:cantSplit/>
        </w:trPr>
        <w:tc>
          <w:tcPr>
            <w:tcW w:type="dxa" w:w="3402"/>
            <w:vAlign w:val="center"/>
          </w:tcPr>
          <w:p>
            <w:pPr>
              <w:spacing w:line="240" w:lineRule="auto" w:after="0" w:before="0"/>
              <w:ind w:firstLineChars="0" w:firstLine="0"/>
              <w:jc w:val="left"/>
            </w:pPr>
            <w:r>
              <w:rPr>
                <w:rFonts w:ascii="Times New Roman" w:hAnsi="Times New Roman" w:eastAsia="宋体"/>
                <w:b w:val="0"/>
                <w:sz w:val="21"/>
              </w:rPr>
              <w:t>开启连续确认3窗口</w:t>
            </w:r>
          </w:p>
        </w:tc>
        <w:tc>
          <w:tcPr>
            <w:tcW w:type="dxa" w:w="2835"/>
            <w:vAlign w:val="center"/>
          </w:tcPr>
          <w:p>
            <w:pPr>
              <w:spacing w:line="240" w:lineRule="auto" w:after="0" w:before="0"/>
              <w:ind w:firstLineChars="0" w:firstLine="0"/>
              <w:jc w:val="center"/>
            </w:pPr>
            <w:r>
              <w:rPr>
                <w:rFonts w:ascii="Times New Roman" w:hAnsi="Times New Roman" w:eastAsia="宋体"/>
                <w:b w:val="0"/>
                <w:sz w:val="21"/>
              </w:rPr>
              <w:t>0.66次/小时</w:t>
            </w:r>
          </w:p>
        </w:tc>
        <w:tc>
          <w:tcPr>
            <w:tcW w:type="dxa" w:w="2835"/>
            <w:vAlign w:val="center"/>
          </w:tcPr>
          <w:p>
            <w:pPr>
              <w:spacing w:line="240" w:lineRule="auto" w:after="0" w:before="0"/>
              <w:ind w:firstLineChars="0" w:firstLine="0"/>
              <w:jc w:val="center"/>
            </w:pPr>
            <w:r>
              <w:rPr>
                <w:rFonts w:ascii="Times New Roman" w:hAnsi="Times New Roman" w:eastAsia="宋体"/>
                <w:b w:val="0"/>
                <w:sz w:val="21"/>
              </w:rPr>
              <w:t>3.58 h/天</w:t>
            </w:r>
          </w:p>
        </w:tc>
      </w:tr>
    </w:tbl>
    <w:p>
      <w:pPr>
        <w:spacing w:after="80" w:before="0" w:line="240" w:lineRule="auto"/>
        <w:ind w:firstLineChars="0" w:firstLine="0"/>
        <w:jc w:val="center"/>
      </w:pPr>
      <w:r>
        <w:rPr>
          <w:rFonts w:ascii="Times New Roman" w:hAnsi="Times New Roman" w:eastAsia="宋体"/>
          <w:b w:val="0"/>
          <w:sz w:val="21"/>
        </w:rPr>
        <w:t xml:space="preserve">表8-4  SDN控制器字段口径测试</w:t>
      </w:r>
    </w:p>
    <w:p>
      <w:pPr>
        <w:spacing w:after="80" w:before="0" w:line="240" w:lineRule="auto"/>
        <w:ind w:firstLineChars="0" w:firstLine="0"/>
        <w:jc w:val="center"/>
      </w:pPr>
      <w:r>
        <w:rPr>
          <w:rFonts w:ascii="Times New Roman" w:hAnsi="Times New Roman" w:eastAsia="宋体"/>
          <w:b w:val="0"/>
          <w:sz w:val="21"/>
        </w:rPr>
        <w:t xml:space="preserve">工况：同一批数据、同为 T=16 滑窗与 3 种子均值；17 维为控制器上报的原始字段，30 维为在其上追加可由流表统计推导的聚合字段。</w:t>
      </w:r>
    </w:p>
    <w:tbl>
      <w:tblPr>
        <w:tblStyle w:val="TableGrid"/>
        <w:tblW w:type="auto" w:w="0"/>
        <w:jc w:val="center"/>
        <w:tblLook w:firstColumn="1" w:firstRow="1" w:lastColumn="0" w:lastRow="0" w:noHBand="0" w:noVBand="1" w:val="04A0"/>
      </w:tblPr>
      <w:tblGrid>
        <w:gridCol w:w="4536"/>
        <w:gridCol w:w="4536"/>
      </w:tblGrid>
      <w:tr>
        <w:trPr>
          <w:tblHeader w:val="true"/>
          <w:cantSplit/>
        </w:trPr>
        <w:tc>
          <w:tcPr>
            <w:tcW w:type="dxa" w:w="5102"/>
            <w:shd w:val="clear" w:color="auto" w:fill="D9D9D9"/>
            <w:vAlign w:val="center"/>
          </w:tcPr>
          <w:p>
            <w:pPr>
              <w:spacing w:line="240" w:lineRule="auto" w:after="0" w:before="0"/>
              <w:ind w:firstLineChars="0" w:firstLine="0"/>
              <w:jc w:val="center"/>
            </w:pPr>
            <w:r>
              <w:rPr>
                <w:rFonts w:ascii="Times New Roman" w:hAnsi="Times New Roman" w:eastAsia="宋体"/>
                <w:b/>
                <w:sz w:val="21"/>
              </w:rPr>
              <w:t>特征条件</w:t>
            </w:r>
          </w:p>
        </w:tc>
        <w:tc>
          <w:tcPr>
            <w:tcW w:type="dxa" w:w="3969"/>
            <w:shd w:val="clear" w:color="auto" w:fill="D9D9D9"/>
            <w:vAlign w:val="center"/>
          </w:tcPr>
          <w:p>
            <w:pPr>
              <w:spacing w:line="240" w:lineRule="auto" w:after="0" w:before="0"/>
              <w:ind w:firstLineChars="0" w:firstLine="0"/>
              <w:jc w:val="center"/>
            </w:pPr>
            <w:r>
              <w:rPr>
                <w:rFonts w:ascii="Times New Roman" w:hAnsi="Times New Roman" w:eastAsia="宋体"/>
                <w:b/>
                <w:sz w:val="21"/>
              </w:rPr>
              <w:t>宏F1</w:t>
            </w:r>
          </w:p>
        </w:tc>
      </w:tr>
      <w:tr>
        <w:trPr>
          <w:cantSplit/>
        </w:trPr>
        <w:tc>
          <w:tcPr>
            <w:tcW w:type="dxa" w:w="5102"/>
            <w:vAlign w:val="center"/>
          </w:tcPr>
          <w:p>
            <w:pPr>
              <w:spacing w:line="240" w:lineRule="auto" w:after="0" w:before="0"/>
              <w:ind w:firstLineChars="0" w:firstLine="0"/>
              <w:jc w:val="left"/>
            </w:pPr>
            <w:r>
              <w:rPr>
                <w:rFonts w:ascii="Times New Roman" w:hAnsi="Times New Roman" w:eastAsia="宋体"/>
                <w:b w:val="0"/>
                <w:sz w:val="21"/>
              </w:rPr>
              <w:t>仅原始控制器17维字段</w:t>
            </w:r>
          </w:p>
        </w:tc>
        <w:tc>
          <w:tcPr>
            <w:tcW w:type="dxa" w:w="3969"/>
            <w:vAlign w:val="center"/>
          </w:tcPr>
          <w:p>
            <w:pPr>
              <w:spacing w:line="240" w:lineRule="auto" w:after="0" w:before="0"/>
              <w:ind w:firstLineChars="0" w:firstLine="0"/>
              <w:jc w:val="center"/>
            </w:pPr>
            <w:r>
              <w:rPr>
                <w:rFonts w:ascii="Times New Roman" w:hAnsi="Times New Roman" w:eastAsia="宋体"/>
                <w:b w:val="0"/>
                <w:sz w:val="21"/>
              </w:rPr>
              <w:t>0.8441</w:t>
            </w:r>
          </w:p>
        </w:tc>
      </w:tr>
      <w:tr>
        <w:trPr>
          <w:cantSplit/>
        </w:trPr>
        <w:tc>
          <w:tcPr>
            <w:tcW w:type="dxa" w:w="5102"/>
            <w:vAlign w:val="center"/>
          </w:tcPr>
          <w:p>
            <w:pPr>
              <w:spacing w:line="240" w:lineRule="auto" w:after="0" w:before="0"/>
              <w:ind w:firstLineChars="0" w:firstLine="0"/>
              <w:jc w:val="left"/>
            </w:pPr>
            <w:r>
              <w:rPr>
                <w:rFonts w:ascii="Times New Roman" w:hAnsi="Times New Roman" w:eastAsia="宋体"/>
                <w:b w:val="0"/>
                <w:sz w:val="21"/>
              </w:rPr>
              <w:t>扩展聚合推导至30维字段</w:t>
            </w:r>
          </w:p>
        </w:tc>
        <w:tc>
          <w:tcPr>
            <w:tcW w:type="dxa" w:w="3969"/>
            <w:vAlign w:val="center"/>
          </w:tcPr>
          <w:p>
            <w:pPr>
              <w:spacing w:line="240" w:lineRule="auto" w:after="0" w:before="0"/>
              <w:ind w:firstLineChars="0" w:firstLine="0"/>
              <w:jc w:val="center"/>
            </w:pPr>
            <w:r>
              <w:rPr>
                <w:rFonts w:ascii="Times New Roman" w:hAnsi="Times New Roman" w:eastAsia="宋体"/>
                <w:b w:val="0"/>
                <w:sz w:val="21"/>
              </w:rPr>
              <w:t xml:space="preserve">0.9958</w:t>
            </w:r>
          </w:p>
        </w:tc>
      </w:tr>
    </w:tbl>
    <w:p>
      <w:pPr>
        <w:spacing w:after="80" w:before="0" w:line="240" w:lineRule="auto"/>
        <w:ind w:firstLineChars="0" w:firstLine="0"/>
        <w:jc w:val="center"/>
      </w:pPr>
      <w:r>
        <w:rPr>
          <w:rFonts w:ascii="Times New Roman" w:hAnsi="Times New Roman" w:eastAsia="宋体"/>
          <w:b w:val="0"/>
          <w:sz w:val="21"/>
        </w:rPr>
        <w:t xml:space="preserve">表8-5  吞吐性能测试</w:t>
      </w:r>
    </w:p>
    <w:p>
      <w:pPr>
        <w:spacing w:after="80" w:before="0" w:line="240" w:lineRule="auto"/>
        <w:ind w:firstLineChars="0" w:firstLine="0"/>
        <w:jc w:val="center"/>
      </w:pPr>
      <w:r>
        <w:rPr>
          <w:rFonts w:ascii="Times New Roman" w:hAnsi="Times New Roman" w:eastAsia="宋体"/>
          <w:b w:val="0"/>
          <w:sz w:val="21"/>
        </w:rPr>
        <w:t xml:space="preserve">工况：8 核 CPU、批量 256 窗口合并推理；“逐窗口延迟 0.022 ms”为批内摊薄值，不等同于端到端检测时延（端到端平均 18.4 ms、p95 71.2 ms）。</w:t>
      </w:r>
    </w:p>
    <w:tbl>
      <w:tblPr>
        <w:tblStyle w:val="TableGrid"/>
        <w:tblW w:type="auto" w:w="0"/>
        <w:jc w:val="center"/>
        <w:tblLook w:firstColumn="1" w:firstRow="1" w:lastColumn="0" w:lastRow="0" w:noHBand="0" w:noVBand="1" w:val="04A0"/>
      </w:tblPr>
      <w:tblGrid>
        <w:gridCol w:w="4536"/>
        <w:gridCol w:w="4536"/>
      </w:tblGrid>
      <w:tr>
        <w:trPr>
          <w:tblHeader w:val="true"/>
          <w:cantSplit/>
        </w:trPr>
        <w:tc>
          <w:tcPr>
            <w:tcW w:type="dxa" w:w="5102"/>
            <w:shd w:val="clear" w:color="auto" w:fill="D9D9D9"/>
            <w:vAlign w:val="center"/>
          </w:tcPr>
          <w:p>
            <w:pPr>
              <w:spacing w:line="240" w:lineRule="auto" w:after="0" w:before="0"/>
              <w:ind w:firstLineChars="0" w:firstLine="0"/>
              <w:jc w:val="center"/>
            </w:pPr>
            <w:r>
              <w:rPr>
                <w:rFonts w:ascii="Times New Roman" w:hAnsi="Times New Roman" w:eastAsia="宋体"/>
                <w:b/>
                <w:sz w:val="21"/>
              </w:rPr>
              <w:t>测试项目</w:t>
            </w:r>
          </w:p>
        </w:tc>
        <w:tc>
          <w:tcPr>
            <w:tcW w:type="dxa" w:w="3969"/>
            <w:shd w:val="clear" w:color="auto" w:fill="D9D9D9"/>
            <w:vAlign w:val="center"/>
          </w:tcPr>
          <w:p>
            <w:pPr>
              <w:spacing w:line="240" w:lineRule="auto" w:after="0" w:before="0"/>
              <w:ind w:firstLineChars="0" w:firstLine="0"/>
              <w:jc w:val="center"/>
            </w:pPr>
            <w:r>
              <w:rPr>
                <w:rFonts w:ascii="Times New Roman" w:hAnsi="Times New Roman" w:eastAsia="宋体"/>
                <w:b/>
                <w:sz w:val="21"/>
              </w:rPr>
              <w:t>实测结果</w:t>
            </w:r>
          </w:p>
        </w:tc>
      </w:tr>
      <w:tr>
        <w:trPr>
          <w:cantSplit/>
        </w:trPr>
        <w:tc>
          <w:tcPr>
            <w:tcW w:type="dxa" w:w="5102"/>
            <w:vAlign w:val="center"/>
          </w:tcPr>
          <w:p>
            <w:pPr>
              <w:spacing w:line="240" w:lineRule="auto" w:after="0" w:before="0"/>
              <w:ind w:firstLineChars="0" w:firstLine="0"/>
              <w:jc w:val="left"/>
            </w:pPr>
            <w:r>
              <w:rPr>
                <w:rFonts w:ascii="Times New Roman" w:hAnsi="Times New Roman" w:eastAsia="宋体"/>
                <w:b w:val="0"/>
                <w:sz w:val="21"/>
              </w:rPr>
              <w:t>CPU批量推理窗口</w:t>
            </w:r>
          </w:p>
        </w:tc>
        <w:tc>
          <w:tcPr>
            <w:tcW w:type="dxa" w:w="3969"/>
            <w:vAlign w:val="center"/>
          </w:tcPr>
          <w:p>
            <w:pPr>
              <w:spacing w:line="240" w:lineRule="auto" w:after="0" w:before="0"/>
              <w:ind w:firstLineChars="0" w:firstLine="0"/>
              <w:jc w:val="center"/>
            </w:pPr>
            <w:r>
              <w:rPr>
                <w:rFonts w:ascii="Times New Roman" w:hAnsi="Times New Roman" w:eastAsia="宋体"/>
                <w:b w:val="0"/>
                <w:sz w:val="21"/>
              </w:rPr>
              <w:t>4.5万窗口/秒</w:t>
            </w:r>
          </w:p>
        </w:tc>
      </w:tr>
      <w:tr>
        <w:trPr>
          <w:cantSplit/>
        </w:trPr>
        <w:tc>
          <w:tcPr>
            <w:tcW w:type="dxa" w:w="5102"/>
            <w:vAlign w:val="center"/>
          </w:tcPr>
          <w:p>
            <w:pPr>
              <w:spacing w:line="240" w:lineRule="auto" w:after="0" w:before="0"/>
              <w:ind w:firstLineChars="0" w:firstLine="0"/>
              <w:jc w:val="left"/>
            </w:pPr>
            <w:r>
              <w:rPr>
                <w:rFonts w:ascii="Times New Roman" w:hAnsi="Times New Roman" w:eastAsia="宋体"/>
                <w:b w:val="0"/>
                <w:sz w:val="21"/>
              </w:rPr>
              <w:t>SDN端到端闭环处理流速率</w:t>
            </w:r>
          </w:p>
        </w:tc>
        <w:tc>
          <w:tcPr>
            <w:tcW w:type="dxa" w:w="3969"/>
            <w:vAlign w:val="center"/>
          </w:tcPr>
          <w:p>
            <w:pPr>
              <w:spacing w:line="240" w:lineRule="auto" w:after="0" w:before="0"/>
              <w:ind w:firstLineChars="0" w:firstLine="0"/>
              <w:jc w:val="center"/>
            </w:pPr>
            <w:r>
              <w:rPr>
                <w:rFonts w:ascii="Times New Roman" w:hAnsi="Times New Roman" w:eastAsia="宋体"/>
                <w:b w:val="0"/>
                <w:sz w:val="21"/>
              </w:rPr>
              <w:t>1364-1918条流/秒</w:t>
            </w:r>
          </w:p>
        </w:tc>
      </w:tr>
    </w:tbl>
    <w:p>
      <w:pPr>
        <w:spacing w:after="0" w:before="0" w:line="360" w:lineRule="auto"/>
        <w:ind w:firstLineChars="200" w:firstLine="480"/>
        <w:jc w:val="both"/>
      </w:pPr>
      <w:r>
        <w:rPr>
          <w:rFonts w:ascii="Times New Roman" w:hAnsi="Times New Roman" w:eastAsia="宋体"/>
          <w:b w:val="0"/>
          <w:sz w:val="24"/>
        </w:rPr>
        <w:t>真机联调：对接真实Ryu-manager进程、OpenFlow1.3协议，共计19项真机测试全部通过；长稳回放9.1小时仿真流量，内存无无限膨胀，系统稳定运行。</w:t>
      </w:r>
    </w:p>
    <w:p>
      <w:pPr>
        <w:spacing w:after="0" w:before="0" w:line="360" w:lineRule="auto"/>
        <w:ind w:firstLineChars="200" w:firstLine="480"/>
        <w:jc w:val="both"/>
      </w:pPr>
      <w:r>
        <w:rPr>
          <w:rFonts w:ascii="Times New Roman" w:hAnsi="Times New Roman" w:eastAsia="宋体"/>
          <w:b w:val="0"/>
          <w:sz w:val="24"/>
        </w:rPr>
        <w:t>工程配套输出Pareto权衡表格、混淆矩阵图表、消融实验图表；自检套件全部130项用例执行通过，工程可以一键复现全部实验。</w:t>
      </w:r>
    </w:p>
    <w:p>
      <w:pPr>
        <w:pStyle w:val="Heading1"/>
      </w:pPr>
      <w:bookmarkStart w:id="9" w:name="_Toc1009"/>
      <w:r>
        <w:rPr>
          <w:rFonts w:ascii="Times New Roman" w:hAnsi="Times New Roman" w:eastAsia="黑体"/>
          <w:b/>
          <w:sz w:val="32"/>
        </w:rPr>
        <w:t>9  效果与分析</w:t>
      </w:r>
      <w:bookmarkEnd w:id="9"/>
    </w:p>
    <w:p>
      <w:pPr>
        <w:pStyle w:val="Heading2"/>
      </w:pPr>
      <w:bookmarkStart w:id="33" w:name="_Toc1033"/>
      <w:r>
        <w:rPr>
          <w:rFonts w:ascii="Times New Roman" w:hAnsi="Times New Roman" w:eastAsia="黑体"/>
          <w:b/>
          <w:sz w:val="28"/>
        </w:rPr>
        <w:t>9.1  功能效果</w:t>
      </w:r>
      <w:bookmarkEnd w:id="33"/>
    </w:p>
    <w:p>
      <w:pPr>
        <w:spacing w:after="0" w:before="0" w:line="360" w:lineRule="auto"/>
        <w:ind w:firstLineChars="200" w:firstLine="480"/>
        <w:jc w:val="both"/>
      </w:pPr>
      <w:r>
        <w:rPr>
          <w:rFonts w:ascii="Times New Roman" w:hAnsi="Times New Roman" w:eastAsia="宋体"/>
          <w:b w:val="0"/>
          <w:sz w:val="24"/>
        </w:rPr>
        <w:t>科研层面：整套工程可以完整复现SDN异常流量检测实验，内置泄露诊断工具规避时序数据集陷阱；科研人员可以在此工程基础上替换、开发新检测算法，完成消融与基线对照，降低环境搭建与数据集处理工作量。</w:t>
      </w:r>
    </w:p>
    <w:p>
      <w:pPr>
        <w:spacing w:after="0" w:before="0" w:line="360" w:lineRule="auto"/>
        <w:ind w:firstLineChars="200" w:firstLine="480"/>
        <w:jc w:val="both"/>
      </w:pPr>
      <w:r>
        <w:rPr>
          <w:rFonts w:ascii="Times New Roman" w:hAnsi="Times New Roman" w:eastAsia="宋体"/>
          <w:b w:val="0"/>
          <w:sz w:val="24"/>
        </w:rPr>
        <w:t>教学实训层面：教师可以直接使用本工程开展课程实验；学生可以修改模型、告警参数，直观观察误报、召回的权衡关系，完成课程设计。离线回放模式不需要真机SDN环境，课堂即可演示AI识别攻击全过程。</w:t>
      </w:r>
    </w:p>
    <w:p>
      <w:pPr>
        <w:spacing w:after="0" w:before="0" w:line="360" w:lineRule="auto"/>
        <w:ind w:firstLineChars="200" w:firstLine="480"/>
        <w:jc w:val="both"/>
      </w:pPr>
      <w:r>
        <w:rPr>
          <w:rFonts w:ascii="Times New Roman" w:hAnsi="Times New Roman" w:eastAsia="宋体"/>
          <w:b w:val="0"/>
          <w:sz w:val="24"/>
        </w:rPr>
        <w:t>工程能力层面：完成SDN控制器对接闭环，具备演练模式、审计台账、样本回流迭代机制，具备完整安全约束，避免误阻断业务流量。</w:t>
      </w:r>
    </w:p>
    <w:p>
      <w:pPr>
        <w:pStyle w:val="Heading2"/>
      </w:pPr>
      <w:bookmarkStart w:id="34" w:name="_Toc1034"/>
      <w:r>
        <w:rPr>
          <w:rFonts w:ascii="Times New Roman" w:hAnsi="Times New Roman" w:eastAsia="黑体"/>
          <w:b/>
          <w:sz w:val="28"/>
        </w:rPr>
        <w:t>9.2  客观待优化点</w:t>
      </w:r>
      <w:bookmarkEnd w:id="34"/>
    </w:p>
    <w:p>
      <w:pPr>
        <w:spacing w:after="0" w:before="0" w:line="360" w:lineRule="auto"/>
        <w:ind w:firstLineChars="200" w:firstLine="480"/>
        <w:jc w:val="both"/>
      </w:pPr>
      <w:r>
        <w:rPr>
          <w:rFonts w:ascii="Times New Roman" w:hAnsi="Times New Roman" w:eastAsia="宋体"/>
          <w:b w:val="0"/>
          <w:sz w:val="24"/>
        </w:rPr>
        <w:t>在流统计特征输入场景，CNN分支对整体模型增益有限，后续可进一步基于原始数据包序列开展研究。零样本跨数据集泛化效果有限，跨域场景需要少量标注样本做微调。当前仅完成Ryu控制器适配，暂未完成ONOS等其他SDN控制器适配。开集拒识无法做到100%识别全部未知攻击，低速隐蔽攻击检出仍然存在提升空间。</w:t>
      </w:r>
    </w:p>
    <w:p>
      <w:pPr>
        <w:pStyle w:val="Heading1"/>
      </w:pPr>
      <w:bookmarkStart w:id="10" w:name="_Toc1010"/>
      <w:r>
        <w:rPr>
          <w:rFonts w:ascii="Times New Roman" w:hAnsi="Times New Roman" w:eastAsia="黑体"/>
          <w:b/>
          <w:sz w:val="32"/>
        </w:rPr>
        <w:t>10  应用环境分析</w:t>
      </w:r>
      <w:bookmarkEnd w:id="10"/>
    </w:p>
    <w:p>
      <w:pPr>
        <w:pStyle w:val="Heading2"/>
      </w:pPr>
      <w:bookmarkStart w:id="35" w:name="_Toc1035"/>
      <w:r>
        <w:rPr>
          <w:rFonts w:ascii="Times New Roman" w:hAnsi="Times New Roman" w:eastAsia="黑体"/>
          <w:b/>
          <w:sz w:val="28"/>
        </w:rPr>
        <w:t>10.1  学科政策环境</w:t>
      </w:r>
      <w:bookmarkEnd w:id="35"/>
    </w:p>
    <w:p>
      <w:pPr>
        <w:spacing w:after="0" w:before="0" w:line="360" w:lineRule="auto"/>
        <w:ind w:firstLineChars="200" w:firstLine="480"/>
        <w:jc w:val="both"/>
      </w:pPr>
      <w:r>
        <w:rPr>
          <w:rFonts w:ascii="Times New Roman" w:hAnsi="Times New Roman" w:eastAsia="宋体"/>
          <w:b w:val="0"/>
          <w:sz w:val="24"/>
        </w:rPr>
        <w:t>国家高度重视网络空间安全学科建设，鼓励人工智能与网络安全交叉人才培养；高校网络空间安全专业建设要求强化实践实训环节，鼓励建设开源实验教学资源。本项目产出的开源工程正好匹配网安专业AI+网络安全实训平台的建设需求。</w:t>
      </w:r>
    </w:p>
    <w:p>
      <w:pPr>
        <w:pStyle w:val="Heading2"/>
      </w:pPr>
      <w:bookmarkStart w:id="36" w:name="_Toc1036"/>
      <w:r>
        <w:rPr>
          <w:rFonts w:ascii="Times New Roman" w:hAnsi="Times New Roman" w:eastAsia="黑体"/>
          <w:b/>
          <w:sz w:val="28"/>
        </w:rPr>
        <w:t>10.2  教学科研环境</w:t>
      </w:r>
      <w:bookmarkEnd w:id="36"/>
    </w:p>
    <w:p>
      <w:pPr>
        <w:spacing w:after="0" w:before="0" w:line="360" w:lineRule="auto"/>
        <w:ind w:firstLineChars="200" w:firstLine="480"/>
        <w:jc w:val="both"/>
      </w:pPr>
      <w:r>
        <w:rPr>
          <w:rFonts w:ascii="Times New Roman" w:hAnsi="Times New Roman" w:eastAsia="宋体"/>
          <w:b w:val="0"/>
          <w:sz w:val="24"/>
        </w:rPr>
        <w:t>当前很多SDN-AI安全研究论文工程落地不足，可复现资源稀缺；商用安全产品不适合教学；高校教师缺少开箱即用的实验底座。本项目开源工程可以填补这一块资源缺口。</w:t>
      </w:r>
    </w:p>
    <w:p>
      <w:pPr>
        <w:pStyle w:val="Heading2"/>
      </w:pPr>
      <w:bookmarkStart w:id="37" w:name="_Toc1037"/>
      <w:r>
        <w:rPr>
          <w:rFonts w:ascii="Times New Roman" w:hAnsi="Times New Roman" w:eastAsia="黑体"/>
          <w:b/>
          <w:sz w:val="28"/>
        </w:rPr>
        <w:t>10.3  技术环境</w:t>
      </w:r>
      <w:bookmarkEnd w:id="37"/>
    </w:p>
    <w:p>
      <w:pPr>
        <w:spacing w:after="0" w:before="0" w:line="360" w:lineRule="auto"/>
        <w:ind w:firstLineChars="200" w:firstLine="480"/>
        <w:jc w:val="both"/>
      </w:pPr>
      <w:r>
        <w:rPr>
          <w:rFonts w:ascii="Times New Roman" w:hAnsi="Times New Roman" w:eastAsia="宋体"/>
          <w:b w:val="0"/>
          <w:sz w:val="24"/>
        </w:rPr>
        <w:t>Mininet、Ryu、Python深度学习生态已经在国内高校网安实验室广泛部署，本项目完全基于现有成熟开源栈开发，不需要特殊软硬件，院校很容易完成部署落地。</w:t>
      </w:r>
    </w:p>
    <w:p>
      <w:pPr>
        <w:pStyle w:val="Heading2"/>
      </w:pPr>
      <w:bookmarkStart w:id="38" w:name="_Toc1038"/>
      <w:r>
        <w:rPr>
          <w:rFonts w:ascii="Times New Roman" w:hAnsi="Times New Roman" w:eastAsia="黑体"/>
          <w:b/>
          <w:sz w:val="28"/>
        </w:rPr>
        <w:t>10.4  市场与推广定位</w:t>
      </w:r>
      <w:bookmarkEnd w:id="38"/>
    </w:p>
    <w:p>
      <w:pPr>
        <w:spacing w:after="0" w:before="0" w:line="360" w:lineRule="auto"/>
        <w:ind w:firstLineChars="200" w:firstLine="480"/>
        <w:jc w:val="both"/>
      </w:pPr>
      <w:r>
        <w:rPr>
          <w:rFonts w:ascii="Times New Roman" w:hAnsi="Times New Roman" w:eastAsia="宋体"/>
          <w:b w:val="0"/>
          <w:sz w:val="24"/>
        </w:rPr>
        <w:t xml:space="preserve">项目定位：面向国内高校网络空间安全专业的开源科研与教学实训底座。目标用户：高校网安专业教师、本科生、研究生、SDN 安全方向研究人员。推广路径：开源发布与配套课程实验包、面向国内高校网安专业分享推广。</w:t>
      </w:r>
    </w:p>
    <w:p>
      <w:pPr>
        <w:spacing w:after="0" w:before="0" w:line="360" w:lineRule="auto"/>
        <w:ind w:firstLineChars="200" w:firstLine="480"/>
        <w:jc w:val="both"/>
      </w:pPr>
      <w:r>
        <w:rPr>
          <w:rFonts w:ascii="Times New Roman" w:hAnsi="Times New Roman" w:eastAsia="宋体"/>
          <w:b w:val="0"/>
          <w:sz w:val="24"/>
        </w:rPr>
        <w:t xml:space="preserve">经济与行业环境：检测与响应是网络安全中持续增长的细分市场。据 MarketsandMarkets 公开口径，全球 NDR 市场到 2030 年约 58.2 亿美元；媒体引用的数据显示中国网络安全市场规模在 2025 年超过 170 亿美元（第三方公开口径，未经本项目复核，链接见 13.3 补充材料）。本项目不与商业 NDR 比拼流量覆盖，而是聚焦两件不易复制的能力——控制器侧免探针检测，以及可验证的处置闭环（下发后回读校验、失败回滚、逐条留痕）。</w:t>
      </w:r>
    </w:p>
    <w:p>
      <w:pPr>
        <w:spacing w:after="0" w:before="0" w:line="360" w:lineRule="auto"/>
        <w:ind w:firstLineChars="200" w:firstLine="480"/>
        <w:jc w:val="both"/>
      </w:pPr>
      <w:r>
        <w:rPr>
          <w:rFonts w:ascii="Times New Roman" w:hAnsi="Times New Roman" w:eastAsia="宋体"/>
          <w:b w:val="0"/>
          <w:sz w:val="24"/>
        </w:rPr>
        <w:t xml:space="preserve">竞争格局与 SWOT：商业 NDR/IDS 强在品牌渠道与协议覆盖，弱在部署重（需探针或引流）、闭源难复核、对控制器侧支持有限；开源规则型 IDS 成熟免费，但依赖规则更新、对未知形态乏力且不负责处置闭环；SDN 控制器厂商自带安全模块集成度好、检测能力有限；云厂商安全服务云内顺手、跨云与私有化是短板。本作品优势是闭环完整且可复核、CPU 单机可跑、处置具备回读校验与回滚；劣势是个人团队缺少销售与 7×24 支持；机会在于合规把“检测—处置—留痕”变成硬需求、且控制器侧相对空白；威胁来自大厂快速补齐同类能力与客户自研替代。对应策略：以可复核证据切入 SDN/云网单位，借集成商渠道补销售与交付，不碰终端与云工作负载等非优势领域。</w:t>
      </w:r>
    </w:p>
    <w:p>
      <w:pPr>
        <w:spacing w:after="0" w:before="0" w:line="360" w:lineRule="auto"/>
        <w:ind w:firstLineChars="200" w:firstLine="480"/>
        <w:jc w:val="both"/>
      </w:pPr>
      <w:r>
        <w:rPr>
          <w:rFonts w:ascii="Times New Roman" w:hAnsi="Times New Roman" w:eastAsia="宋体"/>
          <w:b w:val="0"/>
          <w:sz w:val="24"/>
        </w:rPr>
        <w:t xml:space="preserve">社会环境：安全运营的人力缺口是行业公开共识——告警量的增长快于人力增长，“看得过来”成为瓶颈。本项目的应对不是让模型再准一点，而是把人的注意力重新分配到少数需要判断的样本上：观察池留痕、待研判队列、复核台一键结论、自动放松抑制长期误报、回看缓冲回答“这段为什么没报警”。这些机制指向同一目标：降低值班员负担；在教学场景里，这也是最值得让学生亲手体会的一课。</w:t>
      </w:r>
    </w:p>
    <w:p>
      <w:pPr>
        <w:pStyle w:val="Heading1"/>
      </w:pPr>
      <w:bookmarkStart w:id="11" w:name="_Toc1011"/>
      <w:r>
        <w:rPr>
          <w:rFonts w:ascii="Times New Roman" w:hAnsi="Times New Roman" w:eastAsia="黑体"/>
          <w:b/>
          <w:sz w:val="32"/>
        </w:rPr>
        <w:t>11  问题解决程度</w:t>
      </w:r>
      <w:bookmarkEnd w:id="11"/>
    </w:p>
    <w:p>
      <w:pPr>
        <w:spacing w:after="0" w:before="0" w:line="360" w:lineRule="auto"/>
        <w:ind w:firstLineChars="200" w:firstLine="480"/>
        <w:jc w:val="both"/>
      </w:pPr>
      <w:r>
        <w:rPr>
          <w:rFonts w:ascii="Times New Roman" w:hAnsi="Times New Roman" w:eastAsia="宋体"/>
          <w:b w:val="0"/>
          <w:sz w:val="24"/>
        </w:rPr>
        <w:t>解决科研复现难：修复原有Demo时序切分等工程缺陷，提供数据集泄露诊断，实现一键复现实验。</w:t>
      </w:r>
    </w:p>
    <w:p>
      <w:pPr>
        <w:spacing w:after="0" w:before="0" w:line="360" w:lineRule="auto"/>
        <w:ind w:firstLineChars="200" w:firstLine="480"/>
        <w:jc w:val="both"/>
      </w:pPr>
      <w:r>
        <w:rPr>
          <w:rFonts w:ascii="Times New Roman" w:hAnsi="Times New Roman" w:eastAsia="宋体"/>
          <w:b w:val="0"/>
          <w:sz w:val="24"/>
        </w:rPr>
        <w:t>解决教学实验资源匮乏：提供完整开源工程、实验指导、习题案例，教师不用从零拼凑环境。</w:t>
      </w:r>
    </w:p>
    <w:p>
      <w:pPr>
        <w:spacing w:after="0" w:before="0" w:line="360" w:lineRule="auto"/>
        <w:ind w:firstLineChars="200" w:firstLine="480"/>
        <w:jc w:val="both"/>
      </w:pPr>
      <w:r>
        <w:rPr>
          <w:rFonts w:ascii="Times New Roman" w:hAnsi="Times New Roman" w:eastAsia="宋体"/>
          <w:b w:val="0"/>
          <w:sz w:val="24"/>
        </w:rPr>
        <w:t>解决仅输出纸面指标问题：增加在线告警指标，将模型指标换算为人工排查工时，贴近真实业务视角。</w:t>
      </w:r>
    </w:p>
    <w:p>
      <w:pPr>
        <w:spacing w:after="0" w:before="0" w:line="360" w:lineRule="auto"/>
        <w:ind w:firstLineChars="200" w:firstLine="480"/>
        <w:jc w:val="both"/>
      </w:pPr>
      <w:r>
        <w:rPr>
          <w:rFonts w:ascii="Times New Roman" w:hAnsi="Times New Roman" w:eastAsia="宋体"/>
          <w:b w:val="0"/>
          <w:sz w:val="24"/>
        </w:rPr>
        <w:t>实现SDN控制器闭环联动：对接Ryu控制器，具备演练模式、审计台账、样本回流。</w:t>
      </w:r>
    </w:p>
    <w:p>
      <w:pPr>
        <w:spacing w:after="0" w:before="0" w:line="360" w:lineRule="auto"/>
        <w:ind w:firstLineChars="200" w:firstLine="480"/>
        <w:jc w:val="both"/>
      </w:pPr>
      <w:r>
        <w:rPr>
          <w:rFonts w:ascii="Times New Roman" w:hAnsi="Times New Roman" w:eastAsia="宋体"/>
          <w:b w:val="0"/>
          <w:sz w:val="24"/>
        </w:rPr>
        <w:t xml:space="preserve">上述边界对应的后续计划见第 12 章“未来展望”。</w:t>
      </w:r>
    </w:p>
    <w:p>
      <w:pPr>
        <w:pStyle w:val="Heading1"/>
      </w:pPr>
      <w:bookmarkStart w:id="12" w:name="_Toc1012"/>
      <w:r>
        <w:rPr>
          <w:rFonts w:ascii="Times New Roman" w:hAnsi="Times New Roman" w:eastAsia="黑体"/>
          <w:b/>
          <w:sz w:val="32"/>
        </w:rPr>
        <w:t>12  未来展望</w:t>
      </w:r>
      <w:bookmarkEnd w:id="12"/>
    </w:p>
    <w:p>
      <w:pPr>
        <w:spacing w:after="0" w:before="0" w:line="360" w:lineRule="auto"/>
        <w:ind w:firstLineChars="200" w:firstLine="480"/>
        <w:jc w:val="both"/>
      </w:pPr>
      <w:r>
        <w:rPr>
          <w:rFonts w:ascii="Times New Roman" w:hAnsi="Times New Roman" w:eastAsia="宋体"/>
          <w:b w:val="0"/>
          <w:sz w:val="24"/>
        </w:rPr>
        <w:t>算法迭代：扩充攻击样本库；探索原始数据包序列输入模式，进一步探究CNN分支价值；优化开集未知攻击识别能力；开展少样本跨域迁移研究。</w:t>
      </w:r>
    </w:p>
    <w:p>
      <w:pPr>
        <w:spacing w:after="0" w:before="0" w:line="360" w:lineRule="auto"/>
        <w:ind w:firstLineChars="200" w:firstLine="480"/>
        <w:jc w:val="both"/>
      </w:pPr>
      <w:r>
        <w:rPr>
          <w:rFonts w:ascii="Times New Roman" w:hAnsi="Times New Roman" w:eastAsia="宋体"/>
          <w:b w:val="0"/>
          <w:sz w:val="24"/>
        </w:rPr>
        <w:t>工程拓展：完成ONOS等主流SDN控制器适配；继续优化推理性能；完善更多基线检测算法集成。</w:t>
      </w:r>
    </w:p>
    <w:p>
      <w:pPr>
        <w:spacing w:after="0" w:before="0" w:line="360" w:lineRule="auto"/>
        <w:ind w:firstLineChars="200" w:firstLine="480"/>
        <w:jc w:val="both"/>
      </w:pPr>
      <w:r>
        <w:rPr>
          <w:rFonts w:ascii="Times New Roman" w:hAnsi="Times New Roman" w:eastAsia="宋体"/>
          <w:b w:val="0"/>
          <w:sz w:val="24"/>
        </w:rPr>
        <w:t>教学沉淀：进一步完善梯度化课程实验案例，完善中英文文档，形成标准化课程实验包，向更多高校网络空间安全专业推广。</w:t>
      </w:r>
    </w:p>
    <w:p>
      <w:pPr>
        <w:spacing w:after="0" w:before="0" w:line="360" w:lineRule="auto"/>
        <w:ind w:firstLineChars="200" w:firstLine="480"/>
        <w:jc w:val="both"/>
      </w:pPr>
      <w:r>
        <w:rPr>
          <w:rFonts w:ascii="Times New Roman" w:hAnsi="Times New Roman" w:eastAsia="宋体"/>
          <w:b w:val="0"/>
          <w:sz w:val="24"/>
        </w:rPr>
        <w:t>社区建设：维护开源代码仓库，接收外部社区贡献，持续扩充基准测试用例，持续修复问题，完善CI自动化自检流水线。</w:t>
      </w:r>
    </w:p>
    <w:p>
      <w:pPr>
        <w:pStyle w:val="Heading1"/>
      </w:pPr>
      <w:bookmarkStart w:id="13" w:name="_Toc1013"/>
      <w:r>
        <w:rPr>
          <w:rFonts w:ascii="Times New Roman" w:hAnsi="Times New Roman" w:eastAsia="黑体"/>
          <w:b/>
          <w:sz w:val="32"/>
        </w:rPr>
        <w:t>13  附录</w:t>
      </w:r>
      <w:bookmarkEnd w:id="13"/>
    </w:p>
    <w:p>
      <w:pPr>
        <w:pStyle w:val="Heading2"/>
      </w:pPr>
      <w:bookmarkStart w:id="39" w:name="_Toc1039"/>
      <w:r>
        <w:rPr>
          <w:rFonts w:ascii="Times New Roman" w:hAnsi="Times New Roman" w:eastAsia="黑体"/>
          <w:b/>
          <w:sz w:val="28"/>
        </w:rPr>
        <w:t>13.1  代码与资源说明</w:t>
      </w:r>
      <w:bookmarkEnd w:id="39"/>
    </w:p>
    <w:p>
      <w:pPr>
        <w:spacing w:after="0" w:before="0" w:line="360" w:lineRule="auto"/>
        <w:ind w:firstLineChars="200" w:firstLine="480"/>
        <w:jc w:val="both"/>
      </w:pPr>
      <w:r>
        <w:rPr>
          <w:rFonts w:ascii="Times New Roman" w:hAnsi="Times New Roman" w:eastAsia="宋体"/>
          <w:b w:val="0"/>
          <w:sz w:val="24"/>
        </w:rPr>
        <w:t xml:space="preserve">开源仓库：https://github.com/camilia-liquor/sdn-anomaly-detection（Apache-2.0 许可）。仓库包含 src/（13 个功能模块）、tools/（41 个脚本，含交付自检）、app/（在线检测服务与演示大屏）、integrations/（Ryu 控制器适配层）、tests/（三套测试）；开源及第三方资源清单见 competition/01_开源及第三方资源使用清单.md（19 项，逐项标注许可义务与自研边界）。</w:t>
      </w:r>
    </w:p>
    <w:p>
      <w:pPr>
        <w:spacing w:after="0" w:before="0" w:line="360" w:lineRule="auto"/>
        <w:ind w:firstLineChars="200" w:firstLine="480"/>
        <w:jc w:val="both"/>
      </w:pPr>
      <w:r>
        <w:rPr>
          <w:rFonts w:ascii="Times New Roman" w:hAnsi="Times New Roman" w:eastAsia="宋体"/>
          <w:b w:val="0"/>
          <w:sz w:val="24"/>
        </w:rPr>
        <w:t xml:space="preserve">一键复现：python run_all.py 完成“数据生成 → 训练 → 三套评估 → 出图”全流程；门禁 python tools/cida.py verify 依次跑单元测试 22 项、Ryu 适配层行为测试 58 项、pcap 解析测试 58 项与 130 项交付自检；统一入口 tools/cida.py 提供 doctor / status / demo / guard / verify / inventory / config / retrain 八条子命令，用于体检、巡检、演示、验收与回流重训。</w:t>
      </w:r>
    </w:p>
    <w:p>
      <w:pPr>
        <w:spacing w:after="0" w:before="0" w:line="360" w:lineRule="auto"/>
        <w:ind w:firstLineChars="200" w:firstLine="480"/>
        <w:jc w:val="both"/>
      </w:pPr>
      <w:r>
        <w:rPr>
          <w:rFonts w:ascii="Times New Roman" w:hAnsi="Times New Roman" w:eastAsia="宋体"/>
          <w:b w:val="0"/>
          <w:sz w:val="24"/>
        </w:rPr>
        <w:t xml:space="preserve">数据与资源：自研仿真生成器可复现产出双 schema 数据（84 列 CICFlowMeter 同构口径、控制器原生 22 列口径，含难度旋钮）；6 份公开真实数据集的来源、许可与校验记录见 results/real_datasets.md，本工程**不分发数据集本体**；样例抓包由自研脚本生成（samples/sample_capture.pcap）。全部结论均可对回 results/ 下的产物文件。</w:t>
      </w:r>
    </w:p>
    <w:p>
      <w:pPr>
        <w:pStyle w:val="Heading2"/>
      </w:pPr>
      <w:bookmarkStart w:id="40" w:name="_Toc1040"/>
      <w:r>
        <w:rPr>
          <w:rFonts w:ascii="Times New Roman" w:hAnsi="Times New Roman" w:eastAsia="黑体"/>
          <w:b/>
          <w:sz w:val="28"/>
        </w:rPr>
        <w:t>13.2  参考文献</w:t>
      </w:r>
      <w:bookmarkEnd w:id="40"/>
    </w:p>
    <w:p>
      <w:pPr>
        <w:spacing w:after="0" w:before="0" w:line="360" w:lineRule="auto"/>
        <w:ind w:firstLineChars="200" w:firstLine="480"/>
        <w:jc w:val="both"/>
      </w:pPr>
      <w:r>
        <w:rPr>
          <w:rFonts w:ascii="Times New Roman" w:hAnsi="Times New Roman" w:eastAsia="宋体"/>
          <w:b w:val="0"/>
          <w:sz w:val="24"/>
        </w:rPr>
        <w:t xml:space="preserve">[1] OpenFlow Switch Specification 1.3.x，Open Networking Foundation（线协议规范，本工程按此实现编解码并做字节级校验）https://opennetworking.org/software-defined-standards/specifications/</w:t>
      </w:r>
    </w:p>
    <w:p>
      <w:pPr>
        <w:spacing w:after="0" w:before="0" w:line="360" w:lineRule="auto"/>
        <w:ind w:firstLineChars="200" w:firstLine="480"/>
        <w:jc w:val="both"/>
      </w:pPr>
      <w:r>
        <w:rPr>
          <w:rFonts w:ascii="Times New Roman" w:hAnsi="Times New Roman" w:eastAsia="宋体"/>
          <w:b w:val="0"/>
          <w:sz w:val="24"/>
        </w:rPr>
        <w:t xml:space="preserve">[2] Ryu SDN Framework 官方文档（控制器与本工程适配层所用框架）https://ryu.readthedocs.io/</w:t>
      </w:r>
    </w:p>
    <w:p>
      <w:pPr>
        <w:spacing w:after="0" w:before="0" w:line="360" w:lineRule="auto"/>
        <w:ind w:firstLineChars="200" w:firstLine="480"/>
        <w:jc w:val="both"/>
      </w:pPr>
      <w:r>
        <w:rPr>
          <w:rFonts w:ascii="Times New Roman" w:hAnsi="Times New Roman" w:eastAsia="宋体"/>
          <w:b w:val="0"/>
          <w:sz w:val="24"/>
        </w:rPr>
        <w:t xml:space="preserve">[3] Mininet 官方文档（SDN 仿真环境）http://mininet.org/</w:t>
      </w:r>
    </w:p>
    <w:p>
      <w:pPr>
        <w:spacing w:after="0" w:before="0" w:line="360" w:lineRule="auto"/>
        <w:ind w:firstLineChars="200" w:firstLine="480"/>
        <w:jc w:val="both"/>
      </w:pPr>
      <w:r>
        <w:rPr>
          <w:rFonts w:ascii="Times New Roman" w:hAnsi="Times New Roman" w:eastAsia="宋体"/>
          <w:b w:val="0"/>
          <w:sz w:val="24"/>
        </w:rPr>
        <w:t xml:space="preserve">[4] TensorFlow 官方文档 https://www.tensorflow.org/ ；Keras 官方文档 https://keras.io/</w:t>
      </w:r>
    </w:p>
    <w:p>
      <w:pPr>
        <w:spacing w:after="0" w:before="0" w:line="360" w:lineRule="auto"/>
        <w:ind w:firstLineChars="200" w:firstLine="480"/>
        <w:jc w:val="both"/>
      </w:pPr>
      <w:r>
        <w:rPr>
          <w:rFonts w:ascii="Times New Roman" w:hAnsi="Times New Roman" w:eastAsia="宋体"/>
          <w:b w:val="0"/>
          <w:sz w:val="24"/>
        </w:rPr>
        <w:t xml:space="preserve">[5] inSDN 数据集（公开；本工程只记录来源与许可校验，不分发数据本体，详见 results/real_datasets.md）</w:t>
      </w:r>
    </w:p>
    <w:p>
      <w:pPr>
        <w:spacing w:after="0" w:before="0" w:line="360" w:lineRule="auto"/>
        <w:ind w:firstLineChars="200" w:firstLine="480"/>
        <w:jc w:val="both"/>
      </w:pPr>
      <w:r>
        <w:rPr>
          <w:rFonts w:ascii="Times New Roman" w:hAnsi="Times New Roman" w:eastAsia="宋体"/>
          <w:b w:val="0"/>
          <w:sz w:val="24"/>
        </w:rPr>
        <w:t xml:space="preserve">[6] CIC-IDS2017 数据集，Canadian Institute for Cybersecurity, University of New Brunswick https://www.unb.ca/cic/datasets/ids-2017.html</w:t>
      </w:r>
    </w:p>
    <w:p>
      <w:pPr>
        <w:spacing w:after="0" w:before="0" w:line="360" w:lineRule="auto"/>
        <w:ind w:firstLineChars="200" w:firstLine="480"/>
        <w:jc w:val="both"/>
      </w:pPr>
      <w:r>
        <w:rPr>
          <w:rFonts w:ascii="Times New Roman" w:hAnsi="Times New Roman" w:eastAsia="宋体"/>
          <w:b w:val="0"/>
          <w:sz w:val="24"/>
        </w:rPr>
        <w:t xml:space="preserve">[7] Gartner 2025 安全趋势解读（AI 自主化与平台生态化）https://www.freebuf.com/articles/container/457063.html</w:t>
      </w:r>
    </w:p>
    <w:p>
      <w:pPr>
        <w:spacing w:after="0" w:before="0" w:line="360" w:lineRule="auto"/>
        <w:ind w:firstLineChars="200" w:firstLine="480"/>
        <w:jc w:val="both"/>
      </w:pPr>
      <w:r>
        <w:rPr>
          <w:rFonts w:ascii="Times New Roman" w:hAnsi="Times New Roman" w:eastAsia="宋体"/>
          <w:b w:val="0"/>
          <w:sz w:val="24"/>
        </w:rPr>
        <w:t xml:space="preserve">[8] MarketsandMarkets：网络检测与响应（NDR）市场到 2030 年约 58.2 亿美元（经 Yahoo Finance 转载）https://finance.yahoo.com/news/network-detection-response-ndr-market-141500475.html</w:t>
      </w:r>
    </w:p>
    <w:p>
      <w:pPr>
        <w:spacing w:after="0" w:before="0" w:line="360" w:lineRule="auto"/>
        <w:ind w:firstLineChars="200" w:firstLine="480"/>
        <w:jc w:val="both"/>
      </w:pPr>
      <w:r>
        <w:rPr>
          <w:rFonts w:ascii="Times New Roman" w:hAnsi="Times New Roman" w:eastAsia="宋体"/>
          <w:b w:val="0"/>
          <w:sz w:val="24"/>
        </w:rPr>
        <w:t xml:space="preserve">说明：以上均为公开来源；第三方数据集与报告仅作引用与对照，不随本仓库分发；市场类数字为第三方口径，未经本项目复核。</w:t>
      </w:r>
    </w:p>
    <w:p>
      <w:pPr>
        <w:pStyle w:val="Heading2"/>
      </w:pPr>
      <w:bookmarkStart w:id="41" w:name="_Toc1041"/>
      <w:r>
        <w:rPr>
          <w:rFonts w:ascii="Times New Roman" w:hAnsi="Times New Roman" w:eastAsia="黑体"/>
          <w:b/>
          <w:sz w:val="28"/>
        </w:rPr>
        <w:t>13.3  补充材料</w:t>
      </w:r>
      <w:bookmarkEnd w:id="41"/>
    </w:p>
    <w:p>
      <w:pPr>
        <w:spacing w:after="0" w:before="0" w:line="360" w:lineRule="auto"/>
        <w:ind w:firstLineChars="200" w:firstLine="480"/>
        <w:jc w:val="both"/>
      </w:pPr>
      <w:r>
        <w:rPr>
          <w:rFonts w:ascii="Times New Roman" w:hAnsi="Times New Roman" w:eastAsia="宋体"/>
          <w:b w:val="0"/>
          <w:sz w:val="24"/>
        </w:rPr>
        <w:t xml:space="preserve">以下为补充材料：自绘的系统架构与作业流程示意、实验图表、系统界面截图，共 12 张（图13-1 ~ 图13-12）。每张图的数字均可按表8-1 ~ 表8-5 与 results/ 下的对应产物复核；完整性能测试报告见 results/benchmark_latency.md，长稳回放报告见 results/soak_test.md，真机联调报告见 results/ryu_live_check.md。</w:t>
      </w:r>
    </w:p>
    <w:sectPr w:rsidR="00FC693F" w:rsidRPr="0006063C" w:rsidSect="00034616">
      <w:footerReference w:type="default" r:id="rId10"/>
      <w:pgSz w:w="11906" w:h="16838"/>
      <w:pgMar w:top="1417" w:right="1417"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Chars="200"/>
      <w:jc w:val="both"/>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240" w:lineRule="auto"/>
      <w:ind w:firstLine="0" w:firstLineChars="0"/>
      <w:jc w:val="left"/>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120" w:line="240" w:lineRule="auto"/>
      <w:ind w:firstLine="0" w:firstLineChars="0"/>
      <w:jc w:val="left"/>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240" w:lineRule="auto"/>
      <w:ind w:firstLine="0" w:firstLineChars="0"/>
      <w:jc w:val="left"/>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