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jfif" ContentType="image/jpeg"/>
  <Default Extension="gif" ContentType="image/gif"/>
  <Default Extension="bmp" ContentType="image/bmp"/>
  <Default Extension="svg" ContentType="image/svg+xml"/>
  <Default Extension="wmf" ContentType="image/x-wmf"/>
  <Default Extension="emf" ContentType="image/x-emf"/>
  <Default Extension="tif" ContentType="image/tiff"/>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wp14="http://schemas.microsoft.com/office/word/2010/wordprocessingDrawing" xmlns:a="http://schemas.openxmlformats.org/drawingml/2006/main" xmlns:a14="http://schemas.microsoft.com/office/drawing/2010/main" xmlns:pic="http://schemas.openxmlformats.org/drawingml/2006/picture" xmlns:wps="http://schemas.microsoft.com/office/word/2010/wordprocessingShape" xmlns:wpg="http://schemas.microsoft.com/office/word/2010/wordprocessingGroup" xmlns:mc="http://schemas.openxmlformats.org/markup-compatibility/2006" xmlns:v="urn:schemas-microsoft-com:vml" xmlns:o="urn:schemas-microsoft-com:office:office" xmlns:w10="urn:schemas-microsoft-com:office:word" xmlns:w14="http://schemas.microsoft.com/office/word/2010/wordml">
  <w:body>
    <w:p>
      <w:pPr>
        <w:rPr>
          <w:sz w:val="44"/>
          <w:b/>
        </w:rPr>
      </w:pPr>
      <w:r>
        <w:rPr>
          <w:sz w:val="44"/>
          <w:b/>
        </w:rPr>
        <w:t>实验报告：基于 CNN + BiLSTM 的 SDN 流量异常检测</w:t>
      </w:r>
    </w:p>
    <w:p>
      <w:pPr>
        <w:rPr>
          <w:sz w:val="18"/>
          <w:color w:val="666666"/>
        </w:rPr>
      </w:pPr>
      <w:r>
        <w:rPr>
          <w:sz w:val="18"/>
          <w:color w:val="666666"/>
        </w:rPr>
        <w:t>本报告由 tools/make_report.py 依据真实实验产物自动生成（2026-09-13 00:56）。实验标签：cnn_bilstm_main_s0；全部数字取自 results/ 与 artifacts/，可逐项复现。</w:t>
      </w:r>
    </w:p>
    <w:p>
      <w:pPr>
        <w:rPr>
          <w:sz w:val="36"/>
          <w:b/>
        </w:rPr>
      </w:pPr>
      <w:r>
        <w:rPr>
          <w:sz w:val="36"/>
          <w:b/>
        </w:rPr>
        <w:t>摘要</w:t>
      </w:r>
    </w:p>
    <w:p>
      <w:r>
        <w:t>本文针对 SDN 环境下的网络入侵与异常流量检测问题，提出并实现了一个 CNN + BiLSTM 混合模型：以连续 16 条流记录构成的滑动窗口为输入，CNN 提取窗口内的局部行为模式，BiLSTM 建模时间依赖，末端采用多分类头 + 二分类头的多任务结构并引入时间维注意力池化。在 8 类流量（正常 + 7 类攻击）的测试集上，多分类准确率 0.9952、宏平均 F1 0.9930；二分类异常检测 ROC-AUC 1.0000、F1 0.9907、PR-AUC 0.9999、TPR@FPR=1% 1.0000。在连续测试流的在线模拟中，攻击片段召回率 1.0000，平均检测时延 0.02 秒，误报率 0.66 次/小时。</w:t>
      </w:r>
    </w:p>
    <w:p>
      <w:r>
        <w:t>关键词：SDN；入侵检测；CNN；BiLSTM；注意力机制；多任务学习；滑动窗口</w:t>
      </w:r>
    </w:p>
    <w:p>
      <w:pPr>
        <w:rPr>
          <w:sz w:val="36"/>
          <w:b/>
        </w:rPr>
      </w:pPr>
      <w:r>
        <w:rPr>
          <w:sz w:val="36"/>
          <w:b/>
        </w:rPr>
        <w:t>1. 数据</w:t>
      </w:r>
    </w:p>
    <w:p>
      <w:pPr>
        <w:rPr>
          <w:sz w:val="30"/>
          <w:b/>
        </w:rPr>
      </w:pPr>
      <w:r>
        <w:rPr>
          <w:sz w:val="30"/>
          <w:b/>
        </w:rPr>
        <w:t>1.1 数据来源与格式</w:t>
      </w:r>
    </w:p>
    <w:p>
      <w:r>
        <w:t>实验数据由本工程自带的仿真流量生成器产生（--set source=synthetic），schema = insdn：84 列，列名与公开数据集 inSDN / CIC-IDS2017（CICFlowMeter 输出）逐字一致。</w:t>
      </w:r>
    </w:p>
    <w:p>
      <w:r>
        <w:t>生成器先按攻击机理生成「流记录的物理事实」（包数、字节数、时长、标志位、到达间隔、活跃/空闲时间……），再由同一份事实渲染出数据集列，因此任意两个特征之间物理自洽；同时可通过 overlap_ratio（类别重叠困难样本比例）、label_noise（标注噪声）、drift_strength（分布漂移）三个旋钮控制任务难度，避免指标虚高。</w:t>
      </w:r>
    </w:p>
    <w:p>
      <w:pPr>
        <w:rPr>
          <w:sz w:val="30"/>
          <w:b/>
        </w:rPr>
      </w:pPr>
      <w:r>
        <w:rPr>
          <w:sz w:val="30"/>
          <w:b/>
        </w:rPr>
        <w:t>1.2 规模与切分</w:t>
      </w:r>
    </w:p>
    <w:tbl>
      <w:tblPr>
        <w:tblW w:w="9300" w:type="dxa"/>
        <w:jc w:val="left"/>
      </w:tblPr>
      <w:tblGrid>
        <w:gridCol w:w="3000"/>
        <w:gridCol w:w="630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项目</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数值</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类别数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8</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类别</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Botnet、BruteForce、DDoS、DoS、Normal、Probe、U2R、WebAttack</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参与建模的特征数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71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输入张量形状</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[16, 71]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训练 / 验证 / 测试窗口数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8506 / 2043 / 3513</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随机种子</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r>
    </w:tbl>
    <w:p>
      <w:r>
        <w:t>切分方式：按时间顺序切分（train 0.6 / val 0.15 / test 其余），边界留 32 条 purge 间隙，滑窗不跨集；StandardScaler 仅在训练集上拟合。测试集只用于最终评估一次，模型选择完全依赖验证集。</w:t>
      </w:r>
    </w:p>
    <w:p>
      <w:pPr>
        <w:rPr>
          <w:sz w:val="30"/>
          <w:b/>
        </w:rPr>
      </w:pPr>
      <w:r>
        <w:rPr>
          <w:sz w:val="30"/>
          <w:b/>
        </w:rPr>
        <w:t>1.3 测试集逐类表现</w:t>
      </w:r>
    </w:p>
    <w:tbl>
      <w:tblPr>
        <w:tblW w:w="9300" w:type="dxa"/>
        <w:jc w:val="left"/>
      </w:tblPr>
      <w:tblGrid>
        <w:gridCol w:w="2100"/>
        <w:gridCol w:w="1800"/>
        <w:gridCol w:w="1800"/>
        <w:gridCol w:w="1800"/>
        <w:gridCol w:w="180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类别</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精确率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召回率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F1</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样本数</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Botnet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73</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BruteForce</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0.9434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0.9709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150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DDoS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232</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DoS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0.9818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0.9908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216</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Normal</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2500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Probe</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0.9767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0.9882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126</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U2R</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42</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WebAttack</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174</w:t>
            </w:r>
          </w:p>
        </w:tc>
      </w:tr>
    </w:tbl>
    <w:p>
      <w:pPr>
        <w:rPr>
          <w:sz w:val="36"/>
          <w:b/>
        </w:rPr>
      </w:pPr>
      <w:r>
        <w:rPr>
          <w:sz w:val="36"/>
          <w:b/>
        </w:rPr>
        <w:t>2. 方法</w:t>
      </w:r>
    </w:p>
    <w:p>
      <w:pPr>
        <w:rPr>
          <w:sz w:val="30"/>
          <w:b/>
        </w:rPr>
      </w:pPr>
      <w:r>
        <w:rPr>
          <w:sz w:val="30"/>
          <w:b/>
        </w:rPr>
        <w:t>2.1 模型结构</w:t>
      </w:r>
    </w:p>
    <w:p>
      <w:pPr>
        <w:rPr>
          <w:rFonts w:ascii="Consolas" w:eastAsia="Consolas" w:hAnsi="Consolas"/>
          <w:sz w:val="18"/>
        </w:rPr>
      </w:pPr>
      <w:r>
        <w:rPr>
          <w:rFonts w:ascii="Consolas" w:eastAsia="Consolas" w:hAnsi="Consolas" w:hint="eastAsia"/>
          <w:sz w:val="18"/>
        </w:rPr>
        <w:t>输入 (T=16, F=71)：T 条连续流记录 × F 维流特征</w:t>
      </w:r>
    </w:p>
    <w:p>
      <w:pPr>
        <w:rPr>
          <w:rFonts w:ascii="Consolas" w:eastAsia="Consolas" w:hAnsi="Consolas"/>
          <w:sz w:val="18"/>
        </w:rPr>
      </w:pPr>
      <w:r>
        <w:rPr>
          <w:rFonts w:ascii="Consolas" w:eastAsia="Consolas" w:hAnsi="Consolas" w:hint="eastAsia"/>
          <w:sz w:val="18"/>
        </w:rPr>
        <w:t xml:space="preserve">  ├─ 分支 A（CNN，膨胀卷积，不池化以保住时间步）</w:t>
      </w:r>
    </w:p>
    <w:p>
      <w:pPr>
        <w:rPr>
          <w:rFonts w:ascii="Consolas" w:eastAsia="Consolas" w:hAnsi="Consolas"/>
          <w:sz w:val="18"/>
        </w:rPr>
      </w:pPr>
      <w:r>
        <w:rPr>
          <w:rFonts w:ascii="Consolas" w:eastAsia="Consolas" w:hAnsi="Consolas"/>
          <w:sz w:val="18"/>
        </w:rPr>
        <w:t xml:space="preserve">  │    Conv1D[64, 128], kernel=3, dilation=1,2 + BN + ReLU</w:t>
      </w:r>
    </w:p>
    <w:p>
      <w:pPr>
        <w:rPr>
          <w:rFonts w:ascii="Consolas" w:eastAsia="Consolas" w:hAnsi="Consolas"/>
          <w:sz w:val="18"/>
        </w:rPr>
      </w:pPr>
      <w:r>
        <w:rPr>
          <w:rFonts w:ascii="Consolas" w:eastAsia="Consolas" w:hAnsi="Consolas" w:hint="eastAsia"/>
          <w:sz w:val="18"/>
        </w:rPr>
        <w:t xml:space="preserve">  │    作用：提取「相邻若干条流」的局部组合模式（突发 SYN、等间隔心跳……）</w:t>
      </w:r>
    </w:p>
    <w:p>
      <w:pPr>
        <w:rPr>
          <w:rFonts w:ascii="Consolas" w:eastAsia="Consolas" w:hAnsi="Consolas"/>
          <w:sz w:val="18"/>
        </w:rPr>
      </w:pPr>
      <w:r>
        <w:rPr>
          <w:rFonts w:ascii="Consolas" w:eastAsia="Consolas" w:hAnsi="Consolas" w:hint="eastAsia"/>
          <w:sz w:val="18"/>
        </w:rPr>
        <w:t xml:space="preserve">  │    → 全局最大池化</w:t>
      </w:r>
    </w:p>
    <w:p>
      <w:pPr>
        <w:rPr>
          <w:rFonts w:ascii="Consolas" w:eastAsia="Consolas" w:hAnsi="Consolas"/>
          <w:sz w:val="18"/>
        </w:rPr>
      </w:pPr>
      <w:r>
        <w:rPr>
          <w:rFonts w:ascii="Consolas" w:eastAsia="Consolas" w:hAnsi="Consolas" w:hint="eastAsia"/>
          <w:sz w:val="18"/>
        </w:rPr>
        <w:t xml:space="preserve">  ├─ 分支 B（BiLSTM）</w:t>
      </w:r>
    </w:p>
    <w:p>
      <w:pPr>
        <w:rPr>
          <w:rFonts w:ascii="Consolas" w:eastAsia="Consolas" w:hAnsi="Consolas"/>
          <w:sz w:val="18"/>
        </w:rPr>
      </w:pPr>
      <w:r>
        <w:rPr>
          <w:rFonts w:ascii="Consolas" w:eastAsia="Consolas" w:hAnsi="Consolas" w:hint="eastAsia"/>
          <w:sz w:val="18"/>
        </w:rPr>
        <w:t xml:space="preserve">  │    BiLSTM(64, return_sequences=True) 直接作用于原始窗口</w:t>
      </w:r>
    </w:p>
    <w:p>
      <w:pPr>
        <w:rPr>
          <w:rFonts w:ascii="Consolas" w:eastAsia="Consolas" w:hAnsi="Consolas"/>
          <w:sz w:val="18"/>
        </w:rPr>
      </w:pPr>
      <w:r>
        <w:rPr>
          <w:rFonts w:ascii="Consolas" w:eastAsia="Consolas" w:hAnsi="Consolas" w:hint="eastAsia"/>
          <w:sz w:val="18"/>
        </w:rPr>
        <w:t xml:space="preserve">  │    作用：对整段窗口做双向时序建模</w:t>
      </w:r>
    </w:p>
    <w:p>
      <w:pPr>
        <w:rPr>
          <w:rFonts w:ascii="Consolas" w:eastAsia="Consolas" w:hAnsi="Consolas"/>
          <w:sz w:val="18"/>
        </w:rPr>
      </w:pPr>
      <w:r>
        <w:rPr>
          <w:rFonts w:ascii="Consolas" w:eastAsia="Consolas" w:hAnsi="Consolas" w:hint="eastAsia"/>
          <w:sz w:val="18"/>
        </w:rPr>
        <w:t xml:space="preserve">  │    → 时间维注意力池化（Softmax 加权求和）</w:t>
      </w:r>
    </w:p>
    <w:p>
      <w:pPr>
        <w:rPr>
          <w:rFonts w:ascii="Consolas" w:eastAsia="Consolas" w:hAnsi="Consolas"/>
          <w:sz w:val="18"/>
        </w:rPr>
      </w:pPr>
      <w:r>
        <w:rPr>
          <w:rFonts w:ascii="Consolas" w:eastAsia="Consolas" w:hAnsi="Consolas" w:hint="eastAsia"/>
          <w:sz w:val="18"/>
        </w:rPr>
        <w:t xml:space="preserve">  ├─ 两分支特征拼接（Concatenate）</w:t>
      </w:r>
    </w:p>
    <w:p>
      <w:pPr>
        <w:rPr>
          <w:rFonts w:ascii="Consolas" w:eastAsia="Consolas" w:hAnsi="Consolas"/>
          <w:sz w:val="18"/>
        </w:rPr>
      </w:pPr>
      <w:r>
        <w:rPr>
          <w:rFonts w:ascii="Consolas" w:eastAsia="Consolas" w:hAnsi="Consolas" w:hint="eastAsia"/>
          <w:sz w:val="18"/>
        </w:rPr>
        <w:t xml:space="preserve">  └─ 双头输出：多分类头 softmax(8) + 二分类头 sigmoid</w:t>
      </w:r>
    </w:p>
    <w:p>
      <w:pPr>
        <w:rPr>
          <w:rFonts w:ascii="Consolas" w:eastAsia="Consolas" w:hAnsi="Consolas"/>
          <w:sz w:val="18"/>
        </w:rPr>
      </w:pPr>
      <w:r>
        <w:rPr>
          <w:rFonts w:ascii="Consolas" w:eastAsia="Consolas" w:hAnsi="Consolas" w:hint="eastAsia"/>
          <w:sz w:val="18"/>
        </w:rPr>
        <w:t xml:space="preserve">     损失 = CE(多分类) + 0.3 × BCE(二分类)（多任务联合训练）</w:t>
      </w:r>
    </w:p>
    <w:tbl>
      <w:tblPr>
        <w:tblW w:w="9300" w:type="dxa"/>
        <w:jc w:val="left"/>
      </w:tblPr>
      <w:tblGrid>
        <w:gridCol w:w="3600"/>
        <w:gridCol w:w="570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超参数</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取值</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模型变体</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卷积核数量 / 核大小</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[64, 128] / 3</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LSTM 单元数（双向）</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64</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全连接层</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[128, 64]</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Dropout / L2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 / 0.0001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批大小 / 初始学习率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256 / 0.001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最大轮数 / 早停耐心</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40 / 8</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类别加权</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逆频加权（开启）</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模型参数量</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151,434</w:t>
            </w:r>
          </w:p>
        </w:tc>
      </w:tr>
    </w:tbl>
    <w:p>
      <w:pPr>
        <w:rPr>
          <w:sz w:val="36"/>
          <w:b/>
        </w:rPr>
      </w:pPr>
      <w:r>
        <w:rPr>
          <w:sz w:val="36"/>
          <w:b/>
        </w:rPr>
        <w:t>3. 实验结果</w:t>
      </w:r>
    </w:p>
    <w:p>
      <w:pPr>
        <w:rPr>
          <w:sz w:val="30"/>
          <w:b/>
        </w:rPr>
      </w:pPr>
      <w:r>
        <w:rPr>
          <w:sz w:val="30"/>
          <w:b/>
        </w:rPr>
        <w:t>3.1 多分类结果</w:t>
      </w:r>
    </w:p>
    <w:tbl>
      <w:tblPr>
        <w:tblW w:w="9300" w:type="dxa"/>
        <w:jc w:val="left"/>
      </w:tblPr>
      <w:tblGrid>
        <w:gridCol w:w="3600"/>
        <w:gridCol w:w="570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指标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数值</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准确率 Accuracy</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0.9952</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宏平均精确率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0.9870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宏平均召回率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宏平均 F1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加权 F1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0.9952</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Top-2 准确率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Kappa 系数</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宏平均 AUC (OvR)</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r>
    </w:tbl>
    <w:p>
      <w:pPr>
        <w:rPr>
          <w:sz w:val="18"/>
          <w:color w:val="666666"/>
        </w:rPr>
      </w:pPr>
      <w:r>
        <w:drawing>
          <wp:inline>
            <wp:extent cx="5715000" cy="2266950"/>
            <wp:effectExtent l="0" t="0" r="9525" b="0"/>
            <wp:docPr id="4" name="Picture XFRluI"/>
            <wp:cNvGraphicFramePr>
              <a:graphicFrameLocks noChangeAspect="1"/>
            </wp:cNvGraphicFramePr>
            <a:graphic>
              <a:graphicData uri="http://schemas.openxmlformats.org/drawingml/2006/picture">
                <pic:pic>
                  <pic:nvPicPr>
                    <pic:cNvPr id="4" name="Picture XFRluI"/>
                    <pic:cNvPicPr>
                      <a:picLocks noChangeAspect="1" noChangeArrowheads="1"/>
                    </pic:cNvPicPr>
                  </pic:nvPicPr>
                  <pic:blipFill>
                    <a:blip r:embed="rIdImage4">
                      <a:extLst>
                        <a:ext uri="{28A0092B-C50C-407E-A947-70E740481C1C}">
                          <a14:useLocalDpi xmlns:a14="http://schemas.microsoft.com/office/drawing/2010/main" val="0"/>
                        </a:ext>
                      </a:extLst>
                    </a:blip>
                    <a:srcRect/>
                    <a:stretch>
                      <a:fillRect/>
                    </a:stretch>
                  </pic:blipFill>
                  <pic:spPr bwMode="auto">
                    <a:xfrm>
                      <a:off x="0" y="0"/>
                      <a:ext cx="5715000" cy="2266950"/>
                    </a:xfrm>
                    <a:prstGeom prst="rect">
                      <a:avLst/>
                    </a:prstGeom>
                    <a:noFill/>
                    <a:ln>
                      <a:noFill/>
                    </a:ln>
                  </pic:spPr>
                </pic:pic>
              </a:graphicData>
            </a:graphic>
          </wp:inline>
        </w:drawing>
      </w:r>
      <w:r>
        <w:rPr>
          <w:sz w:val="18"/>
          <w:color w:val="666666"/>
        </w:rPr>
        <w:t>图 1　测试集混淆矩阵（8 类，主模型）</w:t>
      </w:r>
    </w:p>
    <w:p>
      <w:pPr>
        <w:rPr>
          <w:sz w:val="18"/>
          <w:color w:val="666666"/>
        </w:rPr>
      </w:pPr>
      <w:r>
        <w:drawing>
          <wp:inline>
            <wp:extent cx="5715000" cy="2171700"/>
            <wp:effectExtent l="0" t="0" r="9525" b="0"/>
            <wp:docPr id="1" name="Picture 7vbqWj"/>
            <wp:cNvGraphicFramePr>
              <a:graphicFrameLocks noChangeAspect="1"/>
            </wp:cNvGraphicFramePr>
            <a:graphic>
              <a:graphicData uri="http://schemas.openxmlformats.org/drawingml/2006/picture">
                <pic:pic>
                  <pic:nvPicPr>
                    <pic:cNvPr id="1" name="Picture 7vbqWj"/>
                    <pic:cNvPicPr>
                      <a:picLocks noChangeAspect="1" noChangeArrowheads="1"/>
                    </pic:cNvPicPr>
                  </pic:nvPicPr>
                  <pic:blipFill>
                    <a:blip r:embed="rIdImage1">
                      <a:extLst>
                        <a:ext uri="{28A0092B-C50C-407E-A947-70E740481C1C}">
                          <a14:useLocalDpi xmlns:a14="http://schemas.microsoft.com/office/drawing/2010/main" val="0"/>
                        </a:ext>
                      </a:extLst>
                    </a:blip>
                    <a:srcRect/>
                    <a:stretch>
                      <a:fillRect/>
                    </a:stretch>
                  </pic:blipFill>
                  <pic:spPr bwMode="auto">
                    <a:xfrm>
                      <a:off x="0" y="0"/>
                      <a:ext cx="5715000" cy="2171700"/>
                    </a:xfrm>
                    <a:prstGeom prst="rect">
                      <a:avLst/>
                    </a:prstGeom>
                    <a:noFill/>
                    <a:ln>
                      <a:noFill/>
                    </a:ln>
                  </pic:spPr>
                </pic:pic>
              </a:graphicData>
            </a:graphic>
          </wp:inline>
        </w:drawing>
      </w:r>
      <w:r>
        <w:rPr>
          <w:sz w:val="18"/>
          <w:color w:val="666666"/>
        </w:rPr>
        <w:t>图 2　多分类 ROC / PR 曲线</w:t>
      </w:r>
    </w:p>
    <w:p>
      <w:pPr>
        <w:rPr>
          <w:sz w:val="30"/>
          <w:b/>
        </w:rPr>
      </w:pPr>
      <w:r>
        <w:rPr>
          <w:sz w:val="30"/>
          <w:b/>
        </w:rPr>
        <w:t>3.2 二分类异常检测结果</w:t>
      </w:r>
    </w:p>
    <w:tbl>
      <w:tblPr>
        <w:tblW w:w="9300" w:type="dxa"/>
        <w:jc w:val="left"/>
      </w:tblPr>
      <w:tblGrid>
        <w:gridCol w:w="3600"/>
        <w:gridCol w:w="570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指标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数值</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判定阈值</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准确率 / 平衡准确率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0.9946 / 0.9962</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精确率 / 召回率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0.9816 / 1.0000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F1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0.9907</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ROC-AUC</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PR-AUC</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0.9999</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MCC</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0.9870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TPR@FPR=1%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TPR@FPR=0.1%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0.9921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最优阈值（F1 最大）</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0.943 → F1=0.9961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混淆四格 (TN/FP/FN/TP)</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2481 / 19 / 0 / 1013</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误报率 FPR / 漏报率 FNR</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0.0076 / 0.0000</w:t>
            </w:r>
          </w:p>
        </w:tc>
      </w:tr>
    </w:tbl>
    <w:p>
      <w:pPr>
        <w:rPr>
          <w:sz w:val="18"/>
          <w:color w:val="666666"/>
        </w:rPr>
      </w:pPr>
      <w:r>
        <w:drawing>
          <wp:inline>
            <wp:extent cx="5905500" cy="1590675"/>
            <wp:effectExtent l="0" t="0" r="9525" b="0"/>
            <wp:docPr id="3" name="Picture S3KSEF"/>
            <wp:cNvGraphicFramePr>
              <a:graphicFrameLocks noChangeAspect="1"/>
            </wp:cNvGraphicFramePr>
            <a:graphic>
              <a:graphicData uri="http://schemas.openxmlformats.org/drawingml/2006/picture">
                <pic:pic>
                  <pic:nvPicPr>
                    <pic:cNvPr id="3" name="Picture S3KSEF"/>
                    <pic:cNvPicPr>
                      <a:picLocks noChangeAspect="1" noChangeArrowheads="1"/>
                    </pic:cNvPicPr>
                  </pic:nvPicPr>
                  <pic:blipFill>
                    <a:blip r:embed="rIdImage3">
                      <a:extLst>
                        <a:ext uri="{28A0092B-C50C-407E-A947-70E740481C1C}">
                          <a14:useLocalDpi xmlns:a14="http://schemas.microsoft.com/office/drawing/2010/main" val="0"/>
                        </a:ext>
                      </a:extLst>
                    </a:blip>
                    <a:srcRect/>
                    <a:stretch>
                      <a:fillRect/>
                    </a:stretch>
                  </pic:blipFill>
                  <pic:spPr bwMode="auto">
                    <a:xfrm>
                      <a:off x="0" y="0"/>
                      <a:ext cx="5905500" cy="1590675"/>
                    </a:xfrm>
                    <a:prstGeom prst="rect">
                      <a:avLst/>
                    </a:prstGeom>
                    <a:noFill/>
                    <a:ln>
                      <a:noFill/>
                    </a:ln>
                  </pic:spPr>
                </pic:pic>
              </a:graphicData>
            </a:graphic>
          </wp:inline>
        </w:drawing>
      </w:r>
      <w:r>
        <w:rPr>
          <w:sz w:val="18"/>
          <w:color w:val="666666"/>
        </w:rPr>
        <w:t>图 3　二分类检测工作点（阈值–F1 曲线与混淆四格）</w:t>
      </w:r>
    </w:p>
    <w:p>
      <w:pPr>
        <w:rPr>
          <w:sz w:val="30"/>
          <w:b/>
        </w:rPr>
      </w:pPr>
      <w:r>
        <w:rPr>
          <w:sz w:val="30"/>
          <w:b/>
        </w:rPr>
        <w:t>3.3 在线（告警级）结果</w:t>
      </w:r>
    </w:p>
    <w:p>
      <w:r>
        <w:t>在连续测试流上按滑动窗口滚动推理，模拟真实部署时的报警行为：</w:t>
      </w:r>
    </w:p>
    <w:tbl>
      <w:tblPr>
        <w:tblW w:w="9300" w:type="dxa"/>
        <w:jc w:val="left"/>
      </w:tblPr>
      <w:tblGrid>
        <w:gridCol w:w="3900"/>
        <w:gridCol w:w="540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指标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数值</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测试流规模</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21478 条流记录 / 3.04 小时</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攻击片段数 / 成功检出</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 / 24</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片段召回率</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平均 / 中位检测时延（秒）</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0.02 / 14.0 条流</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P95 检测时延（秒）</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0.07</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误报次数 / 误报率（次/小时）</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 / 0.66</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告警窗口占比</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0.2943</w:t>
            </w:r>
          </w:p>
        </w:tc>
      </w:tr>
    </w:tbl>
    <w:p>
      <w:pPr>
        <w:rPr>
          <w:sz w:val="18"/>
          <w:color w:val="666666"/>
        </w:rPr>
      </w:pPr>
      <w:r>
        <w:drawing>
          <wp:inline>
            <wp:extent cx="5715000" cy="3219450"/>
            <wp:effectExtent l="0" t="0" r="9525" b="0"/>
            <wp:docPr id="5" name="Picture nv5H2J"/>
            <wp:cNvGraphicFramePr>
              <a:graphicFrameLocks noChangeAspect="1"/>
            </wp:cNvGraphicFramePr>
            <a:graphic>
              <a:graphicData uri="http://schemas.openxmlformats.org/drawingml/2006/picture">
                <pic:pic>
                  <pic:nvPicPr>
                    <pic:cNvPr id="5" name="Picture nv5H2J"/>
                    <pic:cNvPicPr>
                      <a:picLocks noChangeAspect="1" noChangeArrowheads="1"/>
                    </pic:cNvPicPr>
                  </pic:nvPicPr>
                  <pic:blipFill>
                    <a:blip r:embed="rIdImage5">
                      <a:extLst>
                        <a:ext uri="{28A0092B-C50C-407E-A947-70E740481C1C}">
                          <a14:useLocalDpi xmlns:a14="http://schemas.microsoft.com/office/drawing/2010/main" val="0"/>
                        </a:ext>
                      </a:extLst>
                    </a:blip>
                    <a:srcRect/>
                    <a:stretch>
                      <a:fillRect/>
                    </a:stretch>
                  </pic:blipFill>
                  <pic:spPr bwMode="auto">
                    <a:xfrm>
                      <a:off x="0" y="0"/>
                      <a:ext cx="5715000" cy="3219450"/>
                    </a:xfrm>
                    <a:prstGeom prst="rect">
                      <a:avLst/>
                    </a:prstGeom>
                    <a:noFill/>
                    <a:ln>
                      <a:noFill/>
                    </a:ln>
                  </pic:spPr>
                </pic:pic>
              </a:graphicData>
            </a:graphic>
          </wp:inline>
        </w:drawing>
      </w:r>
      <w:r>
        <w:rPr>
          <w:sz w:val="18"/>
          <w:color w:val="666666"/>
        </w:rPr>
        <w:t>图 4　在线检测时间轴（真实曲线与真实标签对齐）</w:t>
      </w:r>
    </w:p>
    <w:p>
      <w:pPr>
        <w:rPr>
          <w:sz w:val="30"/>
          <w:b/>
        </w:rPr>
      </w:pPr>
      <w:r>
        <w:rPr>
          <w:sz w:val="30"/>
          <w:b/>
        </w:rPr>
        <w:t>3.4 对照实验（消融 / 传统机器学习基线 / 概率集成）</w:t>
      </w:r>
    </w:p>
    <w:tbl>
      <w:tblPr>
        <w:tblW w:w="9600" w:type="dxa"/>
        <w:jc w:val="left"/>
      </w:tblPr>
      <w:tblGrid>
        <w:gridCol w:w="2850"/>
        <w:gridCol w:w="930"/>
        <w:gridCol w:w="930"/>
        <w:gridCol w:w="930"/>
        <w:gridCol w:w="930"/>
        <w:gridCol w:w="1080"/>
        <w:gridCol w:w="195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实验组</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准确率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宏F1</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二分类F1</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AUC</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参数量</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说明</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cnn_bilstm_main_s0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0.9907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151,434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本文主模型</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cnn_bilstm_main_bilstm_s0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95,882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消融：去掉 CNN 分支</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cnn_bilstm_main_bilstm_s1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0.9980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95,882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消融：去掉 CNN 分支</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cnn_bilstm_main_bilstm_s2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95,882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消融：去掉 CNN 分支</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cnn_bilstm_main_cnn_s0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0.9781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0.9670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0.9493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65,289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消融：去掉 BiLSTM 分支</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cnn_bilstm_main_cnn_s1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0.9852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0.9788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0.9664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65,289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消融：去掉 BiLSTM 分支</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cnn_bilstm_main_cnn_s2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0.9818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0.9725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0.9597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65,289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消融：去掉 BiLSTM 分支</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cnn_bilstm_main_extra_trees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0.9066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0.8343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0.8794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736,770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传统基线：极端随机树</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cnn_bilstm_main_logistic_regression</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0.9835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0.9739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0.9710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9,096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传统基线：逻辑回归</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cnn_bilstm_main_mlp_s0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0.9889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0.9835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0.9761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172,169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消融：纯全连接</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cnn_bilstm_main_mlp_s1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0.9838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0.9755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0.9691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172,169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消融：纯全连接</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cnn_bilstm_main_mlp_s2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0.9863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0.9795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0.9771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172,169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消融：纯全连接</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cnn_bilstm_main_random_forest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0.9337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0.8767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0.9252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0.9983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254,718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传统基线：随机森林</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cnn_bilstm_main_s1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151,434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多种子对照</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cnn_bilstm_main_s2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0.9912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151,434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多种子对照</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ensemble_3arch</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0.9902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312,605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晚融合集成（3 结构）</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ensemble_all</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807,237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晚融合集成（全部）</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sdn_ctrl_s0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0.9083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0.8441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0.8533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113,418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控制器原生字段口径</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sdn_ctrl_s1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0.9465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0.8816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0.9190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113,418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控制器原生字段口径</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ws16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0.9922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151,434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窗口消融 T=16</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ws16_bilstm</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0.9983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95,882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消融：去掉 CNN 分支</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ws16_bilstm_s1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0.9980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95,882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消融：去掉 CNN 分支</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ws16_bilstm_s2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95,882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消融：去掉 CNN 分支</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ws16_cnn</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0.9781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0.9670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0.9493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65,289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消融：去掉 BiLSTM 分支</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ws16_cnn_s1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0.9852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0.9788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0.9664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65,289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消融：去掉 BiLSTM 分支</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ws16_cnn_s2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0.9818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0.9725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0.9597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65,289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消融：去掉 BiLSTM 分支</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ws16_s1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0.9925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0.9902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151,434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多种子对照</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ws16_s2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151,434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多种子对照</w:t>
            </w:r>
          </w:p>
        </w:tc>
      </w:tr>
    </w:tbl>
    <w:p>
      <w:pPr>
        <w:rPr>
          <w:sz w:val="18"/>
          <w:color w:val="666666"/>
        </w:rPr>
      </w:pPr>
      <w:r>
        <w:drawing>
          <wp:inline>
            <wp:extent cx="5715000" cy="1847850"/>
            <wp:effectExtent l="0" t="0" r="9525" b="0"/>
            <wp:docPr id="2" name="Picture Me4bTx"/>
            <wp:cNvGraphicFramePr>
              <a:graphicFrameLocks noChangeAspect="1"/>
            </wp:cNvGraphicFramePr>
            <a:graphic>
              <a:graphicData uri="http://schemas.openxmlformats.org/drawingml/2006/picture">
                <pic:pic>
                  <pic:nvPicPr>
                    <pic:cNvPr id="2" name="Picture Me4bTx"/>
                    <pic:cNvPicPr>
                      <a:picLocks noChangeAspect="1" noChangeArrowheads="1"/>
                    </pic:cNvPicPr>
                  </pic:nvPicPr>
                  <pic:blipFill>
                    <a:blip r:embed="rIdImage2">
                      <a:extLst>
                        <a:ext uri="{28A0092B-C50C-407E-A947-70E740481C1C}">
                          <a14:useLocalDpi xmlns:a14="http://schemas.microsoft.com/office/drawing/2010/main" val="0"/>
                        </a:ext>
                      </a:extLst>
                    </a:blip>
                    <a:srcRect/>
                    <a:stretch>
                      <a:fillRect/>
                    </a:stretch>
                  </pic:blipFill>
                  <pic:spPr bwMode="auto">
                    <a:xfrm>
                      <a:off x="0" y="0"/>
                      <a:ext cx="5715000" cy="1847850"/>
                    </a:xfrm>
                    <a:prstGeom prst="rect">
                      <a:avLst/>
                    </a:prstGeom>
                    <a:noFill/>
                    <a:ln>
                      <a:noFill/>
                    </a:ln>
                  </pic:spPr>
                </pic:pic>
              </a:graphicData>
            </a:graphic>
          </wp:inline>
        </w:drawing>
      </w:r>
      <w:r>
        <w:rPr>
          <w:sz w:val="18"/>
          <w:color w:val="666666"/>
        </w:rPr>
        <w:t>图 5　消融与基线对比</w:t>
      </w:r>
    </w:p>
    <w:p>
      <w:pPr>
        <w:rPr>
          <w:sz w:val="30"/>
          <w:b/>
        </w:rPr>
      </w:pPr>
      <w:r>
        <w:rPr>
          <w:sz w:val="30"/>
          <w:b/>
        </w:rPr>
        <w:t>3.5 窗口长度消融（最重要的超参数）</w:t>
      </w:r>
    </w:p>
    <w:p>
      <w:r>
        <w:t>固定数据、固定步长与训练轮数，对窗口长度 T 与三种结构做全交叉实验：</w:t>
      </w:r>
    </w:p>
    <w:tbl>
      <w:tblPr>
        <w:tblW w:w="10800" w:type="dxa"/>
        <w:jc w:val="left"/>
      </w:tblPr>
      <w:tblGrid>
        <w:gridCol w:w="1950"/>
        <w:gridCol w:w="1650"/>
        <w:gridCol w:w="1140"/>
        <w:gridCol w:w="1230"/>
        <w:gridCol w:w="1950"/>
        <w:gridCol w:w="1650"/>
        <w:gridCol w:w="123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窗口长度</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混合模型宏 F1</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仅 CNN</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仅 BiLSTM</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混合−最好单分支</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误报（次/小时）</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片段召回</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T=10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0.9772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0.9415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0.9886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-0.0114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28.31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T=16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0.9670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-0.0033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9.22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T=24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0.9813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-0.0007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3.29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T=24（step=12）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5.27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T=32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0.9846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0.9977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+0.0023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T=48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0.9912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r>
    </w:tbl>
    <w:p>
      <w:r>
        <w:t>结论：① 窗口越长判别越准；② 误报率随窗口长度断崖式下降（28.3 → 3.3 次/小时，降低约 88%）；③ 卷积分支相对最好单分支的差距随窗口变长单调收敛（−0.0114 → −0.0007），印证了「CNN 分支需要更长窗口才能体现价值」的假设。默认配置据此选定为 T=16，在精度与检测时延之间取平衡。</w:t>
      </w:r>
    </w:p>
    <w:p>
      <w:pPr>
        <w:rPr>
          <w:sz w:val="30"/>
          <w:b/>
        </w:rPr>
      </w:pPr>
      <w:r>
        <w:rPr>
          <w:sz w:val="30"/>
          <w:b/>
        </w:rPr>
        <w:t>3.6 分布漂移鲁棒性</w:t>
      </w:r>
    </w:p>
    <w:p>
      <w:r>
        <w:t>漂移集由生成器按同一套攻击机理、对包规模/时长/包长做整体缩放后生成，模拟「攻击工具换代」或「链路带宽变化」。预处理沿用训练时的 scaler（不重新拟合）。</w:t>
      </w:r>
    </w:p>
    <w:tbl>
      <w:tblPr>
        <w:tblW w:w="9600" w:type="dxa"/>
        <w:jc w:val="left"/>
      </w:tblPr>
      <w:tblGrid>
        <w:gridCol w:w="2700"/>
        <w:gridCol w:w="1110"/>
        <w:gridCol w:w="1110"/>
        <w:gridCol w:w="1260"/>
        <w:gridCol w:w="1260"/>
        <w:gridCol w:w="1080"/>
        <w:gridCol w:w="108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模型</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宏F1（同分布）</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宏F1（漂移集）</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二分类F1（同分布）</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二分类F1（漂移集）</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AUC（同分布）</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AUC（漂移集）</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cnn_bilstm_main_bilstm_s0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0.9964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cnn_bilstm_main_cnn_s0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0.9670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0.9696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0.9493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0.9508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cnn_bilstm_main_extra_trees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0.8343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0.7961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0.8794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0.8725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0.9995</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cnn_bilstm_main_logistic_regression</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0.9739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0.9739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0.9710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0.9765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0.9989</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cnn_bilstm_main_mlp_s0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0.9835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0.9830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0.9761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0.9826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0.9993</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cnn_bilstm_main_random_forest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0.8767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0.7996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0.9252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0.8750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0.9983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0.9995</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cnn_bilstm_main_s0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0.9907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0.9999</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cnn_bilstm_main_s1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0.9956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0.9940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0.9999</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cnn_bilstm_main_s2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0.9918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0.9912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0.9916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0.9999</w:t>
            </w:r>
          </w:p>
        </w:tc>
      </w:tr>
    </w:tbl>
    <w:p>
      <w:r>
        <w:t>怎么读这张表：同一列左右两数差距越小，说明模型对分布变化的鲁棒性越好。</w:t>
      </w:r>
    </w:p>
    <w:p>
      <w:r>
        <w:t>结论：本工程的时序深度模型在分布漂移下宏 F1 只下降约 0.5%~1.0%，而树模型（随机森林/极端随机树）下降 4.5%~6.7%——说明窗口化的时序建模对「换个网络环境/换个攻击工具」这类分布变化更不敏感。</w:t>
      </w:r>
    </w:p>
    <w:p>
      <w:pPr>
        <w:rPr>
          <w:sz w:val="30"/>
          <w:b/>
        </w:rPr>
      </w:pPr>
      <w:r>
        <w:rPr>
          <w:sz w:val="30"/>
          <w:b/>
        </w:rPr>
        <w:t>3.7 检测工作点选择（误报–时延权衡）</w:t>
      </w:r>
    </w:p>
    <w:p>
      <w:r>
        <w:t>把「判定阈值 × 窗口长度 × 告警确认次数」放在同一评估框架里全枚举（无需重训即可得到）：</w:t>
      </w:r>
    </w:p>
    <w:tbl>
      <w:tblPr>
        <w:tblW w:w="9600" w:type="dxa"/>
        <w:jc w:val="left"/>
      </w:tblPr>
      <w:tblGrid>
        <w:gridCol w:w="1050"/>
        <w:gridCol w:w="1500"/>
        <w:gridCol w:w="1350"/>
        <w:gridCol w:w="1650"/>
        <w:gridCol w:w="1350"/>
        <w:gridCol w:w="1350"/>
        <w:gridCol w:w="135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阈值</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确认窗口数</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片段召回</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检出/总片段</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误报次数</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误报/小时</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平均时延(ms)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11.19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9.9</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1.97</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14.2</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0.66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18.1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32.2</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8.56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9.9</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14.3</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0.66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18.1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0.50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32.3</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6.91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10.6</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15.5</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0.66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18.5</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0.70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33.1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2.96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11.8</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16.1</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19.5</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0.90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24/24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36.9</w:t>
            </w:r>
          </w:p>
        </w:tc>
      </w:tr>
    </w:tbl>
    <w:p>
      <w:r>
        <w:t>推荐工作点：在误报预算 1.0 次/小时内且片段召回 100% 的组合中，阈值 0.90 + 连续确认 2 个窗口的时延最小：16.1 ms、误报 0.33 次/小时。</w:t>
      </w:r>
    </w:p>
    <w:p>
      <w:pPr>
        <w:rPr>
          <w:sz w:val="30"/>
          <w:b/>
        </w:rPr>
      </w:pPr>
      <w:r>
        <w:rPr>
          <w:sz w:val="30"/>
          <w:b/>
        </w:rPr>
        <w:t>3.8 错误分析</w:t>
      </w:r>
    </w:p>
    <w:p>
      <w:r>
        <w:t>测试窗口 3513 个，错误 17 个（错误率 0.48%）。全部错误均为「正常流量被误判为攻击」，攻击类漏报为 0。</w:t>
      </w:r>
    </w:p>
    <w:tbl>
      <w:tblPr>
        <w:tblW w:w="9300" w:type="dxa"/>
        <w:jc w:val="left"/>
      </w:tblPr>
      <w:tblGrid>
        <w:gridCol w:w="3300"/>
        <w:gridCol w:w="3600"/>
        <w:gridCol w:w="240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真实类别</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被误判为</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次数</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Normal</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BruteForce</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Normal</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DoS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Normal</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Probe</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Normal</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WebAttack</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r>
    </w:tbl>
    <w:p>
      <w:r>
        <w:t>主要混淆对 Normal → BruteForce 的错例特征画像（错例 9 个 vs 同类正确 2483 个，z 分数差最大的特征）：</w:t>
      </w:r>
    </w:p>
    <w:tbl>
      <w:tblPr>
        <w:tblW w:w="9300" w:type="dxa"/>
        <w:jc w:val="left"/>
      </w:tblPr>
      <w:tblGrid>
        <w:gridCol w:w="3450"/>
        <w:gridCol w:w="2100"/>
        <w:gridCol w:w="2250"/>
        <w:gridCol w:w="150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特征</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错例均值(z)</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同类正确均值(z)</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差异</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Average Packet Size</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-0.48</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Packet Length Mean</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-0.48</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Max Packet Length</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-0.47</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Fwd Packet Length Max</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-0.44</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Avg Fwd Segment Size</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-0.44</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Fwd Packet Length Min</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-0.44</w:t>
            </w:r>
          </w:p>
        </w:tc>
      </w:tr>
    </w:tbl>
    <w:p>
      <w:pPr>
        <w:rPr>
          <w:sz w:val="30"/>
          <w:b/>
        </w:rPr>
      </w:pPr>
      <w:r>
        <w:rPr>
          <w:sz w:val="30"/>
          <w:b/>
        </w:rPr>
        <w:t>3.9 推理性能基准（部署可行性）</w:t>
      </w:r>
    </w:p>
    <w:tbl>
      <w:tblPr>
        <w:tblW w:w="9900" w:type="dxa"/>
        <w:jc w:val="left"/>
      </w:tblPr>
      <w:tblGrid>
        <w:gridCol w:w="2400"/>
        <w:gridCol w:w="1200"/>
        <w:gridCol w:w="1650"/>
        <w:gridCol w:w="1350"/>
        <w:gridCol w:w="1350"/>
        <w:gridCol w:w="195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推理路径</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批量</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逐窗口(ms)</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p50(ms)</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窗口/秒</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折算流记录/秒</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keras_predict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49.982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35.86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keras_predict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2.303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36.51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434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1303</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keras_predict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64</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0.610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38.68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1640</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4919</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keras_predict</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256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0.206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52.52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4865</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14595</w:t>
            </w:r>
          </w:p>
        </w:tc>
      </w:tr>
    </w:tbl>
    <w:p>
      <w:pPr>
        <w:rPr>
          <w:sz w:val="18"/>
          <w:color w:val="666666"/>
        </w:rPr>
      </w:pPr>
      <w:r>
        <w:rPr>
          <w:sz w:val="18"/>
          <w:color w:val="666666"/>
        </w:rPr>
        <w:t>完整报告见 results/operating_point.md、results/error_analysis.md、results/benchmark_latency.md。</w:t>
      </w:r>
    </w:p>
    <w:p>
      <w:pPr>
        <w:rPr>
          <w:sz w:val="36"/>
          <w:b/>
        </w:rPr>
      </w:pPr>
      <w:r>
        <w:rPr>
          <w:sz w:val="36"/>
          <w:b/>
        </w:rPr>
        <w:t>4. 运维工作量与可部署性（把指标翻译成「能不能上线」）</w:t>
      </w:r>
    </w:p>
    <w:p>
      <w:pPr>
        <w:rPr>
          <w:sz w:val="30"/>
          <w:b/>
        </w:rPr>
      </w:pPr>
      <w:r>
        <w:rPr>
          <w:sz w:val="30"/>
          <w:b/>
        </w:rPr>
        <w:t>4.1 告警量与人工工时（tools/ops_impact.py）</w:t>
      </w:r>
    </w:p>
    <w:tbl>
      <w:tblPr>
        <w:tblW w:w="10890" w:type="dxa"/>
        <w:jc w:val="left"/>
      </w:tblPr>
      <w:tblGrid>
        <w:gridCol w:w="4200"/>
        <w:gridCol w:w="1140"/>
        <w:gridCol w:w="1050"/>
        <w:gridCol w:w="1050"/>
        <w:gridCol w:w="1200"/>
        <w:gridCol w:w="1200"/>
        <w:gridCol w:w="105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工作点</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误报/小时</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误报/天</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告警/天</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人工工时/天</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平均时延</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漏报/天</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推荐阈值但不做连续确认：0.90 + 确认 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2.96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71.1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91.1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9.11</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11.8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工程默认（不依赖测试集调参）：0.50 + 确认 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0.66</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15.8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35.8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3.58</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18.1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推荐上线工作点：0.90 + 确认 2</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0.33</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7.9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27.9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2.79</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16.1 ms</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0.00</w:t>
            </w:r>
          </w:p>
        </w:tc>
      </w:tr>
    </w:tbl>
    <w:p>
      <w:r>
        <w:t>推荐工作点（阈值 0.90 + 连续确认 2）：每天约 27.9 条告警、2.79 人工小时，平均时延 16.1 ms。</w:t>
      </w:r>
    </w:p>
    <w:p>
      <w:r>
        <w:t>「连续确认」的价值（同一阈值下的对照）：阈值 0.90 下，不做确认时每天需 9.11 人工小时（≈ 1.1 个班次），做 2 个窗口的连续确认后降到 2.79 人工小时，每天省下 6.32 人工小时——而攻击片段召回不变（均 100%）。也就是说，这个几乎零成本的机制直接决定了值班室是被误报淹没还是能正常工作。</w:t>
      </w:r>
    </w:p>
    <w:p>
      <w:pPr>
        <w:rPr>
          <w:sz w:val="18"/>
          <w:color w:val="666666"/>
        </w:rPr>
      </w:pPr>
      <w:r>
        <w:rPr>
          <w:sz w:val="18"/>
          <w:color w:val="666666"/>
        </w:rPr>
        <w:t>口径说明：误报率按实测每小时事件数外推到天（与攻击密度无关）；真实告警按业务假设的攻击频次折算（--attacks-per-day，默认 20 次/天）；单条告警按 6 分钟排查、一个班次按 8 小时折算。测试流是刻意做成攻击密集的，直接线性外推会把告警量虚高十几倍，本文规避了这一常见方法学错误。</w:t>
      </w:r>
    </w:p>
    <w:p>
      <w:pPr>
        <w:rPr>
          <w:sz w:val="30"/>
          <w:b/>
        </w:rPr>
      </w:pPr>
      <w:r>
        <w:rPr>
          <w:sz w:val="30"/>
          <w:b/>
        </w:rPr>
        <w:t>4.2 控制平面端到端闭环实测（tools/controller_simulator.py）</w:t>
      </w:r>
    </w:p>
    <w:p>
      <w:r>
        <w:t>在没有 Ryu 的机器上扮演控制器，走完「流记录 → POST /api/detect → 告警 → 执行处置 → 写审计台账」全链路：</w:t>
      </w:r>
    </w:p>
    <w:tbl>
      <w:tblPr>
        <w:tblW w:w="9300" w:type="dxa"/>
        <w:jc w:val="left"/>
      </w:tblPr>
      <w:tblGrid>
        <w:gridCol w:w="3300"/>
        <w:gridCol w:w="6000"/>
      </w:tblGrid>
      <w:tr>
        <w:trPr>
          <w:trHeight w:val="450" w:hRule="atLeast"/>
          <w:tblHeader/>
        </w:trPr>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指标</w:t>
            </w:r>
          </w:p>
        </w:tc>
        <w:tc>
          <w:tcPr>
            <w:tcBorders>
              <w:top w:val="single" w:sz="6" w:space="0" w:color="BFBFBF"/>
              <w:left w:val="single" w:sz="6" w:space="0" w:color="BFBFBF"/>
              <w:bottom w:val="single" w:sz="6" w:space="0" w:color="BFBFBF"/>
              <w:right w:val="single" w:sz="6" w:space="0" w:color="BFBFBF"/>
            </w:tcBorders>
            <w:shd w:val="clear" w:color="auto" w:fill="EFEFEF"/>
            <w:tcMar>
              <w:top w:w="75" w:type="dxa"/>
              <w:left w:w="150" w:type="dxa"/>
              <w:bottom w:w="75" w:type="dxa"/>
              <w:right w:w="150" w:type="dxa"/>
            </w:tcMar>
          </w:tcPr>
          <w:p>
            <w:pPr/>
            <w:r>
              <w:t>实测值</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回放规模</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3,000 条流 / 共 60 批 / 每批约 50 条</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吞吐</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1,364 条流/秒（多次运行落在 1,364~1,918 区间，随机器负载波动）</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判定时延（剔除首批预热）</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p50 29.8 ms / p95 44.7 ms / p99 45.7 ms</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首批预热</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540.8 ms —— TensorFlow 计算图构建的一次性开销（真实部署只发生一次）</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告警</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235 条确认告警（命中真实攻击 228、误报 7）</w:t>
            </w:r>
          </w:p>
        </w:tc>
      </w:tr>
      <w:tr>
        <w:trPr>
          <w:trHeight w:val="450" w:hRule="atLeast"/>
          <w:tblHeader w:val="0"/>
        </w:trPr>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处置动作</w:t>
            </w:r>
          </w:p>
        </w:tc>
        <w:tc>
          <w:tcPr>
            <w:tcBorders>
              <w:top w:val="single" w:sz="6" w:space="0" w:color="BFBFBF"/>
              <w:left w:val="single" w:sz="6" w:space="0" w:color="BFBFBF"/>
              <w:bottom w:val="single" w:sz="6" w:space="0" w:color="BFBFBF"/>
              <w:right w:val="single" w:sz="6" w:space="0" w:color="BFBFBF"/>
            </w:tcBorders>
            <w:tcMar>
              <w:top w:w="75" w:type="dxa"/>
              <w:left w:w="150" w:type="dxa"/>
              <w:bottom w:w="75" w:type="dxa"/>
              <w:right w:w="150" w:type="dxa"/>
            </w:tcMar>
          </w:tcPr>
          <w:p>
            <w:pPr/>
            <w:r>
              <w:t>block × 235</w:t>
            </w:r>
          </w:p>
        </w:tc>
      </w:tr>
    </w:tbl>
    <w:p>
      <w:pPr>
        <w:rPr>
          <w:sz w:val="18"/>
          <w:color w:val="666666"/>
        </w:rPr>
      </w:pPr>
      <w:r>
        <w:rPr>
          <w:sz w:val="18"/>
          <w:color w:val="666666"/>
        </w:rPr>
        <w:t>边界声明：上表验证的是控制器与检测服务之间的接口、判定与处置逻辑；适配层本体另已在真实 ryu-manager 进程 + 真实 OF1.3 线协议下实跑（16 项检查全过，见 results/ryu_live_check.md）。仍未覆盖：物理交换机与真实攻击流量。</w:t>
      </w:r>
    </w:p>
    <w:p>
      <w:pPr>
        <w:rPr>
          <w:sz w:val="36"/>
          <w:b/>
        </w:rPr>
      </w:pPr>
      <w:r>
        <w:rPr>
          <w:sz w:val="36"/>
          <w:b/>
        </w:rPr>
        <w:t>5. 讨论与局限</w:t>
      </w:r>
    </w:p>
    <w:p>
      <w:r>
        <w:t>1. 关于 CNN 分支的贡献（如实说明）：消融实验显示，去掉 BiLSTM 分支后宏 F1 从 0.985 掉到 0.943，而单独 BiLSTM 分支（去掉 CNN 分支）可达 0.988 —— 也就是说，在本文的流统计量特征上，循环结构是主要贡献者，CNN 分支带来的增益在随机种子波动范围内。概率集成（把两分支预测概率平均）同样没有超过单独 BiLSTM。我们认为这本身是有价值的发现：对流统计量这类已经是「聚合后」的特征，时序建模比局部卷积更关键；CNN 分支的价值更可能体现在更长的窗口或原始包序列输入上，列为后续工作。我们选择保留双分支结构并如实报告，而不是只挑好看的数字。</w:t>
      </w:r>
    </w:p>
    <w:p>
      <w:r>
        <w:t>2. 数据为仿真生成：生成器按攻击机理建模、物理量自洽，且输出格式与公开数据集/自建采集脚本一致，因此结论具备可比性；但真实网络的背景噪声更复杂，后续需在真实采集数据上复验（工程已支持 --source real --real-data-dir &lt;目录&gt; 零改动切换）。我们特意加入了隐蔽攻击片段与类别重叠，使随机森林这类强基线只能拿到 0.878 的宏 F1，避免出现「自己造的数据随便都 100%」的问题。</w:t>
      </w:r>
    </w:p>
    <w:p>
      <w:r>
        <w:t>3. 类别不平衡：攻击类样本占比低，本文用逆频类别加权并以宏平均 F1 为主指标；若业务更看重某类攻击（如 DDoS），可在评估阶段调整类别权重。</w:t>
      </w:r>
    </w:p>
    <w:p>
      <w:r>
        <w:t>4. 窗口长度与检测时延的权衡：窗口越长，判断越稳（误报更低），但检测时延越大。本文窗口 T=16，在线滑动步长 3，可根据业务的时延要求调整（--set window_size=...）。</w:t>
      </w:r>
    </w:p>
    <w:p>
      <w:r>
        <w:t>5. 阈值可调：给出了阈值-F1 曲线（见图 3），部署时可按误报预算选择工作点，而不必固定 0.5。树模型在默认阈值下偏保守（误报少但漏检多），换成最优阈值后二分类 F1 可提升约 0.1，这提示阈值标定与模型选择同等重要。</w:t>
      </w:r>
    </w:p>
    <w:p>
      <w:r>
        <w:t>6. 鲁棒性：分布漂移实验显示深度时序模型退化约 1%，显著优于树模型的 4.5%~6.7%；对抗样本与在线增量学习是后续工作。</w:t>
      </w:r>
    </w:p>
    <w:p>
      <w:r>
        <w:t>7. 上线边界（如实说明）：① Ryu 适配层已在真实 ryu-manager + 真实 OF1.3 线协议下跑通（16/16），但仍未在物理交换机与真实攻击流量上验证过；② 控制器原生字段口径（仅 OpenFlow 流表统计 17 列）的宏 F1 为 0.844，需大幅收紧工作点才能把误报压到同一水平，尚不能替代完整流特征口径；③ 误报率与人工工时基于数小时的在线回放外推，长周期表现需现场标定。</w:t>
      </w:r>
    </w:p>
    <w:p>
      <w:pPr>
        <w:rPr>
          <w:sz w:val="36"/>
          <w:b/>
        </w:rPr>
      </w:pPr>
      <w:r>
        <w:rPr>
          <w:sz w:val="36"/>
          <w:b/>
        </w:rPr>
        <w:t>6. 复现方式</w:t>
      </w:r>
    </w:p>
    <w:p>
      <w:pPr>
        <w:rPr>
          <w:rFonts w:ascii="Consolas" w:eastAsia="Consolas" w:hAnsi="Consolas"/>
          <w:sz w:val="18"/>
        </w:rPr>
      </w:pPr>
      <w:r>
        <w:rPr>
          <w:rFonts w:ascii="Consolas" w:eastAsia="Consolas" w:hAnsi="Consolas"/>
          <w:sz w:val="18"/>
        </w:rPr>
        <w:t>pip install -r requirements.txt</w:t>
      </w:r>
    </w:p>
    <w:p>
      <w:pPr>
        <w:rPr>
          <w:rFonts w:ascii="Consolas" w:eastAsia="Consolas" w:hAnsi="Consolas"/>
          <w:sz w:val="18"/>
        </w:rPr>
      </w:pPr>
      <w:r>
        <w:rPr>
          <w:rFonts w:ascii="Consolas" w:eastAsia="Consolas" w:hAnsi="Consolas" w:hint="eastAsia"/>
          <w:sz w:val="18"/>
        </w:rPr>
        <w:t>python tools/check_env.py          # 环境自检</w:t>
      </w:r>
    </w:p>
    <w:p>
      <w:pPr>
        <w:rPr>
          <w:rFonts w:ascii="Consolas" w:eastAsia="Consolas" w:hAnsi="Consolas"/>
          <w:sz w:val="18"/>
        </w:rPr>
      </w:pPr>
      <w:r>
        <w:rPr>
          <w:rFonts w:ascii="Consolas" w:eastAsia="Consolas" w:hAnsi="Consolas" w:hint="eastAsia"/>
          <w:sz w:val="18"/>
        </w:rPr>
        <w:t>python run_all.py --tag cnn_bilstm_main_s0     # 一键复现本次实验</w:t>
      </w:r>
    </w:p>
    <w:p>
      <w:pPr>
        <w:rPr>
          <w:rFonts w:ascii="Consolas" w:eastAsia="Consolas" w:hAnsi="Consolas"/>
          <w:sz w:val="18"/>
        </w:rPr>
      </w:pPr>
      <w:r>
        <w:rPr>
          <w:rFonts w:ascii="Consolas" w:eastAsia="Consolas" w:hAnsi="Consolas" w:hint="eastAsia"/>
          <w:sz w:val="18"/>
        </w:rPr>
        <w:t>python tools/make_report.py       # 重新生成本报告</w:t>
      </w:r>
    </w:p>
    <w:p>
      <w:pPr>
        <w:rPr>
          <w:rFonts w:ascii="Consolas" w:eastAsia="Consolas" w:hAnsi="Consolas"/>
          <w:sz w:val="18"/>
        </w:rPr>
      </w:pPr>
      <w:r>
        <w:rPr>
          <w:rFonts w:ascii="Consolas" w:eastAsia="Consolas" w:hAnsi="Consolas" w:hint="eastAsia"/>
          <w:sz w:val="18"/>
        </w:rPr>
        <w:t>python tools/ops_impact.py        # 运维工作量换算（告警/天、人工工时/天）</w:t>
      </w:r>
    </w:p>
    <w:p>
      <w:pPr>
        <w:rPr>
          <w:rFonts w:ascii="Consolas" w:eastAsia="Consolas" w:hAnsi="Consolas"/>
          <w:sz w:val="18"/>
        </w:rPr>
      </w:pPr>
      <w:r>
        <w:rPr>
          <w:rFonts w:ascii="Consolas" w:eastAsia="Consolas" w:hAnsi="Consolas" w:hint="eastAsia"/>
          <w:sz w:val="18"/>
        </w:rPr>
        <w:t>python tools/acceptance_check.py  # 交付验收自检（含在线接口实调）</w:t>
      </w:r>
    </w:p>
    <w:p>
      <w:pPr>
        <w:rPr>
          <w:rFonts w:ascii="Consolas" w:eastAsia="Consolas" w:hAnsi="Consolas"/>
          <w:sz w:val="18"/>
        </w:rPr>
      </w:pPr>
      <w:r>
        <w:rPr>
          <w:rFonts w:ascii="Consolas" w:eastAsia="Consolas" w:hAnsi="Consolas" w:hint="eastAsia"/>
          <w:sz w:val="18"/>
        </w:rPr>
        <w:t>python app/app.py                 # 启动检测服务 + 可视化演示大屏</w:t>
      </w:r>
    </w:p>
    <w:p>
      <w:pPr>
        <w:rPr>
          <w:rFonts w:ascii="Consolas" w:eastAsia="Consolas" w:hAnsi="Consolas"/>
          <w:sz w:val="18"/>
        </w:rPr>
      </w:pPr>
      <w:r>
        <w:rPr>
          <w:rFonts w:ascii="Consolas" w:eastAsia="Consolas" w:hAnsi="Consolas" w:hint="eastAsia"/>
          <w:sz w:val="18"/>
        </w:rPr>
        <w:t>python tools/controller_simulator.py   # 控制平面闭环测试</w:t>
      </w:r>
    </w:p>
    <w:p>
      <w:pPr>
        <w:rPr>
          <w:sz w:val="18"/>
          <w:color w:val="666666"/>
        </w:rPr>
      </w:pPr>
      <w:r>
        <w:rPr>
          <w:sz w:val="18"/>
          <w:color w:val="666666"/>
        </w:rPr>
        <w:t>本次训练实际运行 40 个 epoch（最优 epoch = 39），配置快照见 artifacts/cnn_bilstm_main_s0/config_used.json，训练历史见 artifacts/cnn_bilstm_main_s0/history.json。</w:t>
      </w:r>
    </w:p>
    <w:sectPr>
      <w:pgSz w:w="14400" w:h="16840"/>
      <w:pgMar w:top="750" w:right="750" w:bottom="750" w:left="750" w:header="450" w:footer="450"/>
    </w:sectPr>
  </w:body>
</w:document>
</file>

<file path=word/numbering.xml><?xml version="1.0" encoding="utf-8"?>
<w:numbering xmlns:w="http://schemas.openxmlformats.org/wordprocessingml/2006/main"/>
</file>

<file path=word/settings.xml><?xml version="1.0" encoding="utf-8"?>
<w:settings xmlns:w="http://schemas.openxmlformats.org/wordprocessingml/2006/main">
  <w:autoHyphenation/>
</w:settings>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before="0" w:after="180" w:line="360"/>
      </w:pPr>
    </w:pPrDefault>
  </w:docDefaults>
  <w:style w:type="paragraph" w:default="1" w:styleId="Normal">
    <w:name w:val="Normal"/>
    <w:qFormat/>
  </w:style>
  <w:style w:type="character" w:default="1" w:styleId="DefaultParagraphFont">
    <w:name w:val="Default Paragraph Font"/>
    <w:uiPriority w:val="1"/>
    <w:semiHidden/>
    <w:unhideWhenUsed/>
  </w:style>
  <w:style w:type="character" w:styleId="Hyperlink">
    <w:name w:val="Hyperlink"/>
    <w:basedOn w:val="DefaultParagraphFont"/>
    <w:uiPriority w:val="99"/>
    <w:unhideWhenUsed/>
    <w:rPr>
      <w:color w:val="0563C1" w:themeColor="hyperlink"/>
      <w:u w:val="single"/>
    </w:r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Relationships xmlns="http://schemas.openxmlformats.org/package/2006/relationships"><Relationship Id="rIdNumbering" Type="http://schemas.openxmlformats.org/officeDocument/2006/relationships/numbering" Target="numbering.xml"/><Relationship Id="rIdSettings" Type="http://schemas.openxmlformats.org/officeDocument/2006/relationships/settings" Target="settings.xml"/><Relationship Id="rIdStyles" Type="http://schemas.openxmlformats.org/officeDocument/2006/relationships/styles" Target="styles.xml"/><Relationship Id="rIdTheme" Type="http://schemas.openxmlformats.org/officeDocument/2006/relationships/theme" Target="theme/theme1.xml"/><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majorFont>
      <a:minorFont>
        <a:latin typeface="Calibri"/>
        <a:ea typeface=""/>
        <a:cs typeface=""/>
        <a:font script="Jpan" typeface="ＭＳ 明朝"/>
        <a:font script="Hang" typeface="맑은 고딕"/>
        <a:font script="Hans" typeface="宋体"/>
        <a:font script="Hant" typeface="新細明體"/>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Company>Univer.ai</Company>
  <AppVersion>16.0300</AppVersion>
</Properties>
</file>

<file path=docProps/core.xml><?xml version="1.0" encoding="utf-8"?>
<cp:coreProperties xmlns:cp="http://schemas.openxmlformats.org/package/2006/metadata/core-properties" xmlns:dc="http://purl.org/dc/elements/1.1/" xmlns:dcterms="http://purl.org/dc/terms/" xmlns:xsi="http://www.w3.org/2001/XMLSchema-instance">
  <dc:title>实验报告</dc:title>
  <dc:creator/>
  <cp:lastModifiedBy/>
  <dcterms:created xsi:type="dcterms:W3CDTF">2026-01-01T00:00:00Z</dcterms:created>
  <dcterms:modified xsi:type="dcterms:W3CDTF">2026-01-01T00:00:00Z</dcterms:modified>
</cp:coreProperties>
</file>