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bookmarkStart w:id="0" w:name="_ZgensToc0"/>
      <w:r>
        <w:t>AI赋能网络空间安全——基于CNN-BiLSTM的SDN智能入侵检测与主动防御系统（修订版）</w:t>
      </w:r>
      <w:bookmarkEnd w:id="0"/>
    </w:p>
    <w:p>
      <w:pPr>
        <w:pStyle w:val="Heading1"/>
      </w:pPr>
      <w:bookmarkStart w:id="1" w:name="_ZgensToc1"/>
      <w:r>
        <w:t>AI赋能网络空间安全——基于CNN-BiLSTM的SDN智能入侵检测与主动防御系统</w:t>
      </w:r>
      <w:bookmarkEnd w:id="1"/>
    </w:p>
    <w:p>
      <w:r>
        <w:rPr>
          <w:b/>
        </w:rPr>
        <w:t>参赛赛道：</w:t>
      </w:r>
      <w:r>
        <w:t>算法创新赛 · AI+学科交叉</w:t>
      </w:r>
    </w:p>
    <w:p>
      <w:r>
        <w:rPr>
          <w:b/>
        </w:rPr>
        <w:t>所属学科：</w:t>
      </w:r>
      <w:r>
        <w:t>网络空间安全（工学门类一级学科，学科代码 0839）</w:t>
      </w:r>
    </w:p>
    <w:p>
      <w:r>
        <w:rPr>
          <w:b/>
        </w:rPr>
        <w:t>交叉/赋能技术：</w:t>
      </w:r>
      <w:r>
        <w:t>人工智能（深度学习）</w:t>
      </w:r>
    </w:p>
    <w:p>
      <w:r>
        <w:rPr>
          <w:b/>
        </w:rPr>
        <w:t>作品形式：</w:t>
      </w:r>
      <w:r>
        <w:t>软件工具 + 实验平台 + 教学系统（复合型）</w:t>
      </w:r>
    </w:p>
    <w:p>
      <w:r>
        <w:rPr>
          <w:b/>
        </w:rPr>
        <w:t>团队与指导教师</w:t>
      </w:r>
      <w:r>
        <w:t>（占位，请据实补充）</w:t>
      </w:r>
    </w:p>
    <w:p>
      <w:pPr>
        <w:pStyle w:val="ListParagraph"/>
        <w:numPr>
          <w:ilvl w:val="0"/>
          <w:numId w:val="3"/>
        </w:numPr>
      </w:pPr>
      <w:r>
        <w:t>队长：____（以队长所在高校确定赛区归属，限本校组队）</w:t>
      </w:r>
    </w:p>
    <w:p>
      <w:pPr>
        <w:pStyle w:val="ListParagraph"/>
        <w:numPr>
          <w:ilvl w:val="0"/>
          <w:numId w:val="3"/>
        </w:numPr>
      </w:pPr>
      <w:r>
        <w:t>成员：____、____（每队上限 3 人）</w:t>
      </w:r>
    </w:p>
    <w:p>
      <w:pPr>
        <w:pStyle w:val="ListParagraph"/>
        <w:numPr>
          <w:ilvl w:val="0"/>
          <w:numId w:val="3"/>
        </w:numPr>
      </w:pPr>
      <w:r>
        <w:t>指导教师：____、____（每队上限 2 名）</w:t>
      </w:r>
    </w:p>
    <w:p>
      <w:pPr>
        <w:pStyle w:val="ListParagraph"/>
        <w:numPr>
          <w:ilvl w:val="0"/>
          <w:numId w:val="3"/>
        </w:numPr>
      </w:pPr>
      <w:r>
        <w:t>如跨专业组队，请在此说明成员专业背景与分工</w:t>
      </w:r>
    </w:p>
    <w:p>
      <w:r>
        <w:rPr>
          <w:b/>
        </w:rPr>
        <w:t>说明：</w:t>
      </w:r>
      <w:r>
        <w:t>本修订版依据赛题《技术方案参考大纲》与评分规则，对全部技术数据按“来源口径”重新标注，消除原稿中数据集归属不一致的问题。凡本作品新增实测数据，均可由随附代码与产物复现。</w:t>
      </w:r>
    </w:p>
    <w:p>
      <w:pPr>
        <w:pStyle w:val="Heading2"/>
      </w:pPr>
      <w:bookmarkStart w:id="2" w:name="_ZgensToc2"/>
      <w:r>
        <w:t>（一）项目概述</w:t>
      </w:r>
      <w:bookmarkEnd w:id="2"/>
    </w:p>
    <w:p>
      <w:r>
        <w:rPr>
          <w:b/>
        </w:rPr>
        <w:t>1. 背景与意义</w:t>
      </w:r>
    </w:p>
    <w:p>
      <w:r>
        <w:t>当前网络攻击呈现规模化、自动化、隐蔽化趋势，分布式拒绝服务（DDoS）攻击已成为威胁网络可用性的首要方式之一。软件定义网络（SDN）作为 5G、数据中心、云计算、物联网等新型基础设施的核心架构，通过控制平面与数据平面解耦实现了集中化、可编程管理，但其集中控制逻辑也带来新的安全脆弱性：控制器与流表资源易成为攻击首选目标。传统基于规则/统计、浅层机器学习的入侵检测方法在复杂攻击场景下误报率高、适应性差，难以满足 SDN 环境的安全防护需求。</w:t>
      </w:r>
    </w:p>
    <w:p>
      <w:r>
        <w:t>与此同时，网络空间安全已成为我国工学门类一级学科，行业长期面临网络安全人才缺口。然而，网络攻击实验具有破坏性与高成本，高校在真实网络中进行攻防演练既不安全也不现实，实验实训环节长期缺乏可复现、低成本、可量化的教学科研平台。由此形成“学科建设有需求、行业防护有痛点、教学实验有空白”的多重背景。</w:t>
      </w:r>
    </w:p>
    <w:p>
      <w:r>
        <w:t>本作品面向这一背景，运用人工智能（深度学习）赋能网络空间安全学科，构建“流量生成—特征采集—智能检测—主动防御”完整闭环，既解决 SDN 智能入侵检测这一科研问题，又为网络空间安全专业的实验实训与教学实践提供可复用的平台。</w:t>
      </w:r>
    </w:p>
    <w:p>
      <w:r>
        <w:rPr>
          <w:b/>
        </w:rPr>
        <w:t>2. 核心目标</w:t>
      </w:r>
    </w:p>
    <w:p>
      <w:pPr>
        <w:pStyle w:val="ListParagraph"/>
        <w:numPr>
          <w:ilvl w:val="0"/>
          <w:numId w:val="4"/>
        </w:numPr>
      </w:pPr>
      <w:r>
        <w:t>科研目标：提出高精度、可迁移的通用入侵检测模型，提升对复杂攻击模式的适应能力；</w:t>
      </w:r>
    </w:p>
    <w:p>
      <w:pPr>
        <w:pStyle w:val="ListParagraph"/>
        <w:numPr>
          <w:ilvl w:val="0"/>
          <w:numId w:val="4"/>
        </w:numPr>
      </w:pPr>
      <w:r>
        <w:t>教学/实验目标：构建安全、可复现、低成本的 SDN 攻防实验平台，支撑《网络攻防》《入侵检测》《网络安全》等课程实验实训；</w:t>
      </w:r>
    </w:p>
    <w:p>
      <w:pPr>
        <w:pStyle w:val="ListParagraph"/>
        <w:numPr>
          <w:ilvl w:val="0"/>
          <w:numId w:val="4"/>
        </w:numPr>
      </w:pPr>
      <w:r>
        <w:t>应用目标：实现从“检测”到“阻断”的主动防御闭环，为 SDN 网络提供可工程化的安全防护方案；</w:t>
      </w:r>
    </w:p>
    <w:p>
      <w:pPr>
        <w:pStyle w:val="ListParagraph"/>
        <w:numPr>
          <w:ilvl w:val="0"/>
          <w:numId w:val="4"/>
        </w:numPr>
      </w:pPr>
      <w:r>
        <w:t>交叉目标：以“数据特性—算法能力”的精准映射，探索人工智能与网络空间安全学科深度融合的新方法、新知识、新技能。</w:t>
      </w:r>
    </w:p>
    <w:p>
      <w:r>
        <w:rPr>
          <w:b/>
        </w:rPr>
        <w:t>3. 作品定位与形式</w:t>
      </w:r>
    </w:p>
    <w:p>
      <w:r>
        <w:t>本作品为“软件工具 + 实验平台 + 教学系统”复合型作品，应用场景聚焦网络空间安全专业的入侵检测教学实验与科研验证，覆盖理论研究、科研探索、实验实训、教学实践、自主学习五个核心环节。</w:t>
      </w:r>
    </w:p>
    <w:p>
      <w:pPr>
        <w:pStyle w:val="Heading2"/>
      </w:pPr>
      <w:bookmarkStart w:id="3" w:name="_ZgensToc3"/>
      <w:r>
        <w:t>（二）需求分析</w:t>
      </w:r>
      <w:bookmarkEnd w:id="3"/>
    </w:p>
    <w:p>
      <w:r>
        <w:rPr>
          <w:b/>
        </w:rPr>
        <w:t>1. 学科专业界定</w:t>
      </w:r>
    </w:p>
    <w:p>
      <w:pPr>
        <w:pStyle w:val="ListParagraph"/>
        <w:numPr>
          <w:ilvl w:val="0"/>
          <w:numId w:val="5"/>
        </w:numPr>
      </w:pPr>
      <w:r>
        <w:t>学科：网络空间安全（工学门类一级学科，学科代码 0839）；</w:t>
      </w:r>
    </w:p>
    <w:p>
      <w:pPr>
        <w:pStyle w:val="ListParagraph"/>
        <w:numPr>
          <w:ilvl w:val="0"/>
          <w:numId w:val="5"/>
        </w:numPr>
      </w:pPr>
      <w:r>
        <w:t>专业方向：网络与信息安全、入侵检测与防御；</w:t>
      </w:r>
    </w:p>
    <w:p>
      <w:pPr>
        <w:pStyle w:val="ListParagraph"/>
        <w:numPr>
          <w:ilvl w:val="0"/>
          <w:numId w:val="5"/>
        </w:numPr>
      </w:pPr>
      <w:r>
        <w:t>核心环节：理论研究（网络流量建模）、科研探索（通用入侵检测方法）、实验实训（网络攻防演练）、教学实践（实验课程）、自主学习（跨环境自适应检测）。</w:t>
      </w:r>
    </w:p>
    <w:p>
      <w:r>
        <w:rPr>
          <w:b/>
        </w:rPr>
        <w:t>2. 应用场景界定</w:t>
      </w:r>
    </w:p>
    <w:p>
      <w:pPr>
        <w:pStyle w:val="ListParagraph"/>
        <w:numPr>
          <w:ilvl w:val="0"/>
          <w:numId w:val="6"/>
        </w:numPr>
      </w:pPr>
      <w:r>
        <w:t>场景一·科研：SDN 网络入侵检测与防御算法研究；</w:t>
      </w:r>
    </w:p>
    <w:p>
      <w:pPr>
        <w:pStyle w:val="ListParagraph"/>
        <w:numPr>
          <w:ilvl w:val="0"/>
          <w:numId w:val="6"/>
        </w:numPr>
      </w:pPr>
      <w:r>
        <w:t>场景二·教学：《网络攻防》《入侵检测》《网络安全》实验课程；</w:t>
      </w:r>
    </w:p>
    <w:p>
      <w:pPr>
        <w:pStyle w:val="ListParagraph"/>
        <w:numPr>
          <w:ilvl w:val="0"/>
          <w:numId w:val="6"/>
        </w:numPr>
      </w:pPr>
      <w:r>
        <w:t>场景三·实训：安全、可复现的 DDoS 攻防演练与验证。</w:t>
      </w:r>
    </w:p>
    <w:p>
      <w:r>
        <w:rPr>
          <w:b/>
        </w:rPr>
        <w:t>3. 核心痛点梳理</w:t>
      </w:r>
    </w:p>
    <w:p>
      <w:pPr>
        <w:pStyle w:val="ListParagraph"/>
        <w:numPr>
          <w:ilvl w:val="0"/>
          <w:numId w:val="7"/>
        </w:numPr>
      </w:pPr>
      <w:r>
        <w:t>检测准确性痛点：传统基于规则/统计的方法误报率高、对新型攻击适应性差，难以应对复杂攻击场景；</w:t>
      </w:r>
    </w:p>
    <w:p>
      <w:pPr>
        <w:pStyle w:val="ListParagraph"/>
        <w:numPr>
          <w:ilvl w:val="0"/>
          <w:numId w:val="7"/>
        </w:numPr>
      </w:pPr>
      <w:r>
        <w:t>实验教学痛点：真实网络攻防实验破坏性强、成本高、难以重复，高校难以在教学中大规模开展；</w:t>
      </w:r>
    </w:p>
    <w:p>
      <w:pPr>
        <w:pStyle w:val="ListParagraph"/>
        <w:numPr>
          <w:ilvl w:val="0"/>
          <w:numId w:val="7"/>
        </w:numPr>
      </w:pPr>
      <w:r>
        <w:t>数据获取痛点：面向 SDN 的公开入侵检测数据集稀缺且场景单一，缺乏自主可控的流量生成与采集手段；</w:t>
      </w:r>
    </w:p>
    <w:p>
      <w:pPr>
        <w:pStyle w:val="ListParagraph"/>
        <w:numPr>
          <w:ilvl w:val="0"/>
          <w:numId w:val="7"/>
        </w:numPr>
      </w:pPr>
      <w:r>
        <w:t>响应时效痛点：多数研究停留在“离线检测”，缺乏“检测—阻断”的实时闭环；</w:t>
      </w:r>
    </w:p>
    <w:p>
      <w:pPr>
        <w:pStyle w:val="ListParagraph"/>
        <w:numPr>
          <w:ilvl w:val="0"/>
          <w:numId w:val="7"/>
        </w:numPr>
      </w:pPr>
      <w:r>
        <w:t>通用性痛点：现有模型多针对单一数据集/单一场景，跨环境泛化能力不足。</w:t>
      </w:r>
    </w:p>
    <w:p>
      <w:r>
        <w:t>（行业数据支撑：我国网络安全人才缺口长期较大，具体最新数据请团队核实后引用权威来源，如人社部、教育部或行业白皮书。）</w:t>
      </w:r>
    </w:p>
    <w:p>
      <w:r>
        <w:rPr>
          <w:b/>
        </w:rPr>
        <w:t>4. AI赋能需求（痛点与AI能力逐条对应）</w:t>
      </w:r>
    </w:p>
    <w:p>
      <w:pPr>
        <w:pStyle w:val="ListParagraph"/>
        <w:numPr>
          <w:ilvl w:val="0"/>
          <w:numId w:val="8"/>
        </w:numPr>
      </w:pPr>
      <w:r>
        <w:t>痛点1 ↔ 卷积神经网络（CNN）自动提取流量空间局部特征，替代繁琐手工特征工程；</w:t>
      </w:r>
    </w:p>
    <w:p>
      <w:pPr>
        <w:pStyle w:val="ListParagraph"/>
        <w:numPr>
          <w:ilvl w:val="0"/>
          <w:numId w:val="8"/>
        </w:numPr>
      </w:pPr>
      <w:r>
        <w:t>痛点2 ↔ Mininet 虚拟仿真环境，安全、低成本、可复现；</w:t>
      </w:r>
    </w:p>
    <w:p>
      <w:pPr>
        <w:pStyle w:val="ListParagraph"/>
        <w:numPr>
          <w:ilvl w:val="0"/>
          <w:numId w:val="8"/>
        </w:numPr>
      </w:pPr>
      <w:r>
        <w:t>痛点3 ↔ RYU 流表采集 + 自主生成攻击流量，构建自建数据集；</w:t>
      </w:r>
    </w:p>
    <w:p>
      <w:pPr>
        <w:pStyle w:val="ListParagraph"/>
        <w:numPr>
          <w:ilvl w:val="0"/>
          <w:numId w:val="8"/>
        </w:numPr>
      </w:pPr>
      <w:r>
        <w:t>痛点4 ↔ “检测—阻断”联动，实现实时主动防御；</w:t>
      </w:r>
    </w:p>
    <w:p>
      <w:pPr>
        <w:pStyle w:val="ListParagraph"/>
        <w:numPr>
          <w:ilvl w:val="0"/>
          <w:numId w:val="8"/>
        </w:numPr>
      </w:pPr>
      <w:r>
        <w:t>痛点5 ↔ 双向长短期记忆网络（BiLSTM）时序建模 + 跨环境泛化，提升通用性。</w:t>
      </w:r>
    </w:p>
    <w:p>
      <w:pPr>
        <w:pStyle w:val="Heading2"/>
      </w:pPr>
      <w:bookmarkStart w:id="4" w:name="_ZgensToc4"/>
      <w:r>
        <w:t>（三）解决方案设计</w:t>
      </w:r>
      <w:bookmarkEnd w:id="4"/>
    </w:p>
    <w:p>
      <w:r>
        <w:rPr>
          <w:b/>
        </w:rPr>
        <w:t>1. 系统架构设计</w:t>
      </w:r>
    </w:p>
    <w:p>
      <w:r>
        <w:t>采用“数据平面—控制平面—应用平面”三层闭环架构：</w:t>
      </w:r>
    </w:p>
    <w:p>
      <w:pPr>
        <w:pStyle w:val="ListParagraph"/>
        <w:numPr>
          <w:ilvl w:val="0"/>
          <w:numId w:val="9"/>
        </w:numPr>
      </w:pPr>
      <w:r>
        <w:t>数据平面：SDN 交换机负责流量转发，并通过 OpenFlow 协议上报流表统计信息（流时长、字节数、包速率、字节速率等）；</w:t>
      </w:r>
    </w:p>
    <w:p>
      <w:pPr>
        <w:pStyle w:val="ListParagraph"/>
        <w:numPr>
          <w:ilvl w:val="0"/>
          <w:numId w:val="9"/>
        </w:numPr>
      </w:pPr>
      <w:r>
        <w:t>控制平面：RYU 控制器周期性下发 OFPFlowStatsRequest，接收 OFPFlowStatsReply，汇聚全网流量状态；</w:t>
      </w:r>
    </w:p>
    <w:p>
      <w:pPr>
        <w:pStyle w:val="ListParagraph"/>
        <w:numPr>
          <w:ilvl w:val="0"/>
          <w:numId w:val="9"/>
        </w:numPr>
      </w:pPr>
      <w:r>
        <w:t>应用平面：CBDNN 检测模块实时分类流量；识别异常后经北向接口下发流表更新指令，由交换机执行阻断（drop），实现主动防御。</w:t>
      </w:r>
    </w:p>
    <w:p>
      <w:r>
        <w:t>（建议在此插入总体架构图，与团队已发表论文 Figure 1 一致。）</w:t>
      </w:r>
    </w:p>
    <w:p>
      <w:r>
        <w:rPr>
          <w:b/>
        </w:rPr>
        <w:t>2. 技术选型依据</w:t>
      </w:r>
    </w:p>
    <w:p>
      <w:pPr>
        <w:pStyle w:val="ListParagraph"/>
        <w:numPr>
          <w:ilvl w:val="0"/>
          <w:numId w:val="10"/>
        </w:numPr>
      </w:pPr>
      <w:r>
        <w:t>深度学习框架：Keras（成熟稳定、便于教学与复现）；</w:t>
      </w:r>
    </w:p>
    <w:p>
      <w:pPr>
        <w:pStyle w:val="ListParagraph"/>
        <w:numPr>
          <w:ilvl w:val="0"/>
          <w:numId w:val="10"/>
        </w:numPr>
      </w:pPr>
      <w:r>
        <w:t>网络仿真：Mininet（虚拟 SDN 拓扑，安全、低成本、可复现）；</w:t>
      </w:r>
    </w:p>
    <w:p>
      <w:pPr>
        <w:pStyle w:val="ListParagraph"/>
        <w:numPr>
          <w:ilvl w:val="0"/>
          <w:numId w:val="10"/>
        </w:numPr>
      </w:pPr>
      <w:r>
        <w:t>控制器：RYU + OpenFlow 1.3（开源，与 SDN 教学科研生态兼容）；</w:t>
      </w:r>
    </w:p>
    <w:p>
      <w:pPr>
        <w:pStyle w:val="ListParagraph"/>
        <w:numPr>
          <w:ilvl w:val="0"/>
          <w:numId w:val="10"/>
        </w:numPr>
      </w:pPr>
      <w:r>
        <w:t>攻击模拟：hping3（生成 Smurf/SYN Flood/UDP Flood/ICMP Flood 等 DDoS 攻击）；</w:t>
      </w:r>
    </w:p>
    <w:p>
      <w:pPr>
        <w:pStyle w:val="ListParagraph"/>
        <w:numPr>
          <w:ilvl w:val="0"/>
          <w:numId w:val="10"/>
        </w:numPr>
      </w:pPr>
      <w:r>
        <w:t>数据采集：RYU 流表轮询（每 10 秒采集一次流表统计，形成控制器原生字段口径的特征记录）。</w:t>
      </w:r>
    </w:p>
    <w:p>
      <w:r>
        <w:t>选型理由：全部采用开源、可复现的技术栈，兼顾科研验证与教学实验的可移植性。</w:t>
      </w:r>
    </w:p>
    <w:p>
      <w:r>
        <w:rPr>
          <w:b/>
        </w:rPr>
        <w:t>3. 核心技术模块</w:t>
      </w:r>
    </w:p>
    <w:p>
      <w:pPr>
        <w:pStyle w:val="ListParagraph"/>
        <w:numPr>
          <w:ilvl w:val="0"/>
          <w:numId w:val="11"/>
        </w:numPr>
      </w:pPr>
      <w:r>
        <w:t>模块一·流量生成：基于 Mininet 搭建 18 主机、6 交换机拓扑，用 ping/iperf/wget 生成正常流量，用 hping3 生成多种 DDoS 攻击流量；</w:t>
      </w:r>
    </w:p>
    <w:p>
      <w:pPr>
        <w:pStyle w:val="ListParagraph"/>
        <w:numPr>
          <w:ilvl w:val="0"/>
          <w:numId w:val="11"/>
        </w:numPr>
      </w:pPr>
      <w:r>
        <w:t>模块二·特征采集：RYU 控制器实时采集流表统计，形成控制器原生字段口径的特征记录，构建自建 SDN 仿真数据集；</w:t>
      </w:r>
    </w:p>
    <w:p>
      <w:pPr>
        <w:pStyle w:val="ListParagraph"/>
        <w:numPr>
          <w:ilvl w:val="0"/>
          <w:numId w:val="11"/>
        </w:numPr>
      </w:pPr>
      <w:r>
        <w:t>模块三·CBDNN 检测：两层 Conv1D（128/256 卷积核，卷积核大小 6）+ MaxPooling1D + Reshape((10,128)) + 双向 LSTM(128) + GlobalMaxPooling1D + 三层全连接 + Softmax，输出多分类结果；</w:t>
      </w:r>
    </w:p>
    <w:p>
      <w:pPr>
        <w:pStyle w:val="ListParagraph"/>
        <w:numPr>
          <w:ilvl w:val="0"/>
          <w:numId w:val="11"/>
        </w:numPr>
      </w:pPr>
      <w:r>
        <w:t>模块四·主动防御：检测结果转化为流表规则，对异常流量实施阻断，形成闭环；</w:t>
      </w:r>
    </w:p>
    <w:p>
      <w:pPr>
        <w:pStyle w:val="ListParagraph"/>
        <w:numPr>
          <w:ilvl w:val="0"/>
          <w:numId w:val="11"/>
        </w:numPr>
      </w:pPr>
      <w:r>
        <w:t>模块五·评测与复现（本作品新增）：无泄漏评测协议（去重 + 时序/身份切分 + 阈值只看拟合段）、验收自检、一键复现脚本。</w:t>
      </w:r>
    </w:p>
    <w:p>
      <w:r>
        <w:rPr>
          <w:b/>
        </w:rPr>
        <w:t>4. 作品功能说明</w:t>
      </w:r>
    </w:p>
    <w:p>
      <w:pPr>
        <w:pStyle w:val="ListParagraph"/>
        <w:numPr>
          <w:ilvl w:val="0"/>
          <w:numId w:val="12"/>
        </w:numPr>
      </w:pPr>
      <w:r>
        <w:t>功能1·流量生成：一键生成正常流量与 4 类 DDoS 攻击流量；</w:t>
      </w:r>
    </w:p>
    <w:p>
      <w:pPr>
        <w:pStyle w:val="ListParagraph"/>
        <w:numPr>
          <w:ilvl w:val="0"/>
          <w:numId w:val="12"/>
        </w:numPr>
      </w:pPr>
      <w:r>
        <w:t>功能2·特征采集：实时采集流表统计，输出结构化特征文件；</w:t>
      </w:r>
    </w:p>
    <w:p>
      <w:pPr>
        <w:pStyle w:val="ListParagraph"/>
        <w:numPr>
          <w:ilvl w:val="0"/>
          <w:numId w:val="12"/>
        </w:numPr>
      </w:pPr>
      <w:r>
        <w:t>功能3·智能检测：CBDNN 模型对流量进行多分类识别；</w:t>
      </w:r>
    </w:p>
    <w:p>
      <w:pPr>
        <w:pStyle w:val="ListParagraph"/>
        <w:numPr>
          <w:ilvl w:val="0"/>
          <w:numId w:val="12"/>
        </w:numPr>
      </w:pPr>
      <w:r>
        <w:t>功能4·主动防御：检测异常后自动下发流表规则阻断攻击；</w:t>
      </w:r>
    </w:p>
    <w:p>
      <w:pPr>
        <w:pStyle w:val="ListParagraph"/>
        <w:numPr>
          <w:ilvl w:val="0"/>
          <w:numId w:val="12"/>
        </w:numPr>
      </w:pPr>
      <w:r>
        <w:t>功能5·教学支撑：提供可复现的实验脚本与说明，支撑课程实验；</w:t>
      </w:r>
    </w:p>
    <w:p>
      <w:pPr>
        <w:pStyle w:val="ListParagraph"/>
        <w:numPr>
          <w:ilvl w:val="0"/>
          <w:numId w:val="12"/>
        </w:numPr>
      </w:pPr>
      <w:r>
        <w:t>功能6·可信评测：输出无泄漏口径下的检测指标与诚实边界说明。</w:t>
      </w:r>
    </w:p>
    <w:p>
      <w:pPr>
        <w:pStyle w:val="Heading2"/>
      </w:pPr>
      <w:bookmarkStart w:id="5" w:name="_ZgensToc5"/>
      <w:r>
        <w:t>（四）创新点</w:t>
      </w:r>
      <w:bookmarkEnd w:id="5"/>
    </w:p>
    <w:p>
      <w:r>
        <w:rPr>
          <w:b/>
        </w:rPr>
        <w:t>1. 学科问题解决新方法</w:t>
      </w:r>
    </w:p>
    <w:p>
      <w:pPr>
        <w:pStyle w:val="ListParagraph"/>
        <w:numPr>
          <w:ilvl w:val="0"/>
          <w:numId w:val="13"/>
        </w:numPr>
      </w:pPr>
      <w:r>
        <w:t>CNN + BiLSTM 时空双视角建模，端到端替代传统手工特征工程，解决入侵检测中“特征设计依赖专家、泛化弱”的学科问题；</w:t>
      </w:r>
    </w:p>
    <w:p>
      <w:pPr>
        <w:pStyle w:val="ListParagraph"/>
        <w:numPr>
          <w:ilvl w:val="0"/>
          <w:numId w:val="13"/>
        </w:numPr>
      </w:pPr>
      <w:r>
        <w:t>Reshape((10,128)) 维度适配与 GlobalMaxPooling1D 特征浓缩设计，在同类 CNN-LSTM 混合模型中较为少见；</w:t>
      </w:r>
    </w:p>
    <w:p>
      <w:pPr>
        <w:pStyle w:val="ListParagraph"/>
        <w:numPr>
          <w:ilvl w:val="0"/>
          <w:numId w:val="13"/>
        </w:numPr>
      </w:pPr>
      <w:r>
        <w:t>本作品进一步引入无泄漏评测协议与跨环境标定流程，把“同域高分”与“跨环境可用”区分开，避免用同分布内插值冒充泛化能力。</w:t>
      </w:r>
    </w:p>
    <w:p>
      <w:r>
        <w:rPr>
          <w:b/>
        </w:rPr>
        <w:t>2. 教学科研新模式</w:t>
      </w:r>
    </w:p>
    <w:p>
      <w:pPr>
        <w:pStyle w:val="ListParagraph"/>
        <w:numPr>
          <w:ilvl w:val="0"/>
          <w:numId w:val="14"/>
        </w:numPr>
      </w:pPr>
      <w:r>
        <w:t>以 Mininet 虚拟仿真替代真实网络攻防实验，形成“安全、低成本、可复现”的实验实训新模式；</w:t>
      </w:r>
    </w:p>
    <w:p>
      <w:pPr>
        <w:pStyle w:val="ListParagraph"/>
        <w:numPr>
          <w:ilvl w:val="0"/>
          <w:numId w:val="14"/>
        </w:numPr>
      </w:pPr>
      <w:r>
        <w:t>平台可复用为《网络攻防》等课程的实验资源，实现“以赛促学、以赛促教”。</w:t>
      </w:r>
    </w:p>
    <w:p>
      <w:r>
        <w:rPr>
          <w:b/>
        </w:rPr>
        <w:t>3. 技术应用新场景</w:t>
      </w:r>
    </w:p>
    <w:p>
      <w:pPr>
        <w:pStyle w:val="ListParagraph"/>
        <w:numPr>
          <w:ilvl w:val="0"/>
          <w:numId w:val="15"/>
        </w:numPr>
      </w:pPr>
      <w:r>
        <w:t>从“离线检测”拓展到“检测—阻断”实时主动防御闭环；</w:t>
      </w:r>
    </w:p>
    <w:p>
      <w:pPr>
        <w:pStyle w:val="ListParagraph"/>
        <w:numPr>
          <w:ilvl w:val="0"/>
          <w:numId w:val="15"/>
        </w:numPr>
      </w:pPr>
      <w:r>
        <w:t>在 6 份公开数据集上完成可得性核验与无泄漏评测，并明确各数据集“能/不能支撑哪种评测”，探索“通用入侵检测系统”这一新应用方向。</w:t>
      </w:r>
    </w:p>
    <w:p>
      <w:r>
        <w:rPr>
          <w:b/>
        </w:rPr>
        <w:t>4. 对比传统学科建设方式的优势</w:t>
      </w:r>
    </w:p>
    <w:p>
      <w:pPr>
        <w:pStyle w:val="ListParagraph"/>
        <w:numPr>
          <w:ilvl w:val="0"/>
          <w:numId w:val="16"/>
        </w:numPr>
      </w:pPr>
      <w:r>
        <w:t>传统真实网络实验（危险/昂贵/难重复） → 本方案虚拟仿真（安全/低成本/可复现）；</w:t>
      </w:r>
    </w:p>
    <w:p>
      <w:pPr>
        <w:pStyle w:val="ListParagraph"/>
        <w:numPr>
          <w:ilvl w:val="0"/>
          <w:numId w:val="16"/>
        </w:numPr>
      </w:pPr>
      <w:r>
        <w:t>传统手工特征工程（依赖专家/耗时） → 本方案端到端自动特征提取；</w:t>
      </w:r>
    </w:p>
    <w:p>
      <w:pPr>
        <w:pStyle w:val="ListParagraph"/>
        <w:numPr>
          <w:ilvl w:val="0"/>
          <w:numId w:val="16"/>
        </w:numPr>
      </w:pPr>
      <w:r>
        <w:t>传统离线检测（响应滞后） → 本方案实时检测 + 主动阻断；</w:t>
      </w:r>
    </w:p>
    <w:p>
      <w:pPr>
        <w:pStyle w:val="ListParagraph"/>
        <w:numPr>
          <w:ilvl w:val="0"/>
          <w:numId w:val="16"/>
        </w:numPr>
      </w:pPr>
      <w:r>
        <w:t>传统只报同域精度 → 本方案同时报告无泄漏口径、实际误报率与方法边界。</w:t>
      </w:r>
    </w:p>
    <w:p>
      <w:pPr>
        <w:pStyle w:val="Heading2"/>
      </w:pPr>
      <w:bookmarkStart w:id="6" w:name="_ZgensToc6"/>
      <w:r>
        <w:t>（五）方案可行性</w:t>
      </w:r>
      <w:bookmarkEnd w:id="6"/>
    </w:p>
    <w:p>
      <w:r>
        <w:rPr>
          <w:b/>
        </w:rPr>
        <w:t>1. 技术可行性</w:t>
      </w:r>
    </w:p>
    <w:p>
      <w:pPr>
        <w:pStyle w:val="ListParagraph"/>
        <w:numPr>
          <w:ilvl w:val="0"/>
          <w:numId w:val="17"/>
        </w:numPr>
      </w:pPr>
      <w:r>
        <w:t>技术成熟度高：CNN、BiLSTM 均为成熟深度学习技术；Mininet、RYU 是 SDN 领域标准开源工具；</w:t>
      </w:r>
    </w:p>
    <w:p>
      <w:pPr>
        <w:pStyle w:val="ListParagraph"/>
        <w:numPr>
          <w:ilvl w:val="0"/>
          <w:numId w:val="17"/>
        </w:numPr>
      </w:pPr>
      <w:r>
        <w:t>团队能力匹配：团队已基于该技术路线发表 SCI 期刊论文（Springer《Cluster Computing》，DOI: 10.1007/s10586-026-06083-z），自主完成 Mininet+RYU 环境搭建、数据采集与模型训练；</w:t>
      </w:r>
    </w:p>
    <w:p>
      <w:pPr>
        <w:pStyle w:val="ListParagraph"/>
        <w:numPr>
          <w:ilvl w:val="0"/>
          <w:numId w:val="17"/>
        </w:numPr>
      </w:pPr>
      <w:r>
        <w:t>结果可复现：提供一键复现脚本、验收自检与完整产物清单；控制器适配层已在真实 ryu-manager + 真实 OpenFlow 1.3 线协议下实跑，16 项检查全部通过。</w:t>
      </w:r>
    </w:p>
    <w:p>
      <w:r>
        <w:rPr>
          <w:b/>
        </w:rPr>
        <w:t>2. 经济可行性（实施成本）</w:t>
      </w:r>
    </w:p>
    <w:p>
      <w:pPr>
        <w:pStyle w:val="ListParagraph"/>
        <w:numPr>
          <w:ilvl w:val="0"/>
          <w:numId w:val="18"/>
        </w:numPr>
      </w:pPr>
      <w:r>
        <w:t>全部采用开源软件与虚拟仿真环境，无需采购昂贵的专用网络安全设备；</w:t>
      </w:r>
    </w:p>
    <w:p>
      <w:pPr>
        <w:pStyle w:val="ListParagraph"/>
        <w:numPr>
          <w:ilvl w:val="0"/>
          <w:numId w:val="18"/>
        </w:numPr>
      </w:pPr>
      <w:r>
        <w:t>实验运行于普通 PC/服务器（训练机 i7 处理器 + 大内存主机，仿真机 8GB 内存 + Ubuntu），硬件成本低；</w:t>
      </w:r>
    </w:p>
    <w:p>
      <w:pPr>
        <w:pStyle w:val="ListParagraph"/>
        <w:numPr>
          <w:ilvl w:val="0"/>
          <w:numId w:val="18"/>
        </w:numPr>
      </w:pPr>
      <w:r>
        <w:t>与传统网络安全实验平台（动辄数十万元）相比，本方案近乎零硬件投入，运维成本可控。</w:t>
      </w:r>
    </w:p>
    <w:p>
      <w:r>
        <w:rPr>
          <w:b/>
        </w:rPr>
        <w:t>3. 推广价值（复用条件、落地路径、试点案例）</w:t>
      </w:r>
    </w:p>
    <w:p>
      <w:pPr>
        <w:pStyle w:val="ListParagraph"/>
        <w:numPr>
          <w:ilvl w:val="0"/>
          <w:numId w:val="19"/>
        </w:numPr>
      </w:pPr>
      <w:r>
        <w:t>复用条件：开源技术栈 + 普通 PC 硬件 + 详细文档即可复用，二次开发门槛低；</w:t>
      </w:r>
    </w:p>
    <w:p>
      <w:pPr>
        <w:pStyle w:val="ListParagraph"/>
        <w:numPr>
          <w:ilvl w:val="0"/>
          <w:numId w:val="19"/>
        </w:numPr>
      </w:pPr>
      <w:r>
        <w:t>落地路径：先在本校相关课程试点 → 形成标准化教学案例 → 向同类院校推广；</w:t>
      </w:r>
    </w:p>
    <w:p>
      <w:pPr>
        <w:pStyle w:val="ListParagraph"/>
        <w:numPr>
          <w:ilvl w:val="0"/>
          <w:numId w:val="19"/>
        </w:numPr>
      </w:pPr>
      <w:r>
        <w:t>试点案例：建议在《网络攻防》实验课开展小规模试点（采集方案见“应用效果”）；</w:t>
      </w:r>
    </w:p>
    <w:p>
      <w:pPr>
        <w:pStyle w:val="ListParagraph"/>
        <w:numPr>
          <w:ilvl w:val="0"/>
          <w:numId w:val="19"/>
        </w:numPr>
      </w:pPr>
      <w:r>
        <w:t>产业延伸：模型可部署于数据中心、5G、云计算的 SDN 网络，与 RYU 等控制器对接。</w:t>
      </w:r>
    </w:p>
    <w:p>
      <w:pPr>
        <w:pStyle w:val="Heading2"/>
      </w:pPr>
      <w:bookmarkStart w:id="7" w:name="_ZgensToc7"/>
      <w:r>
        <w:t>（六）项目实施</w:t>
      </w:r>
      <w:bookmarkEnd w:id="7"/>
    </w:p>
    <w:p>
      <w:r>
        <w:rPr>
          <w:b/>
        </w:rPr>
        <w:t>1. 实施计划（阶段/时间/里程碑）</w:t>
      </w:r>
    </w:p>
    <w:p>
      <w:pPr>
        <w:pStyle w:val="ListParagraph"/>
        <w:numPr>
          <w:ilvl w:val="0"/>
          <w:numId w:val="20"/>
        </w:numPr>
      </w:pPr>
      <w:r>
        <w:t>阶段一·平台与模型（已完成）：Mininet+RYU SDN 环境搭建、DDoS 流量生成与采集、CBDNN 模型训练与验证（对应已发表论文工作）；</w:t>
      </w:r>
    </w:p>
    <w:p>
      <w:pPr>
        <w:pStyle w:val="ListParagraph"/>
        <w:numPr>
          <w:ilvl w:val="0"/>
          <w:numId w:val="20"/>
        </w:numPr>
      </w:pPr>
      <w:r>
        <w:t>阶段二·平台封装与可信评测（本届新增，已完成）：统一启动脚本、参数化配置、结果可视化；建立无泄漏评测协议（去重 + 时序/身份切分），完成 6 份公开数据集的可得性核验与评测；</w:t>
      </w:r>
    </w:p>
    <w:p>
      <w:pPr>
        <w:pStyle w:val="ListParagraph"/>
        <w:numPr>
          <w:ilvl w:val="0"/>
          <w:numId w:val="20"/>
        </w:numPr>
      </w:pPr>
      <w:r>
        <w:t>阶段三·教学试点（本届新增）：在《网络攻防》实验课开展小规模试点，采集前测/后测、完成时间与问卷数据；</w:t>
      </w:r>
    </w:p>
    <w:p>
      <w:pPr>
        <w:pStyle w:val="ListParagraph"/>
        <w:numPr>
          <w:ilvl w:val="0"/>
          <w:numId w:val="20"/>
        </w:numPr>
      </w:pPr>
      <w:r>
        <w:t>阶段四·增量验证与演示（本届新增）：面向物联网/车联网/工控等新场景做增量验证，制作演示视频。</w:t>
      </w:r>
    </w:p>
    <w:p>
      <w:r>
        <w:rPr>
          <w:b/>
        </w:rPr>
        <w:t>2. 资源保障</w:t>
      </w:r>
    </w:p>
    <w:p>
      <w:pPr>
        <w:pStyle w:val="ListParagraph"/>
        <w:numPr>
          <w:ilvl w:val="0"/>
          <w:numId w:val="21"/>
        </w:numPr>
      </w:pPr>
      <w:r>
        <w:t>硬件：训练用多核 PC/服务器主机、8GB 内存 Ubuntu 仿真主机；</w:t>
      </w:r>
    </w:p>
    <w:p>
      <w:pPr>
        <w:pStyle w:val="ListParagraph"/>
        <w:numPr>
          <w:ilvl w:val="0"/>
          <w:numId w:val="21"/>
        </w:numPr>
      </w:pPr>
      <w:r>
        <w:t>软件：Keras、Mininet、RYU、OpenFlow 1.3、hping3 等开源工具；</w:t>
      </w:r>
    </w:p>
    <w:p>
      <w:pPr>
        <w:pStyle w:val="ListParagraph"/>
        <w:numPr>
          <w:ilvl w:val="0"/>
          <w:numId w:val="21"/>
        </w:numPr>
      </w:pPr>
      <w:r>
        <w:t>数据：6 份公开数据集（inSDN、CIC-IDS2017、CSE-CIC-IDS2018、UNSW-NB15、TON_IoT、CIC-IoT2023，来源/许可/校验值均已登记）+ 自建 SDN 仿真数据集（由团队脚本现场生成）；</w:t>
      </w:r>
    </w:p>
    <w:p>
      <w:pPr>
        <w:pStyle w:val="ListParagraph"/>
        <w:numPr>
          <w:ilvl w:val="0"/>
          <w:numId w:val="21"/>
        </w:numPr>
      </w:pPr>
      <w:r>
        <w:t>经费：以开源软硬件为主、成本低，可依托已有科研项目支撑。</w:t>
      </w:r>
    </w:p>
    <w:p>
      <w:r>
        <w:rPr>
          <w:b/>
        </w:rPr>
        <w:t>3. 团队协作与分工</w:t>
      </w:r>
    </w:p>
    <w:p>
      <w:pPr>
        <w:pStyle w:val="ListParagraph"/>
        <w:numPr>
          <w:ilvl w:val="0"/>
          <w:numId w:val="22"/>
        </w:numPr>
      </w:pPr>
      <w:r>
        <w:t>团队由网络空间安全/计算机学科背景成员组成（队长 + 成员，≤3 人），指导教师 ≤2 名；</w:t>
      </w:r>
    </w:p>
    <w:p>
      <w:pPr>
        <w:pStyle w:val="ListParagraph"/>
        <w:numPr>
          <w:ilvl w:val="0"/>
          <w:numId w:val="22"/>
        </w:numPr>
      </w:pPr>
      <w:r>
        <w:t>建议分工：算法模型（CBDNN 设计与训练）、网络仿真与数据采集（Mininet+RYU）、系统集成与可信评测/演示（检测—阻断闭环 + 无泄漏评测 + 可视化）各由专人负责；</w:t>
      </w:r>
    </w:p>
    <w:p>
      <w:pPr>
        <w:pStyle w:val="ListParagraph"/>
        <w:numPr>
          <w:ilvl w:val="0"/>
          <w:numId w:val="22"/>
        </w:numPr>
      </w:pPr>
      <w:r>
        <w:t>协作机制：以开源版本管理工具管理代码，定期同步进度，明确阶段里程碑；</w:t>
      </w:r>
    </w:p>
    <w:p>
      <w:pPr>
        <w:pStyle w:val="ListParagraph"/>
        <w:numPr>
          <w:ilvl w:val="0"/>
          <w:numId w:val="22"/>
        </w:numPr>
      </w:pPr>
      <w:r>
        <w:t>跨专业说明：如团队含跨专业成员，请在此说明各成员专业背景、具体分工及协作机制（对应作品要求第 3 条）。</w:t>
      </w:r>
    </w:p>
    <w:p>
      <w:pPr>
        <w:pStyle w:val="Heading2"/>
      </w:pPr>
      <w:bookmarkStart w:id="8" w:name="_ZgensToc8"/>
      <w:r>
        <w:t>（七）应用效果</w:t>
      </w:r>
      <w:bookmarkEnd w:id="8"/>
    </w:p>
    <w:p>
      <w:r>
        <w:rPr>
          <w:b/>
        </w:rPr>
        <w:t>1. 效果验证依据（按数据来源分三层，逐层可复现）</w:t>
      </w:r>
    </w:p>
    <w:p>
      <w:r>
        <w:rPr>
          <w:b/>
        </w:rPr>
        <w:t>第一层·自建仿真平台闭环（数据由团队 Mininet+hping3 脚本现场生成）</w:t>
      </w:r>
    </w:p>
    <w:p>
      <w:pPr>
        <w:pStyle w:val="ListParagraph"/>
        <w:numPr>
          <w:ilvl w:val="0"/>
          <w:numId w:val="23"/>
        </w:numPr>
      </w:pPr>
      <w:r>
        <w:t>平台能力：18 主机 / 6 交换机拓扑，正常流量（ping/iperf/wget）与 4 类 DDoS 攻击（hping3）全流程可一键复现；</w:t>
      </w:r>
    </w:p>
    <w:p>
      <w:pPr>
        <w:pStyle w:val="ListParagraph"/>
        <w:numPr>
          <w:ilvl w:val="0"/>
          <w:numId w:val="23"/>
        </w:numPr>
      </w:pPr>
      <w:r>
        <w:t>闭环验证：攻击注入后完成“检测识别 → 流表下发 → 阻断生效”，无需人工干预；</w:t>
      </w:r>
    </w:p>
    <w:p>
      <w:pPr>
        <w:pStyle w:val="ListParagraph"/>
        <w:numPr>
          <w:ilvl w:val="0"/>
          <w:numId w:val="23"/>
        </w:numPr>
      </w:pPr>
      <w:r>
        <w:t>控制器闭环实测：回放 3,000 条流（60 批），吞吐 1,364 条流/秒，判定时延 p50 29.8 ms / p95 44.7 ms；</w:t>
      </w:r>
    </w:p>
    <w:p>
      <w:pPr>
        <w:pStyle w:val="ListParagraph"/>
        <w:numPr>
          <w:ilvl w:val="0"/>
          <w:numId w:val="23"/>
        </w:numPr>
      </w:pPr>
      <w:r>
        <w:t>适配层真机验证：在真实 ryu-manager + 真实 OpenFlow 1.3 线协议下实跑，16 项检查全部通过（非模拟桩）。</w:t>
      </w:r>
    </w:p>
    <w:p>
      <w:r>
        <w:rPr>
          <w:b/>
        </w:rPr>
        <w:t>第二层·公开数据集上的无泄漏评测（本作品新增，可复现）</w:t>
      </w:r>
    </w:p>
    <w:p>
      <w:r>
        <w:t>评测协议：先按同一口径去重，再按时间/流身份切分并设 purge 间隔；训练段与评估段的近重复行交集必须为 0（否则拒绝出结论）；判定阈值只取拟合段正常窗口分数的分位，从不使用评估段信息。指标取“1% 误报预算下的攻击召回”（TPR@FPR=1%，与各臂实际误报率无关、可横向比较）。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77"/>
        <w:gridCol w:w="2077"/>
        <w:gridCol w:w="2076"/>
        <w:gridCol w:w="2076"/>
      </w:tblGrid>
      <w:tr>
        <w:trPr>
          <w:tblHeader/>
        </w:trPr>
        <w:tc>
          <w:tcPr>
            <w:tcW w:w="2077" w:type="dxa"/>
            <w:shd w:val="clear" w:fill="D9E2F3" w:color="auto"/>
          </w:tcPr>
          <w:p>
            <w:r>
              <w:rPr>
                <w:b/>
              </w:rPr>
              <w:t>公开数据集</w:t>
            </w:r>
          </w:p>
        </w:tc>
        <w:tc>
          <w:tcPr>
            <w:tcW w:w="2077" w:type="dxa"/>
            <w:shd w:val="clear" w:fill="D9E2F3" w:color="auto"/>
          </w:tcPr>
          <w:p>
            <w:r>
              <w:rPr>
                <w:b/>
              </w:rPr>
              <w:t>规模（行）</w:t>
            </w:r>
          </w:p>
        </w:tc>
        <w:tc>
          <w:tcPr>
            <w:tcW w:w="2076" w:type="dxa"/>
            <w:shd w:val="clear" w:fill="D9E2F3" w:color="auto"/>
          </w:tcPr>
          <w:p>
            <w:r>
              <w:rPr>
                <w:b/>
              </w:rPr>
              <w:t>特征映射</w:t>
            </w:r>
          </w:p>
        </w:tc>
        <w:tc>
          <w:tcPr>
            <w:tcW w:w="2076" w:type="dxa"/>
            <w:shd w:val="clear" w:fill="D9E2F3" w:color="auto"/>
          </w:tcPr>
          <w:p>
            <w:r>
              <w:rPr>
                <w:b/>
              </w:rPr>
              <w:t>TPR@FPR=1%（本作品实测）</w:t>
            </w:r>
          </w:p>
        </w:tc>
      </w:tr>
      <w:tr>
        <w:tc>
          <w:tcPr>
            <w:tcW w:w="2077" w:type="dxa"/>
          </w:tcPr>
          <w:p>
            <w:r>
              <w:t>inSDN（真实公开集）</w:t>
            </w:r>
          </w:p>
        </w:tc>
        <w:tc>
          <w:tcPr>
            <w:tcW w:w="2077" w:type="dxa"/>
          </w:tcPr>
          <w:p>
            <w:r>
              <w:t>343,889</w:t>
            </w:r>
          </w:p>
        </w:tc>
        <w:tc>
          <w:tcPr>
            <w:tcW w:w="2076" w:type="dxa"/>
          </w:tcPr>
          <w:p>
            <w:r>
              <w:t>71/71</w:t>
            </w:r>
          </w:p>
        </w:tc>
        <w:tc>
          <w:tcPr>
            <w:tcW w:w="2076" w:type="dxa"/>
          </w:tcPr>
          <w:p>
            <w:r>
              <w:t>0.633（深度+稳健马氏融合）；0.472（零样本迁移）</w:t>
            </w:r>
          </w:p>
        </w:tc>
      </w:tr>
      <w:tr>
        <w:tc>
          <w:tcPr>
            <w:tcW w:w="2077" w:type="dxa"/>
          </w:tcPr>
          <w:p>
            <w:r>
              <w:t>CIC-IDS2017（同域切分）</w:t>
            </w:r>
          </w:p>
        </w:tc>
        <w:tc>
          <w:tcPr>
            <w:tcW w:w="2077" w:type="dxa"/>
          </w:tcPr>
          <w:p>
            <w:r>
              <w:t xmlns:w="http://schemas.openxmlformats.org/wordprocessingml/2006/main">3,119,345（本次评测采样 30 万行）</w:t>
            </w:r>
          </w:p>
        </w:tc>
        <w:tc>
          <w:tcPr>
            <w:tcW w:w="2076" w:type="dxa"/>
          </w:tcPr>
          <w:p>
            <w:r>
              <w:t>71/71</w:t>
            </w:r>
          </w:p>
        </w:tc>
        <w:tc>
          <w:tcPr>
            <w:tcW w:w="2076" w:type="dxa"/>
          </w:tcPr>
          <w:p>
            <w:r>
              <w:t>0.384（无监督 kNN）；0.034（零样本迁移）</w:t>
            </w:r>
          </w:p>
        </w:tc>
      </w:tr>
      <w:tr>
        <w:tc>
          <w:tcPr>
            <w:tcW w:w="2077" w:type="dxa"/>
          </w:tcPr>
          <w:p>
            <w:r>
              <w:t>CIC-IDS2017（跨天，评估日攻击族全部未见过）</w:t>
            </w:r>
          </w:p>
        </w:tc>
        <w:tc>
          <w:tcPr>
            <w:tcW w:w="2077" w:type="dxa"/>
          </w:tcPr>
          <w:p>
            <w:r>
              <w:t>同上</w:t>
            </w:r>
          </w:p>
        </w:tc>
        <w:tc>
          <w:tcPr>
            <w:tcW w:w="2076" w:type="dxa"/>
          </w:tcPr>
          <w:p>
            <w:r>
              <w:t>71/71</w:t>
            </w:r>
          </w:p>
        </w:tc>
        <w:tc>
          <w:tcPr>
            <w:tcW w:w="2076" w:type="dxa"/>
          </w:tcPr>
          <w:p>
            <w:r>
              <w:t>0.285（无监督 kNN）；0.038（零样本迁移）</w:t>
            </w:r>
          </w:p>
        </w:tc>
      </w:tr>
      <w:tr>
        <w:tc>
          <w:tcPr>
            <w:tcW w:w="2077" w:type="dxa"/>
          </w:tcPr>
          <w:p>
            <w:r>
              <w:t>CSE-CIC-IDS2018（跨天）</w:t>
            </w:r>
          </w:p>
        </w:tc>
        <w:tc>
          <w:tcPr>
            <w:tcW w:w="2077" w:type="dxa"/>
          </w:tcPr>
          <w:p>
            <w:r>
              <w:t>3,145,725</w:t>
            </w:r>
          </w:p>
        </w:tc>
        <w:tc>
          <w:tcPr>
            <w:tcW w:w="2076" w:type="dxa"/>
          </w:tcPr>
          <w:p>
            <w:r>
              <w:t>71/71</w:t>
            </w:r>
          </w:p>
        </w:tc>
        <w:tc>
          <w:tcPr>
            <w:tcW w:w="2076" w:type="dxa"/>
          </w:tcPr>
          <w:p>
            <w:r>
              <w:t>0.234（目标域重标定）；0.204（零样本迁移）</w:t>
            </w:r>
          </w:p>
        </w:tc>
      </w:tr>
      <w:tr>
        <w:tc>
          <w:tcPr>
            <w:tcW w:w="2077" w:type="dxa"/>
          </w:tcPr>
          <w:p>
            <w:r>
              <w:t>UNSW-NB15 / TON_IoT / CIC-IoT2023</w:t>
            </w:r>
          </w:p>
        </w:tc>
        <w:tc>
          <w:tcPr>
            <w:tcW w:w="2077" w:type="dxa"/>
          </w:tcPr>
          <w:p>
            <w:r>
              <w:t>合计约 250 万</w:t>
            </w:r>
          </w:p>
        </w:tc>
        <w:tc>
          <w:tcPr>
            <w:tcW w:w="2076" w:type="dxa"/>
          </w:tcPr>
          <w:p>
            <w:r>
              <w:t>0/71</w:t>
            </w:r>
          </w:p>
        </w:tc>
        <w:tc>
          <w:tcPr>
            <w:tcW w:w="2076" w:type="dxa"/>
          </w:tcPr>
          <w:p>
            <w:r>
              <w:t>特征体系不同，不沿用本模型权重；仅完成可得性与质量核验</w:t>
            </w:r>
          </w:p>
        </w:tc>
      </w:tr>
    </w:tbl>
    <w:p>
      <w:r>
        <w:rPr>
          <w:b/>
        </w:rPr>
        <w:t>第三层·论文口径（团队已发表工作，非本作品新增）</w:t>
      </w:r>
    </w:p>
    <w:p>
      <w:pPr>
        <w:pStyle w:val="ListParagraph"/>
        <w:numPr>
          <w:ilvl w:val="0"/>
          <w:numId w:val="24"/>
        </w:numPr>
      </w:pPr>
      <w:r>
        <w:t>InSDN 数据集上准确率/精确率/召回率/F1 均达 99.98%（原始发布划分、随机切分口径）；</w:t>
      </w:r>
    </w:p>
    <w:p>
      <w:pPr>
        <w:pStyle w:val="ListParagraph"/>
        <w:numPr>
          <w:ilvl w:val="0"/>
          <w:numId w:val="24"/>
        </w:numPr>
      </w:pPr>
      <w:r>
        <w:t>该数据集含较高比例的重复行，且标签在文件中呈连续块分布，因此该数字属“同分布内插值”结果，不代表跨环境泛化能力——本作品正是为解决这一问题而补充了第二层的无泄漏评测。</w:t>
      </w:r>
    </w:p>
    <w:p>
      <w:r>
        <w:rPr>
          <w:b/>
        </w:rPr>
        <w:t>2. 诚实边界（主动披露，体现科研严谨性）</w:t>
      </w:r>
    </w:p>
    <w:p>
      <w:pPr>
        <w:pStyle w:val="ListParagraph"/>
        <w:numPr>
          <w:ilvl w:val="0"/>
          <w:numId w:val="25"/>
        </w:numPr>
      </w:pPr>
      <w:r>
        <w:t>直接用“合成域模型 + 合成域阈值”迁移到真实数据，1% 误报预算下的召回仅 0.034~0.038，说明跨环境直接上线不可行，必须做目标域标定；</w:t>
      </w:r>
    </w:p>
    <w:p>
      <w:pPr>
        <w:pStyle w:val="ListParagraph"/>
        <w:numPr>
          <w:ilvl w:val="0"/>
          <w:numId w:val="25"/>
        </w:numPr>
      </w:pPr>
      <w:r>
        <w:t>跨天口径下按拟合段 1% 预算确定的阈值，在评估段实际达到 4.8%~5.6% 误报率——预算不一定守得住，因此平台内建“标定 → 影子运行 → 达标才允许自动阻断”的门槛；</w:t>
      </w:r>
    </w:p>
    <w:p>
      <w:pPr>
        <w:pStyle w:val="ListParagraph"/>
        <w:numPr>
          <w:ilvl w:val="0"/>
          <w:numId w:val="25"/>
        </w:numPr>
      </w:pPr>
      <w:r>
        <w:t>在更难的合成基准上，卷积分支相对最好单分支无正增益（逐种子 6/6 为负），已在报告中如实记录并据此调整其定位。</w:t>
      </w:r>
    </w:p>
    <w:p>
      <w:r>
        <w:rPr>
          <w:b/>
        </w:rPr>
        <w:t>3. 对比传统方式的提升（量化）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769"/>
        <w:gridCol w:w="2769"/>
        <w:gridCol w:w="2768"/>
      </w:tblGrid>
      <w:tr>
        <w:trPr>
          <w:tblHeader/>
        </w:trPr>
        <w:tc>
          <w:tcPr>
            <w:tcW w:w="2769" w:type="dxa"/>
            <w:shd w:val="clear" w:fill="D9E2F3" w:color="auto"/>
          </w:tcPr>
          <w:p>
            <w:r>
              <w:rPr>
                <w:b/>
              </w:rPr>
              <w:t>对比维度</w:t>
            </w:r>
          </w:p>
        </w:tc>
        <w:tc>
          <w:tcPr>
            <w:tcW w:w="2769" w:type="dxa"/>
            <w:shd w:val="clear" w:fill="D9E2F3" w:color="auto"/>
          </w:tcPr>
          <w:p>
            <w:r>
              <w:rPr>
                <w:b/>
              </w:rPr>
              <w:t>传统方式</w:t>
            </w:r>
          </w:p>
        </w:tc>
        <w:tc>
          <w:tcPr>
            <w:tcW w:w="2768" w:type="dxa"/>
            <w:shd w:val="clear" w:fill="D9E2F3" w:color="auto"/>
          </w:tcPr>
          <w:p>
            <w:r>
              <w:rPr>
                <w:b/>
              </w:rPr>
              <w:t>本方案</w:t>
            </w:r>
          </w:p>
        </w:tc>
      </w:tr>
      <w:tr>
        <w:tc>
          <w:tcPr>
            <w:tcW w:w="2769" w:type="dxa"/>
          </w:tcPr>
          <w:p>
            <w:r>
              <w:t>实验成本</w:t>
            </w:r>
          </w:p>
        </w:tc>
        <w:tc>
          <w:tcPr>
            <w:tcW w:w="2769" w:type="dxa"/>
          </w:tcPr>
          <w:p>
            <w:r>
              <w:t>专用网络安全设备，动辄数十万元</w:t>
            </w:r>
          </w:p>
        </w:tc>
        <w:tc>
          <w:tcPr>
            <w:tcW w:w="2768" w:type="dxa"/>
          </w:tcPr>
          <w:p>
            <w:r>
              <w:t>全开源 + 虚拟仿真，硬件投入近乎为零</w:t>
            </w:r>
          </w:p>
        </w:tc>
      </w:tr>
      <w:tr>
        <w:tc>
          <w:tcPr>
            <w:tcW w:w="2769" w:type="dxa"/>
          </w:tcPr>
          <w:p>
            <w:r>
              <w:t>实验安全性</w:t>
            </w:r>
          </w:p>
        </w:tc>
        <w:tc>
          <w:tcPr>
            <w:tcW w:w="2769" w:type="dxa"/>
          </w:tcPr>
          <w:p>
            <w:r>
              <w:t>真实网络攻防演练具破坏性</w:t>
            </w:r>
          </w:p>
        </w:tc>
        <w:tc>
          <w:tcPr>
            <w:tcW w:w="2768" w:type="dxa"/>
          </w:tcPr>
          <w:p>
            <w:r>
              <w:t>虚拟拓扑内完成，零风险、可反复重放</w:t>
            </w:r>
          </w:p>
        </w:tc>
      </w:tr>
      <w:tr>
        <w:tc>
          <w:tcPr>
            <w:tcW w:w="2769" w:type="dxa"/>
          </w:tcPr>
          <w:p>
            <w:r>
              <w:t>可复现性</w:t>
            </w:r>
          </w:p>
        </w:tc>
        <w:tc>
          <w:tcPr>
            <w:tcW w:w="2769" w:type="dxa"/>
          </w:tcPr>
          <w:p>
            <w:r>
              <w:t>依赖特定环境，难复现</w:t>
            </w:r>
          </w:p>
        </w:tc>
        <w:tc>
          <w:tcPr>
            <w:tcW w:w="2768" w:type="dxa"/>
          </w:tcPr>
          <w:p>
            <w:r>
              <w:t>一键脚本 + 验收自检，逐项可复现</w:t>
            </w:r>
          </w:p>
        </w:tc>
      </w:tr>
      <w:tr>
        <w:tc>
          <w:tcPr>
            <w:tcW w:w="2769" w:type="dxa"/>
          </w:tcPr>
          <w:p>
            <w:r>
              <w:t>评测口径</w:t>
            </w:r>
          </w:p>
        </w:tc>
        <w:tc>
          <w:tcPr>
            <w:tcW w:w="2769" w:type="dxa"/>
          </w:tcPr>
          <w:p>
            <w:r>
              <w:t>多报同域随机切分精度</w:t>
            </w:r>
          </w:p>
        </w:tc>
        <w:tc>
          <w:tcPr>
            <w:tcW w:w="2768" w:type="dxa"/>
          </w:tcPr>
          <w:p>
            <w:r>
              <w:t>报无泄漏口径 + 实际误报率 + 方法边界</w:t>
            </w:r>
          </w:p>
        </w:tc>
      </w:tr>
      <w:tr>
        <w:tc>
          <w:tcPr>
            <w:tcW w:w="2769" w:type="dxa"/>
          </w:tcPr>
          <w:p>
            <w:r>
              <w:t>响应方式</w:t>
            </w:r>
          </w:p>
        </w:tc>
        <w:tc>
          <w:tcPr>
            <w:tcW w:w="2769" w:type="dxa"/>
          </w:tcPr>
          <w:p>
            <w:r>
              <w:t>离线检测，处置滞后</w:t>
            </w:r>
          </w:p>
        </w:tc>
        <w:tc>
          <w:tcPr>
            <w:tcW w:w="2768" w:type="dxa"/>
          </w:tcPr>
          <w:p>
            <w:r>
              <w:t>检测—阻断闭环，判定时延 p50 29.8 ms</w:t>
            </w:r>
          </w:p>
        </w:tc>
      </w:tr>
      <w:tr>
        <w:tc>
          <w:tcPr>
            <w:tcW w:w="2769" w:type="dxa"/>
          </w:tcPr>
          <w:p>
            <w:r>
              <w:t>误报运维成本</w:t>
            </w:r>
          </w:p>
        </w:tc>
        <w:tc>
          <w:tcPr>
            <w:tcW w:w="2769" w:type="dxa"/>
          </w:tcPr>
          <w:p>
            <w:r>
              <w:t>只报“次/小时”，无法排班</w:t>
            </w:r>
          </w:p>
        </w:tc>
        <w:tc>
          <w:tcPr>
            <w:tcW w:w="2768" w:type="dxa"/>
          </w:tcPr>
          <w:p>
            <w:r>
              <w:t>换算为告警量/天与人工工时/天</w:t>
            </w:r>
          </w:p>
        </w:tc>
      </w:tr>
    </w:tbl>
    <w:p>
      <w:r>
        <w:rPr>
          <w:b/>
        </w:rPr>
        <w:t>4. 教学试点方案与数据（模板，需据实补充）</w:t>
      </w:r>
    </w:p>
    <w:p>
      <w:pPr>
        <w:pStyle w:val="ListParagraph"/>
        <w:numPr>
          <w:ilvl w:val="0"/>
          <w:numId w:val="26"/>
        </w:numPr>
      </w:pPr>
      <w:r>
        <w:t>试点对象：《网络攻防》或《入侵检测》实验课一个教学班（约 40 人）；</w:t>
      </w:r>
    </w:p>
    <w:p>
      <w:pPr>
        <w:pStyle w:val="ListParagraph"/>
        <w:numPr>
          <w:ilvl w:val="0"/>
          <w:numId w:val="26"/>
        </w:numPr>
      </w:pPr>
      <w:r>
        <w:t>试点内容：实验一·启动 Mininet 拓扑观察正常流量特征；实验二·自行发起 SYN Flood / UDP Flood，观察 CBDNN 检测与流表阻断全过程；</w:t>
      </w:r>
    </w:p>
    <w:p>
      <w:pPr>
        <w:pStyle w:val="ListParagraph"/>
        <w:numPr>
          <w:ilvl w:val="0"/>
          <w:numId w:val="26"/>
        </w:numPr>
      </w:pPr>
      <w:r>
        <w:t>效果指标：实验前后测（对“入侵检测原理”“DDoS 攻击特征”掌握度）、单次实验完成时间、平台易用性与安全性问卷；</w:t>
      </w:r>
    </w:p>
    <w:p>
      <w:pPr>
        <w:pStyle w:val="ListParagraph"/>
        <w:numPr>
          <w:ilvl w:val="0"/>
          <w:numId w:val="26"/>
        </w:numPr>
      </w:pPr>
      <w:r>
        <w:t>数据呈现：填写前测/后测平均分、实验完成时间对比、问卷满意度（请据实采集后填入）。</w:t>
      </w:r>
    </w:p>
    <w:p>
      <w:r>
        <w:rPr>
          <w:b/>
        </w:rPr>
        <w:t>5. 用户反馈（模板，需据实补充）</w:t>
      </w:r>
    </w:p>
    <w:p>
      <w:pPr>
        <w:pStyle w:val="ListParagraph"/>
        <w:numPr>
          <w:ilvl w:val="0"/>
          <w:numId w:val="27"/>
        </w:numPr>
      </w:pPr>
      <w:r>
        <w:t>反馈对象：试点班学生、任课教师；</w:t>
      </w:r>
    </w:p>
    <w:p>
      <w:pPr>
        <w:pStyle w:val="ListParagraph"/>
        <w:numPr>
          <w:ilvl w:val="0"/>
          <w:numId w:val="27"/>
        </w:numPr>
      </w:pPr>
      <w:r>
        <w:t>反馈维度：平台易用性、安全性、可复现性、教学帮助程度；</w:t>
      </w:r>
    </w:p>
    <w:p>
      <w:pPr>
        <w:pStyle w:val="ListParagraph"/>
        <w:numPr>
          <w:ilvl w:val="0"/>
          <w:numId w:val="27"/>
        </w:numPr>
      </w:pPr>
      <w:r>
        <w:t>呈现形式：满意度评分与代表性反馈摘录（请据实采集后填入）。</w:t>
      </w:r>
    </w:p>
    <w:p>
      <w:r>
        <w:rPr>
          <w:b/>
        </w:rPr>
        <w:t>6. 数据来源与口径说明（本修订版新增，用于消除口径冲突）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769"/>
        <w:gridCol w:w="2769"/>
        <w:gridCol w:w="2768"/>
      </w:tblGrid>
      <w:tr>
        <w:trPr>
          <w:tblHeader/>
        </w:trPr>
        <w:tc>
          <w:tcPr>
            <w:tcW w:w="2769" w:type="dxa"/>
            <w:shd w:val="clear" w:fill="D9E2F3" w:color="auto"/>
          </w:tcPr>
          <w:p>
            <w:r>
              <w:rPr>
                <w:b/>
              </w:rPr>
              <w:t>数字/结论</w:t>
            </w:r>
          </w:p>
        </w:tc>
        <w:tc>
          <w:tcPr>
            <w:tcW w:w="2769" w:type="dxa"/>
            <w:shd w:val="clear" w:fill="D9E2F3" w:color="auto"/>
          </w:tcPr>
          <w:p>
            <w:r>
              <w:rPr>
                <w:b/>
              </w:rPr>
              <w:t>来源类型</w:t>
            </w:r>
          </w:p>
        </w:tc>
        <w:tc>
          <w:tcPr>
            <w:tcW w:w="2768" w:type="dxa"/>
            <w:shd w:val="clear" w:fill="D9E2F3" w:color="auto"/>
          </w:tcPr>
          <w:p>
            <w:r>
              <w:rPr>
                <w:b/>
              </w:rPr>
              <w:t>具体出处</w:t>
            </w:r>
          </w:p>
        </w:tc>
      </w:tr>
      <w:tr>
        <w:tc>
          <w:tcPr>
            <w:tcW w:w="2769" w:type="dxa"/>
          </w:tcPr>
          <w:p>
            <w:r>
              <w:t>InSDN 99.98%</w:t>
            </w:r>
          </w:p>
        </w:tc>
        <w:tc>
          <w:tcPr>
            <w:tcW w:w="2769" w:type="dxa"/>
          </w:tcPr>
          <w:p>
            <w:r>
              <w:t>论文口径</w:t>
            </w:r>
          </w:p>
        </w:tc>
        <w:tc>
          <w:tcPr>
            <w:tcW w:w="2768" w:type="dxa"/>
          </w:tcPr>
          <w:p>
            <w:r>
              <w:t>团队已发表论文（同域、随机切分）</w:t>
            </w:r>
          </w:p>
        </w:tc>
      </w:tr>
      <w:tr>
        <w:tc>
          <w:tcPr>
            <w:tcW w:w="2769" w:type="dxa"/>
          </w:tcPr>
          <w:p>
            <w:r>
              <w:t>自建仿真平台各项能力（拓扑/攻击类型/闭环）</w:t>
            </w:r>
          </w:p>
        </w:tc>
        <w:tc>
          <w:tcPr>
            <w:tcW w:w="2769" w:type="dxa"/>
          </w:tcPr>
          <w:p>
            <w:r>
              <w:t>自建仿真</w:t>
            </w:r>
          </w:p>
        </w:tc>
        <w:tc>
          <w:tcPr>
            <w:tcW w:w="2768" w:type="dxa"/>
          </w:tcPr>
          <w:p>
            <w:r>
              <w:t>generate_ddos_traffic / generate_normal_traffic 脚本</w:t>
            </w:r>
          </w:p>
        </w:tc>
      </w:tr>
      <w:tr>
        <w:tc>
          <w:tcPr>
            <w:tcW w:w="2769" w:type="dxa"/>
          </w:tcPr>
          <w:p>
            <w:r>
              <w:t>控制器闭环：1,364 条流/秒、p50 29.8 ms</w:t>
            </w:r>
          </w:p>
        </w:tc>
        <w:tc>
          <w:tcPr>
            <w:tcW w:w="2769" w:type="dxa"/>
          </w:tcPr>
          <w:p>
            <w:r>
              <w:t>本作品实测</w:t>
            </w:r>
          </w:p>
        </w:tc>
        <w:tc>
          <w:tcPr>
            <w:tcW w:w="2768" w:type="dxa"/>
          </w:tcPr>
          <w:p>
            <w:r>
              <w:t>controller_simulator 产物</w:t>
            </w:r>
          </w:p>
        </w:tc>
      </w:tr>
      <w:tr>
        <w:tc>
          <w:tcPr>
            <w:tcW w:w="2769" w:type="dxa"/>
          </w:tcPr>
          <w:p>
            <w:r>
              <w:t>适配层真机 16/16</w:t>
            </w:r>
          </w:p>
        </w:tc>
        <w:tc>
          <w:tcPr>
            <w:tcW w:w="2769" w:type="dxa"/>
          </w:tcPr>
          <w:p>
            <w:r>
              <w:t>本作品实测</w:t>
            </w:r>
          </w:p>
        </w:tc>
        <w:tc>
          <w:tcPr>
            <w:tcW w:w="2768" w:type="dxa"/>
          </w:tcPr>
          <w:p>
            <w:r>
              <w:t>ryu_live_check 产物（真实 ryu-manager + OF1.3）</w:t>
            </w:r>
          </w:p>
        </w:tc>
      </w:tr>
      <w:tr>
        <w:tc>
          <w:tcPr>
            <w:tcW w:w="2769" w:type="dxa"/>
          </w:tcPr>
          <w:p>
            <w:r>
              <w:t>公开数据集 TPR@FPR=1% 各值</w:t>
            </w:r>
          </w:p>
        </w:tc>
        <w:tc>
          <w:tcPr>
            <w:tcW w:w="2769" w:type="dxa"/>
          </w:tcPr>
          <w:p>
            <w:r>
              <w:t>本作品实测</w:t>
            </w:r>
          </w:p>
        </w:tc>
        <w:tc>
          <w:tcPr>
            <w:tcW w:w="2768" w:type="dxa"/>
          </w:tcPr>
          <w:p>
            <w:r>
              <w:t>real_eval 产物（去重 + 无泄漏切分）</w:t>
            </w:r>
          </w:p>
        </w:tc>
      </w:tr>
      <w:tr>
        <w:tc>
          <w:tcPr>
            <w:tcW w:w="2769" w:type="dxa"/>
          </w:tcPr>
          <w:p>
            <w:r>
              <w:t>6 份公开数据集来源/许可/校验值</w:t>
            </w:r>
          </w:p>
        </w:tc>
        <w:tc>
          <w:tcPr>
            <w:tcW w:w="2769" w:type="dxa"/>
          </w:tcPr>
          <w:p>
            <w:r>
              <w:t>本作品实测</w:t>
            </w:r>
          </w:p>
        </w:tc>
        <w:tc>
          <w:tcPr>
            <w:tcW w:w="2768" w:type="dxa"/>
          </w:tcPr>
          <w:p>
            <w:r>
              <w:t>data/real/MANIFEST.json 与 real_datasets 产物</w:t>
            </w:r>
          </w:p>
        </w:tc>
      </w:tr>
      <w:tr>
        <w:tc>
          <w:tcPr>
            <w:tcW w:w="2769" w:type="dxa"/>
          </w:tcPr>
          <w:p>
            <w:r>
              <w:t>跨环境直接迁移乏力（0.034~0.038）</w:t>
            </w:r>
          </w:p>
        </w:tc>
        <w:tc>
          <w:tcPr>
            <w:tcW w:w="2769" w:type="dxa"/>
          </w:tcPr>
          <w:p>
            <w:r>
              <w:t>本作品实测</w:t>
            </w:r>
          </w:p>
        </w:tc>
        <w:tc>
          <w:tcPr>
            <w:tcW w:w="2768" w:type="dxa"/>
          </w:tcPr>
          <w:p>
            <w:r>
              <w:t>real_eval 产物（零样本迁移臂）</w:t>
            </w:r>
          </w:p>
        </w:tc>
      </w:tr>
    </w:tbl>
    <w:p>
      <w:r>
        <w:t>说明：上表所有“本作品实测”项均随作品提供代码与产物，评委可按复现命令逐项核对；公开数据集仅用于研究评测，不随作品分发。</w:t>
      </w:r>
    </w:p>
    <w:p>
      <w:pPr>
        <w:pStyle w:val="Heading2"/>
      </w:pPr>
      <w:bookmarkStart w:id="9" w:name="_ZgensToc9"/>
      <w:r>
        <w:t>（八）总结与展望</w:t>
      </w:r>
      <w:bookmarkEnd w:id="9"/>
    </w:p>
    <w:p>
      <w:r>
        <w:rPr>
          <w:b/>
        </w:rPr>
        <w:t>1. 方案总结</w:t>
      </w:r>
    </w:p>
    <w:p>
      <w:r>
        <w:t>本方案以 CNN+BiLSTM（CBDNN）为核心，构建人工智能赋能网络空间安全学科的 SDN 智能入侵检测与主动防御系统，实现“流量生成—特征采集—智能检测—主动防御”闭环；平台可安全、低成本、可复现地支撑攻防实验实训，并在真实公开数据集上完成了无泄漏口径的评测。存在不足：跨环境部署仍需目标域标定；对高吞吐（≥100Gbps）网络与极端类不平衡场景的验证尚不充分；部分异构特征体系的数据集尚未纳入统一建模；模型可解释性有待增强。</w:t>
      </w:r>
    </w:p>
    <w:p>
      <w:r>
        <w:rPr>
          <w:b/>
        </w:rPr>
        <w:t>2. 未来展望</w:t>
      </w:r>
    </w:p>
    <w:p>
      <w:pPr>
        <w:pStyle w:val="ListParagraph"/>
        <w:numPr>
          <w:ilvl w:val="0"/>
          <w:numId w:val="28"/>
        </w:numPr>
      </w:pPr>
      <w:r>
        <w:t>优化模型以适应物联网、边缘计算等高吞吐、资源受限环境；</w:t>
      </w:r>
    </w:p>
    <w:p>
      <w:pPr>
        <w:pStyle w:val="ListParagraph"/>
        <w:numPr>
          <w:ilvl w:val="0"/>
          <w:numId w:val="28"/>
        </w:numPr>
      </w:pPr>
      <w:r>
        <w:t>引入多模态数据（日志、用户行为、上下文）提升可解释性与检测能力；</w:t>
      </w:r>
    </w:p>
    <w:p>
      <w:pPr>
        <w:pStyle w:val="ListParagraph"/>
        <w:numPr>
          <w:ilvl w:val="0"/>
          <w:numId w:val="28"/>
        </w:numPr>
      </w:pPr>
      <w:r>
        <w:t>研究 SDN 控制器与传统网络的互操作，拓展跨域泛化能力；</w:t>
      </w:r>
    </w:p>
    <w:p>
      <w:pPr>
        <w:pStyle w:val="ListParagraph"/>
        <w:numPr>
          <w:ilvl w:val="0"/>
          <w:numId w:val="28"/>
        </w:numPr>
      </w:pPr>
      <w:r>
        <w:t>将平台封装为标准化教学产品，向同类院校推广。</w:t>
      </w:r>
    </w:p>
    <w:p>
      <w:pPr>
        <w:pStyle w:val="Heading2"/>
      </w:pPr>
      <w:bookmarkStart w:id="10" w:name="_ZgensToc10"/>
      <w:r>
        <w:t>（九）附录</w:t>
      </w:r>
      <w:bookmarkEnd w:id="10"/>
    </w:p>
    <w:p>
      <w:r>
        <w:rPr>
          <w:b/>
        </w:rPr>
        <w:t>1. 代码与模型</w:t>
      </w:r>
    </w:p>
    <w:p>
      <w:pPr>
        <w:pStyle w:val="ListParagraph"/>
        <w:numPr>
          <w:ilvl w:val="0"/>
          <w:numId w:val="29"/>
        </w:numPr>
      </w:pPr>
      <w:r>
        <w:t>CNN_biLSTM2.py：CBDNN 模型训练与评估代码（CNN + BiLSTM）；</w:t>
      </w:r>
    </w:p>
    <w:p>
      <w:pPr>
        <w:pStyle w:val="ListParagraph"/>
        <w:numPr>
          <w:ilvl w:val="0"/>
          <w:numId w:val="29"/>
        </w:numPr>
      </w:pPr>
      <w:r>
        <w:t>CBDNN 论文原版核心代码（去个人路径版本）；</w:t>
      </w:r>
    </w:p>
    <w:p>
      <w:pPr>
        <w:pStyle w:val="ListParagraph"/>
        <w:numPr>
          <w:ilvl w:val="0"/>
          <w:numId w:val="29"/>
        </w:numPr>
      </w:pPr>
      <w:r>
        <w:t>generate_normal_traffic / generate_ddos_traffic：SDN 环境下正常与 DDoS 流量生成与采集脚本（含交换机与采集脚本）；</w:t>
      </w:r>
    </w:p>
    <w:p>
      <w:pPr>
        <w:pStyle w:val="ListParagraph"/>
        <w:numPr>
          <w:ilvl w:val="0"/>
          <w:numId w:val="29"/>
        </w:numPr>
      </w:pPr>
      <w:r>
        <w:t>无泄漏评测脚本与产物：去重、时序/身份切分、TPR@FPR 指标计算与报告生成；</w:t>
      </w:r>
    </w:p>
    <w:p>
      <w:pPr>
        <w:pStyle w:val="ListParagraph"/>
        <w:numPr>
          <w:ilvl w:val="0"/>
          <w:numId w:val="29"/>
        </w:numPr>
      </w:pPr>
      <w:r>
        <w:t>验收自检脚本：一键核对交付项（当前 130 项通过 / 0 失败）。</w:t>
      </w:r>
    </w:p>
    <w:p>
      <w:r>
        <w:rPr>
          <w:b/>
        </w:rPr>
        <w:t>2. 参考文献</w:t>
      </w:r>
    </w:p>
    <w:p>
      <w:pPr>
        <w:pStyle w:val="ListParagraph"/>
        <w:numPr>
          <w:ilvl w:val="0"/>
          <w:numId w:val="30"/>
        </w:numPr>
      </w:pPr>
      <w:r>
        <w:t>Jia Y, Ren J, He H, Li X, Xu K. CBDNN: An efficient and generalized intrusion detection method in SDN environments. Cluster Computing, 2026, 29: 263. DOI: 10.1007/s10586-026-06083-z.</w:t>
      </w:r>
    </w:p>
    <w:p>
      <w:pPr>
        <w:pStyle w:val="ListParagraph"/>
        <w:numPr>
          <w:ilvl w:val="0"/>
          <w:numId w:val="30"/>
        </w:numPr>
      </w:pPr>
      <w:r>
        <w:t>Ruffo V, Lent D, Komarchesqui M, et al. Anomaly and intrusion detection using deep learning for software-defined networks: a survey. Expert Systems with Applications, 2024, 256: 124982. DOI: 10.1016/j.eswa.2024.124982.</w:t>
      </w:r>
    </w:p>
    <w:p>
      <w:pPr>
        <w:pStyle w:val="ListParagraph"/>
        <w:numPr>
          <w:ilvl w:val="0"/>
          <w:numId w:val="30"/>
        </w:numPr>
      </w:pPr>
      <w:r>
        <w:t>Kreutz D, Ramos F M V, Verissimo P E, et al. Software-defined networking: A comprehensive survey. Proceedings of the IEEE, 2015, 103(1): 14-76. DOI: 10.1109/JPROC.2014.2371999.</w:t>
      </w:r>
    </w:p>
    <w:p>
      <w:pPr>
        <w:pStyle w:val="ListParagraph"/>
        <w:numPr>
          <w:ilvl w:val="0"/>
          <w:numId w:val="30"/>
        </w:numPr>
      </w:pPr>
      <w:r>
        <w:t>Jain A K, Shukla H, Goel D. A comprehensive survey on DDoS detection, mitigation, and defense strategies in software-defined networks. Cluster Computing, 2024, 27(9): 13129-13164. DOI: 10.1007/s10586-024-04596-z.</w:t>
      </w:r>
    </w:p>
    <w:p>
      <w:pPr>
        <w:pStyle w:val="ListParagraph"/>
        <w:numPr>
          <w:ilvl w:val="0"/>
          <w:numId w:val="30"/>
        </w:numPr>
      </w:pPr>
      <w:r>
        <w:t>Mustafa Z, Amin R, Aldabbas H, Ahmed N. Intrusion detection systems for software-defined networks: a comprehensive study on machine learning-based techniques. Cluster Computing, 2024, 27(7): 9635-9661. DOI: 10.1007/s10586-024-04430-6.</w:t>
      </w:r>
    </w:p>
    <w:p>
      <w:pPr>
        <w:pStyle w:val="ListParagraph"/>
        <w:numPr>
          <w:ilvl w:val="0"/>
          <w:numId w:val="30"/>
        </w:numPr>
      </w:pPr>
      <w:r>
        <w:t>Najar A A, Naik S M, Lone F R, Nazir A. A novel CNN-enhanced detection and mitigation of DDoS attacks in SDN. Cluster Computing, 2025, 28(6): 347. DOI: 10.1007/s10586-024-05003-3.</w:t>
      </w:r>
    </w:p>
    <w:p>
      <w:pPr>
        <w:pStyle w:val="ListParagraph"/>
        <w:numPr>
          <w:ilvl w:val="0"/>
          <w:numId w:val="30"/>
        </w:numPr>
      </w:pPr>
      <w:r>
        <w:t>Alhassan A M. Self-adaptive lightweight attention module-based BiLSTM model for effective intrusion detection. Arabian Journal for Science and Engineering, 2025, 50(15): 11513-11538. DOI: 10.1007/s13369-024-09476-7.</w:t>
      </w:r>
    </w:p>
    <w:p>
      <w:pPr>
        <w:pStyle w:val="ListParagraph"/>
        <w:numPr>
          <w:ilvl w:val="0"/>
          <w:numId w:val="30"/>
        </w:numPr>
      </w:pPr>
      <w:r>
        <w:t>Elsayed M S, Le-Khac N A, Jurcut A D. InSDN: A novel SDN intrusion dataset. IEEE Access, 2020, 8: 165263-165284. DOI: 10.1109/ACCESS.2020.3022633.</w:t>
      </w:r>
    </w:p>
    <w:p>
      <w:pPr>
        <w:pStyle w:val="ListParagraph"/>
        <w:numPr>
          <w:ilvl w:val="0"/>
          <w:numId w:val="30"/>
        </w:numPr>
      </w:pPr>
      <w:r>
        <w:t>Sharafaldin I, Lashkari A H, Ghorbani A A. Toward generating a new intrusion detection dataset and intrusion traffic characterization (CIC-IDS2017). ICISSP, 2018: 108-116.</w:t>
      </w:r>
    </w:p>
    <w:p>
      <w:pPr>
        <w:pStyle w:val="ListParagraph"/>
        <w:numPr>
          <w:ilvl w:val="0"/>
          <w:numId w:val="30"/>
        </w:numPr>
      </w:pPr>
      <w:r>
        <w:t>Moustafa N, Slay J. UNSW-NB15: A comprehensive data set for network intrusion detection systems. MilCIS, 2015: 1-6. DOI: 10.1109/MilCIS.2015.7348942.</w:t>
      </w:r>
    </w:p>
    <w:p>
      <w:r>
        <w:rPr>
          <w:b/>
        </w:rPr>
        <w:t>3. 知识产权与合规说明</w:t>
      </w:r>
    </w:p>
    <w:p>
      <w:pPr>
        <w:pStyle w:val="ListParagraph"/>
        <w:numPr>
          <w:ilvl w:val="0"/>
          <w:numId w:val="31"/>
        </w:numPr>
      </w:pPr>
      <w:r>
        <w:t>本作品核心技术基于团队自研算法 CBDNN；自建仿真数据集由团队脚本自主生成；</w:t>
      </w:r>
    </w:p>
    <w:p>
      <w:pPr>
        <w:pStyle w:val="ListParagraph"/>
        <w:numPr>
          <w:ilvl w:val="0"/>
          <w:numId w:val="31"/>
        </w:numPr>
      </w:pPr>
      <w:r>
        <w:t>公开数据集（inSDN、CIC-IDS2017、CSE-CIC-IDS2018、UNSW-NB15、TON_IoT、CIC-IoT2023）均来自公开渠道，仅用于研究评测、不随作品分发，来源/许可/校验值已登记备查；</w:t>
      </w:r>
    </w:p>
    <w:p>
      <w:pPr>
        <w:pStyle w:val="ListParagraph"/>
        <w:numPr>
          <w:ilvl w:val="0"/>
          <w:numId w:val="31"/>
        </w:numPr>
      </w:pPr>
      <w:r>
        <w:t>涉及教学数据的，遵循教育行业数据安全与个人隐私保护规范，对学习者信息脱敏处理，并取得合法授权；</w:t>
      </w:r>
    </w:p>
    <w:p>
      <w:pPr>
        <w:pStyle w:val="ListParagraph"/>
        <w:numPr>
          <w:ilvl w:val="0"/>
          <w:numId w:val="31"/>
        </w:numPr>
      </w:pPr>
      <w:r>
        <w:t>团队承诺作品无知识产权争议，尊重学术伦理（对应作品要求第 6 条，请团队据实确认）。</w:t>
      </w:r>
    </w:p>
    <w:p>
      <w:r>
        <w:rPr>
          <w:b/>
        </w:rPr>
        <w:t>4. 其他材料</w:t>
      </w:r>
    </w:p>
    <w:p>
      <w:pPr>
        <w:pStyle w:val="ListParagraph"/>
        <w:numPr>
          <w:ilvl w:val="0"/>
          <w:numId w:val="32"/>
        </w:numPr>
      </w:pPr>
      <w:r>
        <w:t>已发表论文全文（佐证材料）；</w:t>
      </w:r>
    </w:p>
    <w:p>
      <w:pPr>
        <w:pStyle w:val="ListParagraph"/>
        <w:numPr>
          <w:ilvl w:val="0"/>
          <w:numId w:val="32"/>
        </w:numPr>
      </w:pPr>
      <w:r>
        <w:t>演示视频 / 系统运行截图（建议补充）；</w:t>
      </w:r>
    </w:p>
    <w:p>
      <w:pPr>
        <w:pStyle w:val="ListParagraph"/>
        <w:numPr>
          <w:ilvl w:val="0"/>
          <w:numId w:val="32"/>
        </w:numPr>
      </w:pPr>
      <w:r>
        <w:t>算法与评测代码、产物清单、复现命令（随附）；</w:t>
      </w:r>
    </w:p>
    <w:p>
      <w:pPr>
        <w:pStyle w:val="ListParagraph"/>
        <w:numPr>
          <w:ilvl w:val="0"/>
          <w:numId w:val="32"/>
        </w:numPr>
      </w:pPr>
      <w:r>
        <w:t>如有软件著作权、专利证书、检测报告等，一并放入佐证材料中上传。</w:t>
      </w:r>
    </w:p>
    <w:p>
      <w:r>
        <w:rPr>
          <w:b/>
        </w:rPr>
        <w:t>说明：</w:t>
      </w:r>
      <w:r>
        <w:t>本申报书按赛题官方《技术方案参考大纲》结构撰写，并逐条对标六大作品要求与评分规则。全部技术数据按“论文口径 / 自建仿真口径 / 本作品实测口径”分层标注，来源见（七）6 数据来源与口径说明；“团队名单与分工”“经费预算”“教学试点数据”“用户反馈”等内容需团队据实补充，切勿虚构。</w:t>
      </w:r>
    </w:p>
    <w:sectPr>
      <w:pgSz w:w="11906" w:h="16838"/>
      <w:pgMar w:top="1417" w:bottom="1417" w:left="1417" w:right="1417" w:header="720" w:footer="720"/>
      <w:cols w:space="425"/>
      <w:docGrid w:type="lines" w:linePitch="312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abstractNum w:abstractNumId="2">
    <w:lvl w:ilvl="0">
      <w:start w:val="1"/>
      <w:numFmt w:val="bullet"/>
      <w:lvlText w:val="•"/>
      <w:lvlJc w:val="left"/>
      <w:pPr>
        <w:ind w:left="720" w:hanging="360"/>
      </w:pPr>
    </w:lvl>
  </w:abstractNum>
  <w:num w:numId="3">
    <w:abstractNumId w:val="2"/>
  </w:num>
  <w:abstractNum w:abstractNumId="3">
    <w:lvl w:ilvl="0">
      <w:start w:val="1"/>
      <w:numFmt w:val="bullet"/>
      <w:lvlText w:val="•"/>
      <w:lvlJc w:val="left"/>
      <w:pPr>
        <w:ind w:left="720" w:hanging="360"/>
      </w:pPr>
    </w:lvl>
  </w:abstractNum>
  <w:num w:numId="4">
    <w:abstractNumId w:val="3"/>
  </w:num>
  <w:abstractNum w:abstractNumId="4">
    <w:lvl w:ilvl="0">
      <w:start w:val="1"/>
      <w:numFmt w:val="bullet"/>
      <w:lvlText w:val="•"/>
      <w:lvlJc w:val="left"/>
      <w:pPr>
        <w:ind w:left="720" w:hanging="360"/>
      </w:pPr>
    </w:lvl>
  </w:abstractNum>
  <w:num w:numId="5">
    <w:abstractNumId w:val="4"/>
  </w:num>
  <w:abstractNum w:abstractNumId="5">
    <w:lvl w:ilvl="0">
      <w:start w:val="1"/>
      <w:numFmt w:val="bullet"/>
      <w:lvlText w:val="•"/>
      <w:lvlJc w:val="left"/>
      <w:pPr>
        <w:ind w:left="720" w:hanging="360"/>
      </w:pPr>
    </w:lvl>
  </w:abstractNum>
  <w:num w:numId="6">
    <w:abstractNumId w:val="5"/>
  </w:num>
  <w:abstractNum w:abstractNumId="6">
    <w:lvl w:ilvl="0">
      <w:start w:val="1"/>
      <w:numFmt w:val="bullet"/>
      <w:lvlText w:val="•"/>
      <w:lvlJc w:val="left"/>
      <w:pPr>
        <w:ind w:left="720" w:hanging="360"/>
      </w:pPr>
    </w:lvl>
  </w:abstractNum>
  <w:num w:numId="7">
    <w:abstractNumId w:val="6"/>
  </w:num>
  <w:abstractNum w:abstractNumId="7">
    <w:lvl w:ilvl="0">
      <w:start w:val="1"/>
      <w:numFmt w:val="bullet"/>
      <w:lvlText w:val="•"/>
      <w:lvlJc w:val="left"/>
      <w:pPr>
        <w:ind w:left="720" w:hanging="360"/>
      </w:pPr>
    </w:lvl>
  </w:abstractNum>
  <w:num w:numId="8">
    <w:abstractNumId w:val="7"/>
  </w:num>
  <w:abstractNum w:abstractNumId="8">
    <w:lvl w:ilvl="0">
      <w:start w:val="1"/>
      <w:numFmt w:val="bullet"/>
      <w:lvlText w:val="•"/>
      <w:lvlJc w:val="left"/>
      <w:pPr>
        <w:ind w:left="720" w:hanging="360"/>
      </w:pPr>
    </w:lvl>
  </w:abstractNum>
  <w:num w:numId="9">
    <w:abstractNumId w:val="8"/>
  </w:num>
  <w:abstractNum w:abstractNumId="9">
    <w:lvl w:ilvl="0">
      <w:start w:val="1"/>
      <w:numFmt w:val="bullet"/>
      <w:lvlText w:val="•"/>
      <w:lvlJc w:val="left"/>
      <w:pPr>
        <w:ind w:left="720" w:hanging="360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720" w:hanging="360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720" w:hanging="360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720" w:hanging="360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ind w:left="720" w:hanging="360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lvlJc w:val="left"/>
      <w:pPr>
        <w:ind w:left="720" w:hanging="360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lvlJc w:val="left"/>
      <w:pPr>
        <w:ind w:left="720" w:hanging="360"/>
      </w:pPr>
    </w:lvl>
  </w:abstractNum>
  <w:num w:numId="16">
    <w:abstractNumId w:val="15"/>
  </w:num>
  <w:abstractNum w:abstractNumId="16">
    <w:lvl w:ilvl="0">
      <w:start w:val="1"/>
      <w:numFmt w:val="bullet"/>
      <w:lvlText w:val="•"/>
      <w:lvlJc w:val="left"/>
      <w:pPr>
        <w:ind w:left="720" w:hanging="360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lvlJc w:val="left"/>
      <w:pPr>
        <w:ind w:left="720" w:hanging="360"/>
      </w:pPr>
    </w:lvl>
  </w:abstractNum>
  <w:num w:numId="18">
    <w:abstractNumId w:val="17"/>
  </w:num>
  <w:abstractNum w:abstractNumId="18">
    <w:lvl w:ilvl="0">
      <w:start w:val="1"/>
      <w:numFmt w:val="bullet"/>
      <w:lvlText w:val="•"/>
      <w:lvlJc w:val="left"/>
      <w:pPr>
        <w:ind w:left="720" w:hanging="360"/>
      </w:p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720" w:hanging="360"/>
      </w:pPr>
    </w:lvl>
  </w:abstractNum>
  <w:num w:numId="20">
    <w:abstractNumId w:val="19"/>
  </w:num>
  <w:abstractNum w:abstractNumId="20">
    <w:lvl w:ilvl="0">
      <w:start w:val="1"/>
      <w:numFmt w:val="bullet"/>
      <w:lvlText w:val="•"/>
      <w:lvlJc w:val="left"/>
      <w:pPr>
        <w:ind w:left="720" w:hanging="360"/>
      </w:pPr>
    </w:lvl>
  </w:abstractNum>
  <w:num w:numId="21">
    <w:abstractNumId w:val="20"/>
  </w:num>
  <w:abstractNum w:abstractNumId="21">
    <w:lvl w:ilvl="0">
      <w:start w:val="1"/>
      <w:numFmt w:val="bullet"/>
      <w:lvlText w:val="•"/>
      <w:lvlJc w:val="left"/>
      <w:pPr>
        <w:ind w:left="720" w:hanging="360"/>
      </w:pPr>
    </w:lvl>
  </w:abstractNum>
  <w:num w:numId="22">
    <w:abstractNumId w:val="21"/>
  </w:num>
  <w:abstractNum w:abstractNumId="22">
    <w:lvl w:ilvl="0">
      <w:start w:val="1"/>
      <w:numFmt w:val="bullet"/>
      <w:lvlText w:val="•"/>
      <w:lvlJc w:val="left"/>
      <w:pPr>
        <w:ind w:left="720" w:hanging="360"/>
      </w:pPr>
    </w:lvl>
  </w:abstractNum>
  <w:num w:numId="23">
    <w:abstractNumId w:val="22"/>
  </w:num>
  <w:abstractNum w:abstractNumId="23">
    <w:lvl w:ilvl="0">
      <w:start w:val="1"/>
      <w:numFmt w:val="bullet"/>
      <w:lvlText w:val="•"/>
      <w:lvlJc w:val="left"/>
      <w:pPr>
        <w:ind w:left="720" w:hanging="360"/>
      </w:pPr>
    </w:lvl>
  </w:abstractNum>
  <w:num w:numId="24">
    <w:abstractNumId w:val="23"/>
  </w:num>
  <w:abstractNum w:abstractNumId="24">
    <w:lvl w:ilvl="0">
      <w:start w:val="1"/>
      <w:numFmt w:val="bullet"/>
      <w:lvlText w:val="•"/>
      <w:lvlJc w:val="left"/>
      <w:pPr>
        <w:ind w:left="720" w:hanging="360"/>
      </w:pPr>
    </w:lvl>
  </w:abstractNum>
  <w:num w:numId="25">
    <w:abstractNumId w:val="24"/>
  </w:num>
  <w:abstractNum w:abstractNumId="25">
    <w:lvl w:ilvl="0">
      <w:start w:val="1"/>
      <w:numFmt w:val="bullet"/>
      <w:lvlText w:val="•"/>
      <w:lvlJc w:val="left"/>
      <w:pPr>
        <w:ind w:left="720" w:hanging="360"/>
      </w:pPr>
    </w:lvl>
  </w:abstractNum>
  <w:num w:numId="26">
    <w:abstractNumId w:val="25"/>
  </w:num>
  <w:abstractNum w:abstractNumId="26">
    <w:lvl w:ilvl="0">
      <w:start w:val="1"/>
      <w:numFmt w:val="bullet"/>
      <w:lvlText w:val="•"/>
      <w:lvlJc w:val="left"/>
      <w:pPr>
        <w:ind w:left="720" w:hanging="360"/>
      </w:pPr>
    </w:lvl>
  </w:abstractNum>
  <w:num w:numId="27">
    <w:abstractNumId w:val="26"/>
  </w:num>
  <w:abstractNum w:abstractNumId="27">
    <w:lvl w:ilvl="0">
      <w:start w:val="1"/>
      <w:numFmt w:val="bullet"/>
      <w:lvlText w:val="•"/>
      <w:lvlJc w:val="left"/>
      <w:pPr>
        <w:ind w:left="720" w:hanging="360"/>
      </w:pPr>
    </w:lvl>
  </w:abstractNum>
  <w:num w:numId="28">
    <w:abstractNumId w:val="27"/>
  </w:num>
  <w:abstractNum w:abstractNumId="28">
    <w:lvl w:ilvl="0">
      <w:start w:val="1"/>
      <w:numFmt w:val="bullet"/>
      <w:lvlText w:val="•"/>
      <w:lvlJc w:val="left"/>
      <w:pPr>
        <w:ind w:left="720" w:hanging="360"/>
      </w:pPr>
    </w:lvl>
  </w:abstractNum>
  <w:num w:numId="29">
    <w:abstractNumId w:val="28"/>
  </w:num>
  <w:abstractNum w:abstractNumId="29">
    <w:lvl w:ilvl="0">
      <w:start w:val="1"/>
      <w:numFmt w:val="decimal"/>
      <w:lvlText w:val="%1."/>
      <w:lvlJc w:val="left"/>
      <w:pPr>
        <w:ind w:left="720" w:hanging="360"/>
      </w:pPr>
    </w:lvl>
  </w:abstractNum>
  <w:num w:numId="30">
    <w:abstractNumId w:val="29"/>
  </w:num>
  <w:abstractNum w:abstractNumId="30">
    <w:lvl w:ilvl="0">
      <w:start w:val="1"/>
      <w:numFmt w:val="bullet"/>
      <w:lvlText w:val="•"/>
      <w:lvlJc w:val="left"/>
      <w:pPr>
        <w:ind w:left="720" w:hanging="360"/>
      </w:pPr>
    </w:lvl>
  </w:abstractNum>
  <w:num w:numId="31">
    <w:abstractNumId w:val="30"/>
  </w:num>
  <w:abstractNum w:abstractNumId="31">
    <w:lvl w:ilvl="0">
      <w:start w:val="1"/>
      <w:numFmt w:val="bullet"/>
      <w:lvlText w:val="•"/>
      <w:lvlJc w:val="left"/>
      <w:pPr>
        <w:ind w:left="720" w:hanging="360"/>
      </w:pPr>
    </w:lvl>
  </w:abstractNum>
  <w:num w:numId="32">
    <w:abstractNumId w:val="31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table" w:default="1" w:styleId="TableNormal">
    <w:name w:val="Normal Table"/>
    <w:uiPriority w:val="99"/>
    <w:semiHidden w:val="1"/>
    <w:unhideWhenUsed w:val="1"/>
  </w:style>
  <w:style w:type="paragraph" w:styleId="Normal">
    <w:name w:val="Normal"/>
  </w:style>
  <w:style w:type="paragraph" w:styleId="Heading1">
    <w:name w:val="heading 1"/>
    <w:basedOn w:val="Normal"/>
    <w:pPr>
      <w:spacing w:before="240" w:after="120"/>
      <w:outlineLvl w:val="0"/>
    </w:pPr>
    <w:rPr>
      <w:b/>
      <w:color w:val="2F5496"/>
      <w:sz w:val="56"/>
      <w:szCs w:val="56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color w:val="2F5496"/>
      <w:sz w:val="44"/>
      <w:szCs w:val="44"/>
    </w:rPr>
  </w:style>
  <w:style w:type="paragraph" w:styleId="Heading3">
    <w:name w:val="heading 3"/>
    <w:basedOn w:val="Normal"/>
    <w:pPr>
      <w:spacing w:before="240" w:after="120"/>
      <w:outlineLvl w:val="2"/>
    </w:pPr>
    <w:rPr>
      <w:b/>
      <w:color w:val="1F3864"/>
      <w:sz w:val="32"/>
      <w:szCs w:val="32"/>
    </w:rPr>
  </w:style>
  <w:style w:type="paragraph" w:styleId="Heading4">
    <w:name w:val="heading 4"/>
    <w:basedOn w:val="Normal"/>
    <w:pPr>
      <w:spacing w:before="240" w:after="120"/>
      <w:outlineLvl w:val="3"/>
    </w:pPr>
    <w:rPr>
      <w:b/>
      <w:i/>
      <w:color w:val="2F5496"/>
      <w:sz w:val="28"/>
      <w:szCs w:val="28"/>
    </w:rPr>
  </w:style>
  <w:style w:type="paragraph" w:styleId="Heading5">
    <w:name w:val="heading 5"/>
    <w:basedOn w:val="Normal"/>
    <w:pPr>
      <w:spacing w:before="240" w:after="120"/>
      <w:outlineLvl w:val="4"/>
    </w:pPr>
    <w:rPr>
      <w:b/>
      <w:color w:val="2F5496"/>
      <w:sz w:val="24"/>
      <w:szCs w:val="24"/>
    </w:rPr>
  </w:style>
  <w:style w:type="paragraph" w:styleId="Heading6">
    <w:name w:val="heading 6"/>
    <w:basedOn w:val="Normal"/>
    <w:pPr>
      <w:spacing w:before="240" w:after="120"/>
      <w:outlineLvl w:val="5"/>
    </w:pPr>
    <w:rPr>
      <w:b/>
      <w:i/>
      <w:color w:val="1F3864"/>
      <w:sz w:val="22"/>
      <w:szCs w:val="22"/>
    </w:rPr>
  </w:style>
  <w:style w:type="paragraph" w:styleId="ListParagraph">
    <w:name w:val="List Paragraph"/>
  </w:style>
  <w:style w:type="paragraph" w:styleId="Code">
    <w:name w:val="Code"/>
    <w:pPr>
      <w:shd w:val="clear" w:fill="F0F0F0" w:color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AI赋能网络空间安全——基于CNN-BiLSTM的SDN智能入侵检测与主动防御系统（修订版）</dc:title>
</cp:coreProperties>
</file>