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  <w:r>
        <w:rPr>
          <w:sz w:val="8"/>
          <w:szCs w:val="8"/>
        </w:rPr>
        <w:t xml:space="preserve"/>
      </w:r>
    </w:p>
    <w:p>
      <w:pPr>
        <w:jc w:val="center"/>
      </w:pPr>
      <w:r>
        <w:rPr>
          <w:b/>
          <w:bCs/>
          <w:color w:val="1F3864"/>
          <w:sz w:val="84"/>
          <w:szCs w:val="84"/>
        </w:rPr>
        <w:t xml:space="preserve">NeoGov</w:t>
      </w:r>
    </w:p>
    <w:p>
      <w:pPr>
        <w:spacing w:after="80" w:before="120"/>
        <w:jc w:val="center"/>
      </w:pPr>
      <w:r>
        <w:rPr>
          <w:color w:val="2E6DA4"/>
          <w:sz w:val="40"/>
          <w:szCs w:val="40"/>
        </w:rPr>
        <w:t xml:space="preserve">Plano de Negócio</w:t>
      </w:r>
    </w:p>
    <w:p>
      <w:pPr>
        <w:jc w:val="center"/>
      </w:pPr>
      <w:r>
        <w:rPr>
          <w:i/>
          <w:iCs/>
          <w:color w:val="595959"/>
          <w:sz w:val="24"/>
          <w:szCs w:val="24"/>
        </w:rPr>
        <w:t xml:space="preserve">Conformidade LGPD em escala industrial</w:t>
      </w:r>
    </w:p>
    <w:p>
      <w:pPr>
        <w:spacing w:before="3000"/>
        <w:jc w:val="center"/>
      </w:pPr>
      <w:r>
        <w:rPr>
          <w:color w:val="595959"/>
          <w:sz w:val="18"/>
          <w:szCs w:val="18"/>
        </w:rPr>
        <w:t xml:space="preserve">Documento preparado para leitura por investidores e equipe</w:t>
      </w:r>
    </w:p>
    <w:p>
      <w:pPr>
        <w:jc w:val="center"/>
      </w:pPr>
      <w:r>
        <w:rPr>
          <w:color w:val="8A8A8A"/>
          <w:sz w:val="16"/>
          <w:szCs w:val="16"/>
        </w:rPr>
        <w:t xml:space="preserve">Linguagem direta · sem jargão · com glossário ao final</w:t>
      </w:r>
    </w:p>
    <w:p>
      <w:r>
        <w:br w:type="page"/>
      </w:r>
    </w:p>
    <w:p>
      <w:pPr>
        <w:pStyle w:val="Heading1"/>
      </w:pPr>
      <w:r>
        <w:t xml:space="preserve">Conteúdo</w:t>
      </w:r>
    </w:p>
    <w:sdt>
      <w:sdtPr>
        <w:alias w:val="Conteú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Carta ao leitor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Este documento explica, em linguagem direta, o que é a NeoGov, por que ela faz sentido como negócio e o que estamos pedindo a um investidor. Foi escrito para ser entendido por qualquer pessoa — não só por especialistas em direito digital ou finanças. Onde usamos um termo técnico, ele vem explicado na hora.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Uma promessa de honestidade: este plano mostra tanto a oportunidade quanto os riscos, inclusive o mais desconfortável deles. Preferimos um investidor que decide com os olhos abertos.</w:t>
      </w:r>
    </w:p>
    <w:p>
      <w:r>
        <w:br w:type="page"/>
      </w:r>
    </w:p>
    <w:p>
      <w:pPr>
        <w:pStyle w:val="Heading1"/>
      </w:pPr>
      <w:r>
        <w:t xml:space="preserve">1. O problema que resolvemos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 LGPD — a lei brasileira de proteção de dados (Lei 13.709/2018) — obriga praticamente toda organização que lida com dados de pessoas a se adequar. Isso vale para 5.570 municípios, dezenas de milhares de hospitais e escolas, mais de 13 mil cartórios e milhões de empresas. A fiscalização existe e multas já são aplicadas.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O problema não é a falta de demanda — a lei a torna obrigatória. O problema é como o mercado atende essa demanda hoje: através de consultoria artesanal, feita pessoa a pessoa, num modelo caro e lento. Como referência, a própria equipe relata projetos na casa de R$600 mil ao longo de 12 meses (esse número vem da experiência direta dos sócios no setor, não de uma tabela pública de mercado — e é honesto dizer isso).</w:t>
      </w:r>
    </w:p>
    <w:p>
      <w:pPr>
        <w:pBdr>
          <w:left w:val="single" w:color="2E7D5B" w:sz="18" w:space="14"/>
        </w:pBdr>
        <w:shd w:fill="EAF1F8" w:val="clear"/>
        <w:spacing w:after="160" w:before="120"/>
        <w:ind w:left="200" w:right="160"/>
      </w:pPr>
      <w:r>
        <w:rPr>
          <w:i/>
          <w:iCs/>
          <w:color w:val="1A3A2E"/>
          <w:sz w:val="21"/>
          <w:szCs w:val="21"/>
        </w:rPr>
        <w:t xml:space="preserve">A consequência: quem precisa de conformidade mas não tem orçamento de grande empresa — um município pequeno, uma escola, um cartório de porte médio — simplesmente fica de fora. Existe uma fila de clientes obrigados por lei que o modelo atual não consegue servir.</w:t>
      </w:r>
    </w:p>
    <w:p>
      <w:pPr>
        <w:pStyle w:val="Heading2"/>
      </w:pPr>
      <w:r>
        <w:t xml:space="preserve">Por que o modelo atual não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o mercado atende hoje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isso trava o crescimento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Diagnóstico manual, um cliente por vez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 custo cresce na mesma proporção que a receita — não há ganho de escala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Consultor sênior preso a cada projeto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 pessoa vira o gargalo: não dá para clonar especialista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Preço alto (referência R$600 mil)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Exclui a base da pirâmide, que é o maior número de clientes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Nossa solução: industrializar a conformidade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 ideia central em uma frase: transformar conformidade LGPD de trabalho artesanal em produto industrial.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Não se trata de "fazer a mesma consultoria, só que mais barato". Trata-se de mudar a natureza da operação. Em vez de um especialista recomeçar do zero a cada cliente, a NeoGov usa produtos padronizados e configuráveis, apoiados por uma inteligência artificial própria, com a metodologia jurídica embutida no sistema.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Uma analogia útil: a diferença entre um alfaiate (faz uma peça por vez, sob medida, caro) e uma fábrica de roupas bem ajustadas (mesma estrutura, tamanhos configuráveis, escala). A NeoGov é a fábrica — sem deixar de vestir bem cada cliente.</w:t>
      </w:r>
    </w:p>
    <w:p>
      <w:pPr>
        <w:pStyle w:val="Heading2"/>
      </w:pPr>
      <w:r>
        <w:t xml:space="preserve">De onde vêm os produtos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Não inventamos funcionalidades por palpite. Observamos que quatro problemas se repetem em todos os tipos de cliente: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Descobrir onde estão os dados pessoais dentro da organização (mapeamento)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Anonimizar dados conciliando transparência pública e privacidade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Ter um encarregado de dados (função exigida por lei) sem contratar um time caro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Integrar dados espalhados em sistemas antigos que não conversam entre si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Os cinco produtos da NeoGov são a resposta direta a esses quatro problemas. O mercado nos disse o que construir — não o contrário.</w:t>
      </w:r>
    </w:p>
    <w:p>
      <w:pPr>
        <w:pStyle w:val="Heading2"/>
      </w:pPr>
      <w:r>
        <w:t xml:space="preserve">Por que a inteligência artificial é própria (e isso importa)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Tomamos uma decisão técnica que parece detalhe, mas é estratégica: a IA da NeoGov é treinada e operada pela própria empresa, não alugada de um fornecedor externo.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 razão é simples e difícil de contestar: somos uma empresa de proteção de dados. Se enviássemos os dados sensíveis dos clientes para processar numa IA de terceiros, estaríamos criando exatamente o risco que vendemos proteção contra. Seria uma contradição fatal no coração do produto. Além disso, o modelo próprio vira um ativo da empresa — não um custo recorrente que engorda o fornecedor e não deixa nada para nós.</w:t>
      </w:r>
    </w:p>
    <w:p>
      <w:r>
        <w:br w:type="page"/>
      </w:r>
    </w:p>
    <w:p>
      <w:pPr>
        <w:pStyle w:val="Heading1"/>
      </w:pPr>
      <w:r>
        <w:t xml:space="preserve">3. O tamanho da oportunidade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É comum ver planos de negócio anunciarem um "mercado de bilhões". Esse número costuma ser fantasia. Preferimos ser concretos e mostrar três camadas, do sonho ao realista: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Leitura honesta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Mercado total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Tudo que a LGPD regula no Brasil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Enorme — mas ninguém captura tudo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Mercado endereçável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Os 5 segmentos que nosso modelo atende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 que é viável servir de fato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Mercado capturável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 que o plano realmente projeta atingir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 número em que apostamos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Os cinco segmentos que atendemos: governo municipal, saúde, educação, profissionais que precisam de encarregado de dados, e cartórios. Para cada um há uma faixa de preço calibrada — ao todo, 21 faixas de preço validadas, cobrindo desde o cliente pequeno até o grande.</w:t>
      </w:r>
    </w:p>
    <w:p>
      <w:pPr>
        <w:pBdr>
          <w:left w:val="single" w:color="2E7D5B" w:sz="18" w:space="14"/>
        </w:pBdr>
        <w:shd w:fill="EAF1F8" w:val="clear"/>
        <w:spacing w:after="160" w:before="120"/>
        <w:ind w:left="200" w:right="160"/>
      </w:pPr>
      <w:r>
        <w:rPr>
          <w:i/>
          <w:iCs/>
          <w:color w:val="1A3A2E"/>
          <w:sz w:val="21"/>
          <w:szCs w:val="21"/>
        </w:rPr>
        <w:t xml:space="preserve">O ponto que dá credibilidade: nosso plano financeiro não depende de dominar o mercado. Ele funciona capturando uma fração pequena — menos de 2% do universo total de clientes obrigados. Um negócio que vence precisando de pouco espaço é muito mais crível do que um que precisa vencer o mercado inteiro.</w:t>
      </w:r>
    </w:p>
    <w:p>
      <w:r>
        <w:br w:type="page"/>
      </w:r>
    </w:p>
    <w:p>
      <w:pPr>
        <w:pStyle w:val="Heading1"/>
      </w:pPr>
      <w:r>
        <w:t xml:space="preserve">4. Como ganhamos dinheiro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O modelo é assinatura recorrente (como uma mensalidade de software), com preço ajustado ao porte e ao segmento do cliente. Os cinco segmentos e suas faixas de preço mensal: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Faixa de preço mensal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Governo municipal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R$ 5.458 a R$ 50.000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Conforme porte e modalidade de contratação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Saúde (hospitais/clínicas)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R$ 12.000 a R$ 65.000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Inclui implantação no primeiro ano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Educação (escolas/redes)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R$ 597 a R$ 5.000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Escala por tamanho da rede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Profissionais (encarregado de dados)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R$ 797 a R$ 997 por posição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Modelo por assento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Cartórios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R$ 597 a R$ 30.000+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Cinco faixas conforme porte do cartório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Por que a faixa de cartório é tão larga? Porque um cartório pequeno e um cartório grande são realidades muito diferentes — tratá-los com o mesmo preço seria errar nos dois. Os maiores entram numa faixa sob medida.</w:t>
      </w:r>
    </w:p>
    <w:p>
      <w:pPr>
        <w:pStyle w:val="Heading2"/>
      </w:pPr>
      <w:r>
        <w:t xml:space="preserve">A mecânica que torna a margem possível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 NeoGov tem custo fixo relevante (a plataforma e a equipe central) e custo muito baixo para atender cada cliente adicional. Essa combinação — custo fixo alto, custo por cliente baixo — é o que faz a margem crescer conforme o número de clientes aumenta.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 consultoria tradicional não consegue isso: o custo dela cresce a cada cliente (precisa de mais um consultor). É uma diferença estrutural, não de eficiência. É por isso que somos um negócio de software, não uma consultoria disfarçada.</w:t>
      </w:r>
    </w:p>
    <w:p>
      <w:r>
        <w:br w:type="page"/>
      </w:r>
    </w:p>
    <w:p>
      <w:pPr>
        <w:pStyle w:val="Heading1"/>
      </w:pPr>
      <w:r>
        <w:t xml:space="preserve">5. Os números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Estes são os números centrais do plano. Todos derivam do mesmo modelo financeiro, calibrado sobre as faixas de preço validadas.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Ponto de equilíbrio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37 clientes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 partir daqui a empresa para de queimar caixa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Cenário de sucesso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163 clientes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Receita recorrente de ~R$ 12 milhões/ano, margem de 49%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Valor esperado em 5 anos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R$ 19,6 milhões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Média ponderada dos cenários (pessimista a otimista)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Pior cenário (downside)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+R$ 2,1 milhões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Mesmo no caso ruim, o projeto devolve dinheiro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Melhor cenário (upside)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até R$ 38,8 milhões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 ganho possível se a execução for forte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O detalhe mais importante desta tabela não é o número grande — é o pior cenário. Modelamos explicitamente o caso em que nem tudo dá certo, e mesmo nele o projeto retorna mais do que consome. Um investimento em que o lado ruim ainda devolve capital tem um perfil de risco raro.</w:t>
      </w:r>
    </w:p>
    <w:p>
      <w:pPr>
        <w:pStyle w:val="Heading2"/>
      </w:pPr>
      <w:r>
        <w:t xml:space="preserve">O que ainda vamos medir (e por que isso é honesto)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Alguns números deste plano são estimativas fundamentadas, não medições de campo — porque a empresa ainda não rodou o piloto comercial. São eles, principalmente: a disposição real de pagamento de cada segmento, o custo real de atender cada cliente, e o desempenho da IA própria em produção.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Não escondemos isso atrás de números bonitos. O piloto existe justamente para transformar essas estimativas em fatos. Quando um plano lista o que ainda precisa medir, ele está sendo mais confiável, não menos.</w:t>
      </w:r>
    </w:p>
    <w:p>
      <w:r>
        <w:br w:type="page"/>
      </w:r>
    </w:p>
    <w:p>
      <w:pPr>
        <w:pStyle w:val="Heading1"/>
      </w:pPr>
      <w:r>
        <w:t xml:space="preserve">6. O que estamos pedindo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Pedimos um aporte de R$ 3,5 milhões.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Esse número não foi escolhido por ambição. Ele foi calculado para a empresa sobreviver ao pior cenário de queima de caixa, com uma folga de segurança e fôlego de 12 meses. Pedir o mínimo necessário para atravessar o vale — não o máximo que daria para pedir — é uma escolha deliberada de disciplina.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do aporte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Proporção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Sobrevivência operacional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35%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Cobrir custo fixo até o ponto de equilíbrio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IA própria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Desenvolver o modelo que é o coração do produto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Entrada no primeiro segmento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Estratégia comercial da primeira onda (governo)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Reserva de segurança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Margem para imprevistos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Em troca, propomos uma participação na faixa de 15% a 30%, a ajustar conforme a negociação e a validação do piloto.</w:t>
      </w:r>
    </w:p>
    <w:p>
      <w:r>
        <w:br w:type="page"/>
      </w:r>
    </w:p>
    <w:p>
      <w:pPr>
        <w:pStyle w:val="Heading1"/>
      </w:pPr>
      <w:r>
        <w:t xml:space="preserve">7. Os riscos (incluindo o que ninguém gosta de falar)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Todo plano tem riscos. O nosso tem um que merece destaque, e vamos dizê-lo sem rodeios.</w:t>
      </w:r>
    </w:p>
    <w:p>
      <w:pPr>
        <w:pBdr>
          <w:left w:val="single" w:color="2E7D5B" w:sz="18" w:space="14"/>
        </w:pBdr>
        <w:shd w:fill="EAF1F8" w:val="clear"/>
        <w:spacing w:after="160" w:before="120"/>
        <w:ind w:left="200" w:right="160"/>
      </w:pPr>
      <w:r>
        <w:rPr>
          <w:i/>
          <w:iCs/>
          <w:color w:val="1A3A2E"/>
          <w:sz w:val="21"/>
          <w:szCs w:val="21"/>
        </w:rPr>
        <w:t xml:space="preserve">O maior risco da NeoGov não está na planilha. Está na mesa de sócios. A coesão da equipe fundadora não está consolidada — e numa empresa em estágio inicial, uma fratura entre sócios antes da receita é capaz de encerrar o negócio. Esse risco é real e o estamos nomeando de propósito.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Por que colocar isso por escrito, num documento que vai a investidores? Por três razões. Primeiro, um investidor sério descobre isso na diligência de qualquer forma — melhor ouvir de nós. Segundo, ser honesto sobre o risco mais difícil dá credibilidade a tudo o que afirmamos sobre os números. Terceiro, transforma um problema difuso em uma lista de ações concretas.</w:t>
      </w:r>
    </w:p>
    <w:p>
      <w:pPr>
        <w:pStyle w:val="Heading2"/>
      </w:pPr>
      <w:r>
        <w:t xml:space="preserve">O que será feito antes da captação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Acordo de sócios formalizado, com regras claras de decisão e de saída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Estrutura de governança definida (quem decide o quê)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Mecanismos de retenção e vesting estruturados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Esses pontos são pré-requisito da rodada — não promessas vagas. Resolver a governança antes de vender é construir sobre base firme, não sobre areia.</w:t>
      </w:r>
    </w:p>
    <w:p>
      <w:pPr>
        <w:pStyle w:val="Heading2"/>
      </w:pPr>
      <w:r>
        <w:t xml:space="preserve">Outros riscos monitorados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mitigamos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Dependência de um único canal comercial (governo)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Diversificar para saúde e educação nas ondas seguintes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 IA própria não performar como esperado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Validar com prova de conceito ANTES de prometer ao cliente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Entrada de concorrente com IA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Janela de tempo a nosso favor; mercado ainda não consolidado</w:t>
            </w:r>
          </w:p>
        </w:tc>
      </w:tr>
      <w:tr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Ciclo de venda no setor público ser longo</w:t>
            </w:r>
          </w:p>
        </w:tc>
        <w:tc>
          <w:tcPr>
            <w:tcW w:type="dxa" w:w="468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Modelo de ondas em que cada etapa financia a próxima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O caminho à frente</w:t>
      </w:r>
    </w:p>
    <w:p>
      <w:pPr>
        <w:spacing w:after="140" w:line="300"/>
      </w:pPr>
      <w:r>
        <w:rPr>
          <w:color w:val="242424"/>
          <w:sz w:val="21"/>
          <w:szCs w:val="21"/>
        </w:rPr>
        <w:t xml:space="preserve">A estratégia não é atacar tudo ao mesmo tempo. É uma sequência de ondas em que cada uma gera o caixa que financia a próxima — crescimento que se autofinancia, reduzindo a dependência de capital externo ao longo do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Marco de sucesso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Antes da rodada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Acordo de sócios e governança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Resolver o maior risco primeiro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Onda 1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Governo municipal (motor de caixa)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Tração inicial na trajetória projetada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Onda 2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Saúde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Margem confirmada acima de 60%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Onda 3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Educação (escala)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Ponto de equilíbrio superado</w:t>
            </w:r>
          </w:p>
        </w:tc>
      </w:tr>
      <w:tr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Ondas seguintes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Demais segmentos e federação</w:t>
            </w:r>
          </w:p>
        </w:tc>
        <w:tc>
          <w:tcPr>
            <w:tcW w:type="dxa" w:w="3120"/>
            <w:tcBorders>
              <w:top w:val="single" w:color="C5D4E3" w:sz="1"/>
              <w:left w:val="single" w:color="C5D4E3" w:sz="1"/>
              <w:bottom w:val="single" w:color="C5D4E3" w:sz="1"/>
              <w:right w:val="single" w:color="C5D4E3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Cenário de sucesso atingido (163 clientes)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pBdr>
          <w:left w:val="single" w:color="2E7D5B" w:sz="18" w:space="14"/>
        </w:pBdr>
        <w:shd w:fill="EAF1F8" w:val="clear"/>
        <w:spacing w:after="160" w:before="120"/>
        <w:ind w:left="200" w:right="160"/>
      </w:pPr>
      <w:r>
        <w:rPr>
          <w:i/>
          <w:iCs/>
          <w:color w:val="1A3A2E"/>
          <w:sz w:val="21"/>
          <w:szCs w:val="21"/>
        </w:rPr>
        <w:t xml:space="preserve">Em resumo: a NeoGov pede o capital mínimo para sobreviver ao pior cenário e provar uma tese onde até o lado ruim devolve dinheiro. O maior risco está na mesa de sócios, não na planilha — e estamos dizendo isso porque preferimos um investidor de olhos abertos. O resto é execução disciplinada de uma sequência onde cada onda paga a próxima.</w:t>
      </w:r>
    </w:p>
    <w:p>
      <w:r>
        <w:br w:type="page"/>
      </w:r>
    </w:p>
    <w:p>
      <w:pPr>
        <w:pStyle w:val="Heading1"/>
      </w:pPr>
      <w:r>
        <w:t xml:space="preserve">Glossário (para quem quiser o detalhe técnico)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LGPD  </w:t>
      </w:r>
      <w:r>
        <w:rPr>
          <w:color w:val="333333"/>
          <w:sz w:val="20"/>
          <w:szCs w:val="20"/>
        </w:rPr>
        <w:t xml:space="preserve">— Lei Geral de Proteção de Dados (Lei 13.709/2018) — a lei brasileira que regula o uso de dados pessoais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Receita recorrente  </w:t>
      </w:r>
      <w:r>
        <w:rPr>
          <w:color w:val="333333"/>
          <w:sz w:val="20"/>
          <w:szCs w:val="20"/>
        </w:rPr>
        <w:t xml:space="preserve">— Dinheiro que entra de forma repetida (ex.: mensalidade), em vez de venda única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Ponto de equilíbrio  </w:t>
      </w:r>
      <w:r>
        <w:rPr>
          <w:color w:val="333333"/>
          <w:sz w:val="20"/>
          <w:szCs w:val="20"/>
        </w:rPr>
        <w:t xml:space="preserve">— Número de clientes a partir do qual a empresa para de ter prejuízo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Valor esperado  </w:t>
      </w:r>
      <w:r>
        <w:rPr>
          <w:color w:val="333333"/>
          <w:sz w:val="20"/>
          <w:szCs w:val="20"/>
        </w:rPr>
        <w:t xml:space="preserve">— Média dos resultados possíveis, ponderada pela chance de cada um acontecer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Downside / Upside  </w:t>
      </w:r>
      <w:r>
        <w:rPr>
          <w:color w:val="333333"/>
          <w:sz w:val="20"/>
          <w:szCs w:val="20"/>
        </w:rPr>
        <w:t xml:space="preserve">— O pior cenário plausível / o melhor cenário plausível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Encarregado de dados  </w:t>
      </w:r>
      <w:r>
        <w:rPr>
          <w:color w:val="333333"/>
          <w:sz w:val="20"/>
          <w:szCs w:val="20"/>
        </w:rPr>
        <w:t xml:space="preserve">— Função exigida pela LGPD: a pessoa responsável por proteção de dados na organização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Vesting  </w:t>
      </w:r>
      <w:r>
        <w:rPr>
          <w:color w:val="333333"/>
          <w:sz w:val="20"/>
          <w:szCs w:val="20"/>
        </w:rPr>
        <w:t xml:space="preserve">— Mecanismo em que a participação de um sócio é conquistada ao longo do tempo, não de imediato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Margem  </w:t>
      </w:r>
      <w:r>
        <w:rPr>
          <w:color w:val="333333"/>
          <w:sz w:val="20"/>
          <w:szCs w:val="20"/>
        </w:rPr>
        <w:t xml:space="preserve">— Quanto sobra de cada real de receita depois dos custos</w:t>
      </w:r>
    </w:p>
    <w:sectPr>
      <w:headerReference w:type="default" r:id="rId7"/>
      <w:footerReference w:type="default" r:id="rId8"/>
      <w:pgSz w:w="12240" w:h="15840" w:orient="portrait"/>
      <w:pgMar w:top="1500" w:right="1500" w:bottom="144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0A0"/>
        <w:sz w:val="15"/>
        <w:szCs w:val="15"/>
      </w:rPr>
      <w:t xml:space="preserve">Página </w:t>
    </w:r>
    <w:r>
      <w:rPr>
        <w:color w:val="A0A0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5"/>
        <w:szCs w:val="15"/>
      </w:rPr>
      <w:t xml:space="preserve">NeoGov · Plano de Negócio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300"/>
      </w:pPr>
      <w:rPr>
        <w:color w:val="2E7D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A4" w:sz="6" w:space="6"/>
      </w:pBdr>
      <w:spacing w:after="200" w:before="28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6D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2026-05-17T00:42:29.582Z</dcterms:created>
  <dcterms:modified xsi:type="dcterms:W3CDTF">2026-05-17T00:42:29.582Z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