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727"/>
        <w:jc w:val="center"/>
      </w:pPr>
      <w:r>
        <w:rPr>
          <w:sz w:val="22"/>
          <w:szCs w:val="22"/>
        </w:rPr>
        <w:t xml:space="preserve"/>
      </w:r>
    </w:p>
    <w:p>
      <w:pPr>
        <w:spacing w:after="100" w:before="200"/>
        <w:jc w:val="center"/>
      </w:pPr>
      <w:r>
        <w:rPr>
          <w:b/>
          <w:bCs/>
          <w:color w:val="1B3A6B"/>
          <w:sz w:val="72"/>
          <w:szCs w:val="72"/>
        </w:rPr>
        <w:t xml:space="preserve">NEOGOV</w:t>
      </w:r>
    </w:p>
    <w:p>
      <w:pPr>
        <w:spacing w:after="200" w:before="0"/>
        <w:jc w:val="center"/>
      </w:pPr>
      <w:r>
        <w:rPr>
          <w:b/>
          <w:bCs/>
          <w:color w:val="C9A84C"/>
          <w:sz w:val="30"/>
          <w:szCs w:val="30"/>
        </w:rPr>
        <w:t xml:space="preserve">BUSINESS PLAN ESTRATÉGICO 2026–2029</w:t>
      </w:r>
    </w:p>
    <w:p>
      <w:pPr>
        <w:pBdr>
          <w:top w:val="single" w:color="C9A84C" w:sz="8" w:space="1"/>
          <w:bottom w:val="single" w:color="C9A84C" w:sz="8" w:space="1"/>
        </w:pBdr>
        <w:spacing w:after="100" w:before="100"/>
        <w:jc w:val="center"/>
      </w:pPr>
      <w:r>
        <w:rPr>
          <w:i/>
          <w:iCs/>
          <w:color w:val="1B3A6B"/>
          <w:sz w:val="24"/>
          <w:szCs w:val="24"/>
        </w:rPr>
        <w:t xml:space="preserve">Plataforma de Middleware LGPD por Cluster Vertical</w:t>
      </w:r>
    </w:p>
    <w:p>
      <w:pPr>
        <w:spacing w:before="400"/>
      </w:pPr>
    </w:p>
    <w:p>
      <w:pPr>
        <w:spacing w:after="60" w:before="100"/>
        <w:jc w:val="center"/>
      </w:pPr>
      <w:r>
        <w:rPr>
          <w:b/>
          <w:bCs/>
          <w:color w:val="6B7280"/>
          <w:sz w:val="20"/>
          <w:szCs w:val="20"/>
        </w:rPr>
        <w:t xml:space="preserve">Metodologia:</w:t>
      </w:r>
    </w:p>
    <w:p>
      <w:pPr>
        <w:spacing w:after="60" w:before="0"/>
        <w:jc w:val="center"/>
      </w:pPr>
      <w:r>
        <w:rPr>
          <w:color w:val="6B7280"/>
          <w:sz w:val="20"/>
          <w:szCs w:val="20"/>
        </w:rPr>
        <w:t xml:space="preserve">MEEST-AE v2.1  |  S→Q→I→A  |  FDC-U v1.0  |  Sun Tzu 5 Fatores  |  VVV</w:t>
      </w:r>
    </w:p>
    <w:p>
      <w:pPr>
        <w:spacing w:before="800"/>
      </w:pPr>
    </w:p>
    <w:p>
      <w:pPr>
        <w:spacing w:after="60" w:before="100"/>
        <w:jc w:val="center"/>
      </w:pPr>
      <w:r>
        <w:rPr>
          <w:color w:val="6B7280"/>
          <w:sz w:val="20"/>
          <w:szCs w:val="20"/>
        </w:rPr>
        <w:t xml:space="preserve">Confidencial  |  Maio 2026</w:t>
      </w:r>
    </w:p>
    <w:p>
      <w:pPr>
        <w:spacing w:after="0" w:before="0"/>
        <w:jc w:val="center"/>
      </w:pPr>
      <w:r>
        <w:rPr>
          <w:color w:val="6B7280"/>
          <w:sz w:val="20"/>
          <w:szCs w:val="20"/>
        </w:rPr>
        <w:t xml:space="preserve">VVV Score: 0.96  |  PMQS: 9.12/10</w:t>
      </w:r>
    </w:p>
    <w:p>
      <w:pPr>
        <w:sectPr>
          <w:type w:val="nextPage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60" w:before="400"/>
      </w:pPr>
      <w:r>
        <w:rPr>
          <w:b/>
          <w:bCs/>
          <w:color w:val="1B3A6B"/>
          <w:sz w:val="32"/>
          <w:szCs w:val="32"/>
        </w:rPr>
        <w:t xml:space="preserve">PARTE I — SUMÁRIO EXECUTIVO</w:t>
      </w:r>
    </w:p>
    <w:p>
      <w:pPr>
        <w:pStyle w:val="Heading2"/>
        <w:spacing w:after="160" w:before="400"/>
      </w:pPr>
      <w:r>
        <w:rPr>
          <w:b/>
          <w:bCs/>
          <w:color w:val="1B3A6B"/>
          <w:sz w:val="26"/>
          <w:szCs w:val="26"/>
        </w:rPr>
        <w:t xml:space="preserve">1.1 Tese Central</w:t>
      </w:r>
    </w:p>
    <w:p>
      <w:pPr>
        <w:spacing w:after="80" w:before="80" w:line="312"/>
        <w:jc w:val="both"/>
      </w:pPr>
      <w:r>
        <w:rPr>
          <w:b w:val="false"/>
          <w:bCs w:val="false"/>
          <w:i w:val="false"/>
          <w:iCs w:val="false"/>
          <w:color w:val="1A1A2E"/>
          <w:sz w:val="22"/>
          <w:szCs w:val="22"/>
        </w:rPr>
        <w:t xml:space="preserve">A NeoGov é uma empresa brasileira de soluções LGPD/compliance posicionada num cruzamento estratégico único: expertise jurídica sólida (Simone), capital político com acesso a municípios e FNDE (Wilton), e capacidade tecnológica (Camila), operando num mercado de ~70.000+ entes regulamentados sem player dominante.</w:t>
      </w:r>
    </w:p>
    <w:p>
      <w:pPr>
        <w:spacing w:after="80" w:before="80" w:line="312"/>
        <w:jc w:val="both"/>
      </w:pPr>
      <w:r>
        <w:rPr>
          <w:b w:val="false"/>
          <w:bCs w:val="false"/>
          <w:i w:val="false"/>
          <w:iCs w:val="false"/>
          <w:color w:val="1A1A2E"/>
          <w:sz w:val="22"/>
          <w:szCs w:val="22"/>
        </w:rPr>
        <w:t xml:space="preserve">O produto central não é SaaS de checklist. É infraestrutura crítica de compliance — um middleware ETL/API que conecta nos sistemas dos clientes (prontuários hospitalares, sistemas escolares, plataformas municipais), extrai e processa dados pessoais continuamente, e gera alertas, RIPDs automáticos e notificações de incidentes. Dados fluindo pela infra NeoGov = switching cost real = moat defensável.</w:t>
      </w:r>
    </w:p>
    <w:p>
      <w:pPr>
        <w:spacing w:after="80" w:before="80" w:line="312"/>
        <w:jc w:val="both"/>
      </w:pPr>
      <w:r>
        <w:rPr>
          <w:b/>
          <w:bCs/>
          <w:color w:val="1A1A2E"/>
          <w:sz w:val="22"/>
          <w:szCs w:val="22"/>
        </w:rPr>
        <w:t xml:space="preserve">Diagnóstico Sun Tzu: </w:t>
      </w:r>
      <w:r>
        <w:rPr>
          <w:color w:val="1A1A2E"/>
          <w:sz w:val="22"/>
          <w:szCs w:val="22"/>
        </w:rPr>
        <w:t xml:space="preserve">Score 6.4/10 — timing e terreno excepcionais (TIAN=9, DI=8), mas comando e método críticos (JIANG=5, FA=3). </w:t>
      </w:r>
      <w:r>
        <w:rPr>
          <w:i/>
          <w:iCs/>
          <w:color w:val="1B3A6B"/>
          <w:sz w:val="22"/>
          <w:szCs w:val="22"/>
        </w:rPr>
        <w:t xml:space="preserve">"O Céu e a Terra favorecem — sem Método e Comando, a vitória é acidental."</w:t>
      </w:r>
    </w:p>
    <w:p>
      <w:pPr>
        <w:pStyle w:val="Heading2"/>
        <w:spacing w:after="160" w:before="400"/>
      </w:pPr>
      <w:r>
        <w:rPr>
          <w:b/>
          <w:bCs/>
          <w:color w:val="1B3A6B"/>
          <w:sz w:val="26"/>
          <w:szCs w:val="26"/>
        </w:rPr>
        <w:t xml:space="preserve">1.2 Números Chave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dxa" w:w="2000"/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Métrica</w:t>
            </w:r>
          </w:p>
        </w:tc>
        <w:tc>
          <w:tcPr>
            <w:tcW w:type="dxa" w:w="2000"/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  <w:tc>
          <w:tcPr>
            <w:tcW w:type="dxa" w:w="2000"/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Fonte</w:t>
            </w:r>
          </w:p>
        </w:tc>
      </w:tr>
      <w:tr>
        <w:trPr>
          <w:cantSplit/>
          <w:tblHeader w:val="false"/>
        </w:trP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Mercado endereçável total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~70k+ entes regulamentados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IBGE/INEP/CNES 2024</w:t>
            </w:r>
          </w:p>
        </w:tc>
      </w:tr>
      <w:tr>
        <w:trPr>
          <w:cantSplit/>
          <w:tblHeader w:val="false"/>
        </w:trP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Cluster prioritário (Gamma)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42.491 escolas privadas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INEP Censo 2024</w:t>
            </w:r>
          </w:p>
        </w:tc>
      </w:tr>
      <w:tr>
        <w:trPr>
          <w:cantSplit/>
          <w:tblHeader w:val="false"/>
        </w:trP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TAM Gamma ARR potencial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R$85–170M/ano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Estimativa FDC-U</w:t>
            </w:r>
          </w:p>
        </w:tc>
      </w:tr>
      <w:tr>
        <w:trPr>
          <w:cantSplit/>
          <w:tblHeader w:val="false"/>
        </w:trP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Investimento total 36 meses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R$7,4M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BSC-03</w:t>
            </w:r>
          </w:p>
        </w:tc>
      </w:tr>
      <w:tr>
        <w:trPr>
          <w:cantSplit/>
          <w:tblHeader w:val="false"/>
        </w:trP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Breakeven operacional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Mês 18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BSC-03</w:t>
            </w:r>
          </w:p>
        </w:tc>
      </w:tr>
      <w:tr>
        <w:trPr>
          <w:cantSplit/>
          <w:tblHeader w:val="false"/>
        </w:trP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ARR alvo M36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R$3M+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BSC-03</w:t>
            </w:r>
          </w:p>
        </w:tc>
      </w:tr>
      <w:tr>
        <w:trPr>
          <w:cantSplit/>
          <w:tblHeader w:val="false"/>
        </w:trP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Melhor LTV:CAC (Gamma)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24:1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BSC-03 Unit Economics</w:t>
            </w:r>
          </w:p>
        </w:tc>
      </w:tr>
      <w:tr>
        <w:trPr>
          <w:cantSplit/>
          <w:tblHeader w:val="false"/>
        </w:trP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VVV score consolidado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0.96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Multi-artefato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b/>
          <w:bCs/>
          <w:color w:val="1B3A6B"/>
          <w:sz w:val="32"/>
          <w:szCs w:val="32"/>
        </w:rPr>
        <w:t xml:space="preserve">PARTE II — DIAGNÓSTICO ESTRATÉGICO [S+Q]</w:t>
      </w:r>
    </w:p>
    <w:p>
      <w:pPr>
        <w:pStyle w:val="Heading2"/>
        <w:spacing w:after="160" w:before="400"/>
      </w:pPr>
      <w:r>
        <w:rPr>
          <w:b/>
          <w:bCs/>
          <w:color w:val="1B3A6B"/>
          <w:sz w:val="26"/>
          <w:szCs w:val="26"/>
        </w:rPr>
        <w:t xml:space="preserve">2.1 Os 5 Fatores Sun Tzu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dxa" w:w="2000"/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Fator</w:t>
            </w:r>
          </w:p>
        </w:tc>
        <w:tc>
          <w:tcPr>
            <w:tcW w:type="dxa" w:w="2000"/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W w:type="dxa" w:w="2000"/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Síntese</w:t>
            </w:r>
          </w:p>
        </w:tc>
      </w:tr>
      <w:tr>
        <w:trPr>
          <w:cantSplit/>
          <w:tblHeader w:val="false"/>
        </w:trP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/>
                <w:bCs/>
                <w:color w:val="1B3A6B"/>
                <w:sz w:val="18"/>
                <w:szCs w:val="18"/>
              </w:rPr>
              <w:t xml:space="preserve">DAO — Caminho/Propósito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7/10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Narrativa diferenciada por cluster. Fratura latente Wilton/Camila/Simone não resolvida.</w:t>
            </w:r>
          </w:p>
        </w:tc>
      </w:tr>
      <w:tr>
        <w:trPr>
          <w:cantSplit/>
          <w:tblHeader w:val="false"/>
        </w:trP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/>
                <w:bCs/>
                <w:color w:val="1B3A6B"/>
                <w:sz w:val="18"/>
                <w:szCs w:val="18"/>
              </w:rPr>
              <w:t xml:space="preserve">TIAN — Timing/Conjuntura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9/10 ↑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ANPD 2026-2027 prioriza saúde+crianças. ECA Digital Lei 15.211/2025 vigente março/2026.</w:t>
            </w:r>
          </w:p>
        </w:tc>
      </w:tr>
      <w:tr>
        <w:trPr>
          <w:cantSplit/>
          <w:tblHeader w:val="false"/>
        </w:trP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/>
                <w:bCs/>
                <w:color w:val="1B3A6B"/>
                <w:sz w:val="18"/>
                <w:szCs w:val="18"/>
              </w:rPr>
              <w:t xml:space="preserve">DI — Terreno/Mercado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8/10 ↑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Gamma oceano azul confirmado (zero SaaS dedicado). Beta competição incipiente.</w:t>
            </w:r>
          </w:p>
        </w:tc>
      </w:tr>
      <w:tr>
        <w:trPr>
          <w:cantSplit/>
          <w:tblHeader w:val="false"/>
        </w:trP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/>
                <w:bCs/>
                <w:color w:val="1B3A6B"/>
                <w:sz w:val="18"/>
                <w:szCs w:val="18"/>
              </w:rPr>
              <w:t xml:space="preserve">JIANG — Comando/Liderança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5/10 ↓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Fratura estrutural. Gaps críticos em produto SaaS, growth marketing e gestão de canal.</w:t>
            </w:r>
          </w:p>
        </w:tc>
      </w:tr>
      <w:tr>
        <w:trPr>
          <w:cantSplit/>
          <w:tblHeader w:val="false"/>
        </w:trP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/>
                <w:bCs/>
                <w:color w:val="1B3A6B"/>
                <w:sz w:val="18"/>
                <w:szCs w:val="18"/>
              </w:rPr>
              <w:t xml:space="preserve">FA — Método/Processos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3/10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Gargalo crítico. Sem CRM, sem métricas, plataforma status desconhecido (Gap VVV).</w:t>
            </w:r>
          </w:p>
        </w:tc>
      </w:tr>
      <w:tr>
        <w:trPr>
          <w:cantSplit/>
          <w:tblHeader w:val="false"/>
        </w:trP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/>
                <w:bCs/>
                <w:color w:val="1B3A6B"/>
                <w:sz w:val="18"/>
                <w:szCs w:val="18"/>
              </w:rPr>
              <w:t xml:space="preserve">AGREGADO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/>
                <w:bCs/>
                <w:color w:val="1B3A6B"/>
                <w:sz w:val="18"/>
                <w:szCs w:val="18"/>
              </w:rPr>
              <w:t xml:space="preserve">6.4/10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Preparação avançada. Resolver FA+JIANG para atingir 8.5+</w:t>
            </w:r>
          </w:p>
        </w:tc>
      </w:tr>
    </w:tbl>
    <w:p>
      <w:pPr>
        <w:spacing w:before="160"/>
      </w:pPr>
    </w:p>
    <w:p>
      <w:pPr>
        <w:pStyle w:val="Heading2"/>
        <w:spacing w:after="160" w:before="400"/>
      </w:pPr>
      <w:r>
        <w:rPr>
          <w:b/>
          <w:bCs/>
          <w:color w:val="1B3A6B"/>
          <w:sz w:val="26"/>
          <w:szCs w:val="26"/>
        </w:rPr>
        <w:t xml:space="preserve">2.2 Análise de Terreno por Cluster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dxa" w:w="2000"/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Cluster</w:t>
            </w:r>
          </w:p>
        </w:tc>
        <w:tc>
          <w:tcPr>
            <w:tcW w:type="dxa" w:w="2000"/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Estado do Terreno</w:t>
            </w:r>
          </w:p>
        </w:tc>
        <w:tc>
          <w:tcPr>
            <w:tcW w:type="dxa" w:w="2000"/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Competição</w:t>
            </w:r>
          </w:p>
        </w:tc>
        <w:tc>
          <w:tcPr>
            <w:tcW w:type="dxa" w:w="2000"/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Urgência</w:t>
            </w:r>
          </w:p>
        </w:tc>
      </w:tr>
      <w:tr>
        <w:trPr>
          <w:cantSplit/>
          <w:tblHeader w:val="false"/>
        </w:trP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/>
                <w:bCs/>
                <w:color w:val="1B3A6B"/>
                <w:sz w:val="18"/>
                <w:szCs w:val="18"/>
              </w:rPr>
              <w:t xml:space="preserve">Gamma — Educação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OCEANO AZUL confirmado — zero SaaS dedicado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Muito baixa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CRÍTICA — ECA Digital mar/2026</w:t>
            </w:r>
          </w:p>
        </w:tc>
      </w:tr>
      <w:tr>
        <w:trPr>
          <w:cantSplit/>
          <w:tblHeader w:val="false"/>
        </w:trP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/>
                <w:bCs/>
                <w:color w:val="1B3A6B"/>
                <w:sz w:val="18"/>
                <w:szCs w:val="18"/>
              </w:rPr>
              <w:t xml:space="preserve">Beta — Saúde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Competição incipiente — 3 players healthcare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Média-Alta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ALTA — ANPD foco saúde</w:t>
            </w:r>
          </w:p>
        </w:tc>
      </w:tr>
      <w:tr>
        <w:trPr>
          <w:cantSplit/>
          <w:tblHeader w:val="false"/>
        </w:trP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/>
                <w:bCs/>
                <w:color w:val="1B3A6B"/>
                <w:sz w:val="18"/>
                <w:szCs w:val="18"/>
              </w:rPr>
              <w:t xml:space="preserve">Delta — Associativos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Canal federação virtualmente vazio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Praticamente zero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MODERADA</w:t>
            </w:r>
          </w:p>
        </w:tc>
      </w:tr>
      <w:tr>
        <w:trPr>
          <w:cantSplit/>
          <w:tblHeader w:val="false"/>
        </w:trP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Alfa — Público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Já posicionada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Média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BAIXA (sem multa pecuniária)</w:t>
            </w:r>
          </w:p>
        </w:tc>
      </w:tr>
      <w:tr>
        <w:trPr>
          <w:cantSplit/>
          <w:tblHeader w:val="false"/>
        </w:trP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Epsilon — Pequenos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Cheio — SaaS commodity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Alta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Emergente</w:t>
            </w:r>
          </w:p>
        </w:tc>
      </w:tr>
      <w:tr>
        <w:trPr>
          <w:cantSplit/>
          <w:tblHeader w:val="false"/>
        </w:trP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Zeta — B2B Geral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Big4 dominam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Muito alta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Baixa</w:t>
            </w:r>
          </w:p>
        </w:tc>
      </w:tr>
    </w:tbl>
    <w:p>
      <w:pPr>
        <w:spacing w:before="160"/>
      </w:pPr>
    </w:p>
    <w:p>
      <w:pPr>
        <w:pStyle w:val="Heading2"/>
        <w:spacing w:after="160" w:before="400"/>
      </w:pPr>
      <w:r>
        <w:rPr>
          <w:b/>
          <w:bCs/>
          <w:color w:val="1B3A6B"/>
          <w:sz w:val="26"/>
          <w:szCs w:val="26"/>
        </w:rPr>
        <w:t xml:space="preserve">2.3 SWOT Consolidado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dxa" w:w="2000"/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Forças</w:t>
            </w:r>
          </w:p>
        </w:tc>
        <w:tc>
          <w:tcPr>
            <w:tcW w:type="dxa" w:w="2000"/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Fraquezas</w:t>
            </w:r>
          </w:p>
        </w:tc>
      </w:tr>
      <w:tr>
        <w:trPr>
          <w:cantSplit/>
          <w:tblHeader w:val="false"/>
        </w:trP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S1. ETL/Middleware = moat real por cluster
S2. Domínio jurídico LGPD (Simone)
S3. Capital político (Wilton/FNDE)
S4. Metodologia 4 fases validada
S5. Cases reais setor público
S6. Status Instituto (autoridade)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W1. Plataforma status CRÍTICO [Gap VVV]
W2. Modelo fee-for-service não escala
W3. Sem CRM/pipeline
W4. Sem unit economics medidos
W5. Equipe sem competência SaaS/growth
W6. Fratura liderança não resolvida</w:t>
            </w:r>
          </w:p>
        </w:tc>
      </w:tr>
    </w:tbl>
    <w:p>
      <w:pPr>
        <w:spacing w:before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dxa" w:w="2000"/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Oportunidades</w:t>
            </w:r>
          </w:p>
        </w:tc>
        <w:tc>
          <w:tcPr>
            <w:tcW w:type="dxa" w:w="2000"/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Ameaças</w:t>
            </w:r>
          </w:p>
        </w:tc>
      </w:tr>
      <w:tr>
        <w:trPr>
          <w:cantSplit/>
          <w:tblHeader w:val="false"/>
        </w:trP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O1. Gamma oceano azul confirmado
O2. ECA Digital mar/2026 urgência regulatória
O3. ANPD 2026-2027 prioriza saúde+crianças
O4. ~70k+ privados sem player dominante
O5. ETL = switching cost alto (infraestrutura crítica)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T1. Confidata/Be Compliance/Safetyfyi em healthcare
T2. Plataforma inexistente no lançamento ETL
T3. Conflitos internos paralisarem &gt;60 dias
T4. Competidor captar R$20M+ e ir all-in
T5. Big4 productizar LGPD para médias empresas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b/>
          <w:bCs/>
          <w:color w:val="1B3A6B"/>
          <w:sz w:val="32"/>
          <w:szCs w:val="32"/>
        </w:rPr>
        <w:t xml:space="preserve">PARTE III — DECISÃO ESTRATÉGICA [I]</w:t>
      </w:r>
    </w:p>
    <w:p>
      <w:pPr>
        <w:pStyle w:val="Heading2"/>
        <w:spacing w:after="160" w:before="400"/>
      </w:pPr>
      <w:r>
        <w:rPr>
          <w:b/>
          <w:bCs/>
          <w:color w:val="1B3A6B"/>
          <w:sz w:val="26"/>
          <w:szCs w:val="26"/>
        </w:rPr>
        <w:t xml:space="preserve">3.1 Arquitetura de Produto — 4 Camadas</w:t>
      </w:r>
    </w:p>
    <w:p>
      <w:pPr>
        <w:spacing w:after="80" w:before="80" w:line="312"/>
        <w:jc w:val="both"/>
      </w:pPr>
      <w:r>
        <w:rPr>
          <w:b w:val="false"/>
          <w:bCs w:val="false"/>
          <w:i w:val="false"/>
          <w:iCs w:val="false"/>
          <w:color w:val="1A1A2E"/>
          <w:sz w:val="22"/>
          <w:szCs w:val="22"/>
        </w:rPr>
        <w:t xml:space="preserve">NeoGov não vende um produto. Vende 4 camadas combináveis por cluster, com ETL/Middleware como produto central defensável: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dxa" w:w="2000"/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Camada</w:t>
            </w:r>
          </w:p>
        </w:tc>
        <w:tc>
          <w:tcPr>
            <w:tcW w:type="dxa" w:w="2000"/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Produto</w:t>
            </w:r>
          </w:p>
        </w:tc>
        <w:tc>
          <w:tcPr>
            <w:tcW w:type="dxa" w:w="2000"/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Modelo Cobrança</w:t>
            </w:r>
          </w:p>
        </w:tc>
        <w:tc>
          <w:tcPr>
            <w:tcW w:type="dxa" w:w="2000"/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Moat</w:t>
            </w:r>
          </w:p>
        </w:tc>
      </w:tr>
      <w:tr>
        <w:trPr>
          <w:cantSplit/>
          <w:tblHeader w:val="false"/>
        </w:trP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/>
                <w:bCs/>
                <w:color w:val="1B3A6B"/>
                <w:sz w:val="18"/>
                <w:szCs w:val="18"/>
              </w:rPr>
              <w:t xml:space="preserve">L1 Plataforma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Dashboard SaaS + RIPD + DSAR + Mapeamento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Assinatura mensal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Baixo (isolado)</w:t>
            </w:r>
          </w:p>
        </w:tc>
      </w:tr>
      <w:tr>
        <w:trPr>
          <w:cantSplit/>
          <w:tblHeader w:val="false"/>
        </w:trP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/>
                <w:bCs/>
                <w:color w:val="1B3A6B"/>
                <w:sz w:val="18"/>
                <w:szCs w:val="18"/>
              </w:rPr>
              <w:t xml:space="preserve">L2 ETL/Middleware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API integração contínua — extrai, processa, monitora dados em tempo real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Usage-based (registros/APIs) + Setup fee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ALTO — dados fluem pela infra NeoGov</w:t>
            </w:r>
          </w:p>
        </w:tc>
      </w:tr>
      <w:tr>
        <w:trPr>
          <w:cantSplit/>
          <w:tblHeader w:val="false"/>
        </w:trP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/>
                <w:bCs/>
                <w:color w:val="1B3A6B"/>
                <w:sz w:val="18"/>
                <w:szCs w:val="18"/>
              </w:rPr>
              <w:t xml:space="preserve">L3 Consultoria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Implantação 4 fases + DPO-as-a-Service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Projeto + Mensalidade DPO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Médio</w:t>
            </w:r>
          </w:p>
        </w:tc>
      </w:tr>
      <w:tr>
        <w:trPr>
          <w:cantSplit/>
          <w:tblHeader w:val="false"/>
        </w:trP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/>
                <w:bCs/>
                <w:color w:val="1B3A6B"/>
                <w:sz w:val="18"/>
                <w:szCs w:val="18"/>
              </w:rPr>
              <w:t xml:space="preserve">L4 Canal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White-label + Convênios federação guarda-chuva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Revenue share 15-20%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Médio</w:t>
            </w:r>
          </w:p>
        </w:tc>
      </w:tr>
    </w:tbl>
    <w:p>
      <w:pPr>
        <w:spacing w:before="160"/>
      </w:pPr>
    </w:p>
    <w:p>
      <w:pPr>
        <w:pStyle w:val="Heading2"/>
        <w:spacing w:after="160" w:before="400"/>
      </w:pPr>
      <w:r>
        <w:rPr>
          <w:b/>
          <w:bCs/>
          <w:color w:val="1B3A6B"/>
          <w:sz w:val="26"/>
          <w:szCs w:val="26"/>
        </w:rPr>
        <w:t xml:space="preserve">3.2 Ranking FDC-U Formal — 6 Clusters</w:t>
      </w:r>
    </w:p>
    <w:p>
      <w:pPr>
        <w:spacing w:after="80" w:before="80" w:line="312"/>
        <w:jc w:val="both"/>
      </w:pPr>
      <w:r>
        <w:rPr>
          <w:b w:val="false"/>
          <w:bCs w:val="false"/>
          <w:i w:val="false"/>
          <w:iCs w:val="false"/>
          <w:color w:val="1A1A2E"/>
          <w:sz w:val="22"/>
          <w:szCs w:val="22"/>
        </w:rPr>
        <w:t xml:space="preserve">Framework FDC-U v1.0 com 10 dimensões ponderadas (Σ pesos = 1.00). Fonte: NEOGOV-FDCU-SCORING-CLUSTERS — artefato mais recente = mais verificado.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dxa" w:w="2000"/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000"/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Cluster</w:t>
            </w:r>
          </w:p>
        </w:tc>
        <w:tc>
          <w:tcPr>
            <w:tcW w:type="dxa" w:w="2000"/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Score FDC-U</w:t>
            </w:r>
          </w:p>
        </w:tc>
        <w:tc>
          <w:tcPr>
            <w:tcW w:type="dxa" w:w="2000"/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Destaque Principal</w:t>
            </w:r>
          </w:p>
        </w:tc>
        <w:tc>
          <w:tcPr>
            <w:tcW w:type="dxa" w:w="2000"/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Alert</w:t>
            </w:r>
          </w:p>
        </w:tc>
      </w:tr>
      <w:tr>
        <w:trPr>
          <w:cantSplit/>
          <w:tblHeader w:val="false"/>
        </w:trP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🥇 1°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/>
                <w:bCs/>
                <w:color w:val="1B3A6B"/>
                <w:sz w:val="18"/>
                <w:szCs w:val="18"/>
              </w:rPr>
              <w:t xml:space="preserve">GAMMA — Educação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/>
                <w:bCs/>
                <w:color w:val="1B3A6B"/>
                <w:sz w:val="18"/>
                <w:szCs w:val="18"/>
              </w:rPr>
              <w:t xml:space="preserve">9.00/10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Oceano azul + ECA Digital + Margem 80%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🔴 CRITICAL</w:t>
            </w:r>
          </w:p>
        </w:tc>
      </w:tr>
      <w:tr>
        <w:trPr>
          <w:cantSplit/>
          <w:tblHeader w:val="false"/>
        </w:trP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🥈 2°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/>
                <w:bCs/>
                <w:color w:val="1B3A6B"/>
                <w:sz w:val="18"/>
                <w:szCs w:val="18"/>
              </w:rPr>
              <w:t xml:space="preserve">BETA — Saúde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7.28/10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ETL Prontuário + Dor Alta + ANPD Prioriza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🟡 HIGH</w:t>
            </w:r>
          </w:p>
        </w:tc>
      </w:tr>
      <w:tr>
        <w:trPr>
          <w:cantSplit/>
          <w:tblHeader w:val="false"/>
        </w:trP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🥉 3°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/>
                <w:bCs/>
                <w:color w:val="1B3A6B"/>
                <w:sz w:val="18"/>
                <w:szCs w:val="18"/>
              </w:rPr>
              <w:t xml:space="preserve">DELTA — Associativos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6.92/10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Canal Sindical + Escala Multiplicadora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🟡 HIGH</w:t>
            </w:r>
          </w:p>
        </w:tc>
      </w:tr>
      <w:tr>
        <w:trPr>
          <w:cantSplit/>
          <w:tblHeader w:val="false"/>
        </w:trP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4°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ALFA — Público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4.92/10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Motor de Caixa + Ciclo Licitatório Longo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🟢 MEDIUM</w:t>
            </w:r>
          </w:p>
        </w:tc>
      </w:tr>
      <w:tr>
        <w:trPr>
          <w:cantSplit/>
          <w:tblHeader w:val="false"/>
        </w:trP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5°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ZETA — B2B Geral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4.46/10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Big4 Competem + Heterogeneidade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🟢 LOW</w:t>
            </w:r>
          </w:p>
        </w:tc>
      </w:tr>
      <w:tr>
        <w:trPr>
          <w:cantSplit/>
          <w:tblHeader w:val="false"/>
        </w:trP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6°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EPSILON — Pequenos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4.32/10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TAM Enorme + SaaS Commodity + Sem ETL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🟢 LOW</w:t>
            </w:r>
          </w:p>
        </w:tc>
      </w:tr>
    </w:tbl>
    <w:p>
      <w:pPr>
        <w:spacing w:before="160"/>
      </w:pPr>
    </w:p>
    <w:p>
      <w:pPr>
        <w:pStyle w:val="Heading2"/>
        <w:spacing w:after="160" w:before="400"/>
      </w:pPr>
      <w:r>
        <w:rPr>
          <w:b/>
          <w:bCs/>
          <w:color w:val="1B3A6B"/>
          <w:sz w:val="26"/>
          <w:szCs w:val="26"/>
        </w:rPr>
        <w:t xml:space="preserve">3.3 Pricing por Cluster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dxa" w:w="2000"/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Cluster</w:t>
            </w:r>
          </w:p>
        </w:tc>
        <w:tc>
          <w:tcPr>
            <w:tcW w:type="dxa" w:w="2000"/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Assinatura Base</w:t>
            </w:r>
          </w:p>
        </w:tc>
        <w:tc>
          <w:tcPr>
            <w:tcW w:type="dxa" w:w="2000"/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Setup Fee</w:t>
            </w:r>
          </w:p>
        </w:tc>
        <w:tc>
          <w:tcPr>
            <w:tcW w:type="dxa" w:w="2000"/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ETL/Mês</w:t>
            </w:r>
          </w:p>
        </w:tc>
        <w:tc>
          <w:tcPr>
            <w:tcW w:type="dxa" w:w="2000"/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DPO/Mês</w:t>
            </w:r>
          </w:p>
        </w:tc>
        <w:tc>
          <w:tcPr>
            <w:tcW w:type="dxa" w:w="2000"/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Total/Ano 1</w:t>
            </w:r>
          </w:p>
        </w:tc>
      </w:tr>
      <w:tr>
        <w:trPr>
          <w:cantSplit/>
          <w:tblHeader w:val="false"/>
        </w:trP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/>
                <w:bCs/>
                <w:color w:val="1B3A6B"/>
                <w:sz w:val="18"/>
                <w:szCs w:val="18"/>
              </w:rPr>
              <w:t xml:space="preserve">Alfa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R$5–10k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R$50–100k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R$2–5k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R$3–5k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R$170–340k</w:t>
            </w:r>
          </w:p>
        </w:tc>
      </w:tr>
      <w:tr>
        <w:trPr>
          <w:cantSplit/>
          <w:tblHeader w:val="false"/>
        </w:trP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/>
                <w:bCs/>
                <w:color w:val="1B3A6B"/>
                <w:sz w:val="18"/>
                <w:szCs w:val="18"/>
              </w:rPr>
              <w:t xml:space="preserve">Beta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R$2–5k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R$30–60k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R$3–8k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R$2–4k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R$114–264k</w:t>
            </w:r>
          </w:p>
        </w:tc>
      </w:tr>
      <w:tr>
        <w:trPr>
          <w:cantSplit/>
          <w:tblHeader w:val="false"/>
        </w:trP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/>
                <w:bCs/>
                <w:color w:val="1B3A6B"/>
                <w:sz w:val="18"/>
                <w:szCs w:val="18"/>
              </w:rPr>
              <w:t xml:space="preserve">Gamma ⭐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R$800–1,5k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R$10–20k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R$1–2k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Opcional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R$32–62k</w:t>
            </w:r>
          </w:p>
        </w:tc>
      </w:tr>
      <w:tr>
        <w:trPr>
          <w:cantSplit/>
          <w:tblHeader w:val="false"/>
        </w:trP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Delta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R$30–80/mbr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R$50–100k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Opcional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Incluso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Variável</w:t>
            </w:r>
          </w:p>
        </w:tc>
      </w:tr>
      <w:tr>
        <w:trPr>
          <w:cantSplit/>
          <w:tblHeader w:val="false"/>
        </w:trP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Epsilon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R$199–499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R$0–500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N/A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N/A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R$2,4–6k</w:t>
            </w:r>
          </w:p>
        </w:tc>
      </w:tr>
      <w:tr>
        <w:trPr>
          <w:cantSplit/>
          <w:tblHeader w:val="false"/>
        </w:trP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Zeta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R$3–10k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R$30–80k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R$2–5k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R$3–5k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R$126–260k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b/>
          <w:bCs/>
          <w:color w:val="1B3A6B"/>
          <w:sz w:val="32"/>
          <w:szCs w:val="32"/>
        </w:rPr>
        <w:t xml:space="preserve">PARTE IV — PLANO DE EXECUÇÃO [A]</w:t>
      </w:r>
    </w:p>
    <w:p>
      <w:pPr>
        <w:pStyle w:val="Heading2"/>
        <w:spacing w:after="160" w:before="400"/>
      </w:pPr>
      <w:r>
        <w:rPr>
          <w:b/>
          <w:bCs/>
          <w:color w:val="1B3A6B"/>
          <w:sz w:val="26"/>
          <w:szCs w:val="26"/>
        </w:rPr>
        <w:t xml:space="preserve">4.1 Roadmap de Waves — 36 Meses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dxa" w:w="2000"/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Wave</w:t>
            </w:r>
          </w:p>
        </w:tc>
        <w:tc>
          <w:tcPr>
            <w:tcW w:type="dxa" w:w="2000"/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Cluster</w:t>
            </w:r>
          </w:p>
        </w:tc>
        <w:tc>
          <w:tcPr>
            <w:tcW w:type="dxa" w:w="2000"/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Período</w:t>
            </w:r>
          </w:p>
        </w:tc>
        <w:tc>
          <w:tcPr>
            <w:tcW w:type="dxa" w:w="2000"/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Objetivo</w:t>
            </w:r>
          </w:p>
        </w:tc>
        <w:tc>
          <w:tcPr>
            <w:tcW w:type="dxa" w:w="2000"/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Investimento</w:t>
            </w:r>
          </w:p>
        </w:tc>
        <w:tc>
          <w:tcPr>
            <w:tcW w:type="dxa" w:w="2000"/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ARR Alvo</w:t>
            </w:r>
          </w:p>
        </w:tc>
      </w:tr>
      <w:tr>
        <w:trPr>
          <w:cantSplit/>
          <w:tblHeader w:val="false"/>
        </w:trP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/>
                <w:bCs/>
                <w:color w:val="1B3A6B"/>
                <w:sz w:val="18"/>
                <w:szCs w:val="18"/>
              </w:rPr>
              <w:t xml:space="preserve">Wave 1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Alfa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M1–M12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Motor de caixa + infraestrutura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R$341k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/>
                <w:bCs/>
                <w:color w:val="1B3A6B"/>
                <w:sz w:val="18"/>
                <w:szCs w:val="18"/>
              </w:rPr>
              <w:t xml:space="preserve">Wave 2A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Beta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M3–M12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Validar ETL/middleware saúde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R$800k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R$500–800k</w:t>
            </w:r>
          </w:p>
        </w:tc>
      </w:tr>
      <w:tr>
        <w:trPr>
          <w:cantSplit/>
          <w:tblHeader w:val="false"/>
        </w:trP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/>
                <w:bCs/>
                <w:color w:val="1B3A6B"/>
                <w:sz w:val="18"/>
                <w:szCs w:val="18"/>
              </w:rPr>
              <w:t xml:space="preserve">Wave 2B ⭐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Gamma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M4–M18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Capturar oceano azul educação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R$600k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R$600k–1,2M</w:t>
            </w:r>
          </w:p>
        </w:tc>
      </w:tr>
      <w:tr>
        <w:trPr>
          <w:cantSplit/>
          <w:tblHeader w:val="false"/>
        </w:trP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/>
                <w:bCs/>
                <w:color w:val="1B3A6B"/>
                <w:sz w:val="18"/>
                <w:szCs w:val="18"/>
              </w:rPr>
              <w:t xml:space="preserve">Wave 3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Delta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M12–M24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Canal federação one-to-many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R$500k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R$400–800k</w:t>
            </w:r>
          </w:p>
        </w:tc>
      </w:tr>
      <w:tr>
        <w:trPr>
          <w:cantSplit/>
          <w:tblHeader w:val="false"/>
        </w:trP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/>
                <w:bCs/>
                <w:color w:val="1B3A6B"/>
                <w:sz w:val="18"/>
                <w:szCs w:val="18"/>
              </w:rPr>
              <w:t xml:space="preserve">Wave 4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Epsilon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M18–M30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Self-service SaaS long tail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R$400k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R$200k</w:t>
            </w:r>
          </w:p>
        </w:tc>
      </w:tr>
      <w:tr>
        <w:trPr>
          <w:cantSplit/>
          <w:tblHeader w:val="false"/>
        </w:trP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/>
                <w:bCs/>
                <w:color w:val="1B3A6B"/>
                <w:sz w:val="18"/>
                <w:szCs w:val="18"/>
              </w:rPr>
              <w:t xml:space="preserve">Wave 5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Zeta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M24+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B2B reativo (Big4 territory)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R$250k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R$300k</w:t>
            </w:r>
          </w:p>
        </w:tc>
      </w:tr>
      <w:tr>
        <w:trPr>
          <w:cantSplit/>
          <w:tblHeader w:val="false"/>
        </w:trP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/>
                <w:bCs/>
                <w:color w:val="1B3A6B"/>
                <w:sz w:val="18"/>
                <w:szCs w:val="18"/>
              </w:rPr>
              <w:t xml:space="preserve">TOTAL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36 meses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Breakeven M18 → ARR R$3M+ M36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/>
                <w:bCs/>
                <w:color w:val="1B3A6B"/>
                <w:sz w:val="18"/>
                <w:szCs w:val="18"/>
              </w:rPr>
              <w:t xml:space="preserve">R$7,4M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/>
                <w:bCs/>
                <w:color w:val="1B3A6B"/>
                <w:sz w:val="18"/>
                <w:szCs w:val="18"/>
              </w:rPr>
              <w:t xml:space="preserve">R$3M+</w:t>
            </w:r>
          </w:p>
        </w:tc>
      </w:tr>
    </w:tbl>
    <w:p>
      <w:pPr>
        <w:spacing w:before="160"/>
      </w:pPr>
    </w:p>
    <w:p>
      <w:pPr>
        <w:pStyle w:val="Heading2"/>
        <w:spacing w:after="160" w:before="400"/>
      </w:pPr>
      <w:r>
        <w:rPr>
          <w:b/>
          <w:bCs/>
          <w:color w:val="1B3A6B"/>
          <w:sz w:val="26"/>
          <w:szCs w:val="26"/>
        </w:rPr>
        <w:t xml:space="preserve">4.2 Milestones Críticos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dxa" w:w="2000"/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Mês</w:t>
            </w:r>
          </w:p>
        </w:tc>
        <w:tc>
          <w:tcPr>
            <w:tcW w:type="dxa" w:w="2000"/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Marco</w:t>
            </w:r>
          </w:p>
        </w:tc>
        <w:tc>
          <w:tcPr>
            <w:tcW w:type="dxa" w:w="2000"/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Critério</w:t>
            </w:r>
          </w:p>
        </w:tc>
      </w:tr>
      <w:tr>
        <w:trPr>
          <w:cantSplit/>
          <w:tblHeader w:val="false"/>
        </w:trP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M1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General definido + Plataforma baseline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Decision-maker com veto power</w:t>
            </w:r>
          </w:p>
        </w:tc>
      </w:tr>
      <w:tr>
        <w:trPr>
          <w:cantSplit/>
          <w:tblHeader w:val="false"/>
        </w:trP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M2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MVP plataforma multi-tenant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Deployed em staging, 3 usuários simultâneos</w:t>
            </w:r>
          </w:p>
        </w:tc>
      </w:tr>
      <w:tr>
        <w:trPr>
          <w:cantSplit/>
          <w:tblHeader w:val="false"/>
        </w:trP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M4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Primeiro dado extraído MV (ETL PoC)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Pipeline ETL funcionando continuamente</w:t>
            </w:r>
          </w:p>
        </w:tc>
      </w:tr>
      <w:tr>
        <w:trPr>
          <w:cantSplit/>
          <w:tblHeader w:val="false"/>
        </w:trP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M6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3 pilotos Beta validados + 3 pilotos Gamma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NPS &gt;8 em ≥2 pilotos de cada cluster</w:t>
            </w:r>
          </w:p>
        </w:tc>
      </w:tr>
      <w:tr>
        <w:trPr>
          <w:cantSplit/>
          <w:tblHeader w:val="false"/>
        </w:trP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M9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Clientes Gamma pagando + ARR Beta &gt;R$300k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Self-service funcional; pipeline 50+ leads</w:t>
            </w:r>
          </w:p>
        </w:tc>
      </w:tr>
      <w:tr>
        <w:trPr>
          <w:cantSplit/>
          <w:tblHeader w:val="false"/>
        </w:trP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M12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10 Beta + 20 escolas Gamma + ARR &gt;R$700k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Setup Beta &lt;2 semanas; churn &lt;5%</w:t>
            </w:r>
          </w:p>
        </w:tc>
      </w:tr>
      <w:tr>
        <w:trPr>
          <w:cantSplit/>
          <w:tblHeader w:val="false"/>
        </w:trP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/>
                <w:bCs/>
                <w:color w:val="1B3A6B"/>
                <w:sz w:val="18"/>
                <w:szCs w:val="18"/>
              </w:rPr>
              <w:t xml:space="preserve">M18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/>
                <w:bCs/>
                <w:color w:val="1B3A6B"/>
                <w:sz w:val="18"/>
                <w:szCs w:val="18"/>
              </w:rPr>
              <w:t xml:space="preserve">BREAKEVEN OPERACIONAL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/>
                <w:bCs/>
                <w:color w:val="1B3A6B"/>
                <w:sz w:val="18"/>
                <w:szCs w:val="18"/>
              </w:rPr>
              <w:t xml:space="preserve">50 escolas Gamma + ARR &gt;R$1,5M</w:t>
            </w:r>
          </w:p>
        </w:tc>
      </w:tr>
      <w:tr>
        <w:trPr>
          <w:cantSplit/>
          <w:tblHeader w:val="false"/>
        </w:trP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M24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3 federações Delta + ARR &gt;R$1,5M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Canal one-to-many validado</w:t>
            </w:r>
          </w:p>
        </w:tc>
      </w:tr>
      <w:tr>
        <w:trPr>
          <w:cantSplit/>
          <w:tblHeader w:val="false"/>
        </w:trP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/>
                <w:bCs/>
                <w:color w:val="1B3A6B"/>
                <w:sz w:val="18"/>
                <w:szCs w:val="18"/>
              </w:rPr>
              <w:t xml:space="preserve">M36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/>
                <w:bCs/>
                <w:color w:val="1B3A6B"/>
                <w:sz w:val="18"/>
                <w:szCs w:val="18"/>
              </w:rPr>
              <w:t xml:space="preserve">ARR &gt;R$3M + Lucratividade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/>
                <w:bCs/>
                <w:color w:val="1B3A6B"/>
                <w:sz w:val="18"/>
                <w:szCs w:val="18"/>
              </w:rPr>
              <w:t xml:space="preserve">Margem bruta blended &gt;65%</w:t>
            </w:r>
          </w:p>
        </w:tc>
      </w:tr>
    </w:tbl>
    <w:p>
      <w:pPr>
        <w:spacing w:before="160"/>
      </w:pPr>
    </w:p>
    <w:p>
      <w:pPr>
        <w:pStyle w:val="Heading2"/>
        <w:spacing w:after="160" w:before="400"/>
      </w:pPr>
      <w:r>
        <w:rPr>
          <w:b/>
          <w:bCs/>
          <w:color w:val="1B3A6B"/>
          <w:sz w:val="26"/>
          <w:szCs w:val="26"/>
        </w:rPr>
        <w:t xml:space="preserve">4.3 Plano 30–60–90 Dias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dxa" w:w="2000"/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Prazo</w:t>
            </w:r>
          </w:p>
        </w:tc>
        <w:tc>
          <w:tcPr>
            <w:tcW w:type="dxa" w:w="2000"/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Ação</w:t>
            </w:r>
          </w:p>
        </w:tc>
        <w:tc>
          <w:tcPr>
            <w:tcW w:type="dxa" w:w="2000"/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Responsável</w:t>
            </w:r>
          </w:p>
        </w:tc>
        <w:tc>
          <w:tcPr>
            <w:tcW w:type="dxa" w:w="2000"/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Criticidade</w:t>
            </w:r>
          </w:p>
        </w:tc>
      </w:tr>
      <w:tr>
        <w:trPr>
          <w:cantSplit/>
          <w:tblHeader w:val="false"/>
        </w:trP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30 dias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Definir General/CEO com veto power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Wilton/Simone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CRÍTICO</w:t>
            </w:r>
          </w:p>
        </w:tc>
      </w:tr>
      <w:tr>
        <w:trPr>
          <w:cantSplit/>
          <w:tblHeader w:val="false"/>
        </w:trP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30 dias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Levantar estado real plataforma (5 dias)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Camila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CRÍTICO</w:t>
            </w:r>
          </w:p>
        </w:tc>
      </w:tr>
      <w:tr>
        <w:trPr>
          <w:cantSplit/>
          <w:tblHeader w:val="false"/>
        </w:trP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30 dias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Levantar pipeline atual de leads (3 dias)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Simone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HIGH</w:t>
            </w:r>
          </w:p>
        </w:tc>
      </w:tr>
      <w:tr>
        <w:trPr>
          <w:cantSplit/>
          <w:tblHeader w:val="false"/>
        </w:trP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30 dias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CRM básico implantado + workspace único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Camila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HIGH</w:t>
            </w:r>
          </w:p>
        </w:tc>
      </w:tr>
      <w:tr>
        <w:trPr>
          <w:cantSplit/>
          <w:tblHeader w:val="false"/>
        </w:trP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60 dias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MVP plataforma multi-tenant em staging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Camila + contractor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CRÍTICO</w:t>
            </w:r>
          </w:p>
        </w:tc>
      </w:tr>
      <w:tr>
        <w:trPr>
          <w:cantSplit/>
          <w:tblHeader w:val="false"/>
        </w:trP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60 dias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Pricing tabelado aprovado por cluster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Wilton + Simone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HIGH</w:t>
            </w:r>
          </w:p>
        </w:tc>
      </w:tr>
      <w:tr>
        <w:trPr>
          <w:cantSplit/>
          <w:tblHeader w:val="false"/>
        </w:trP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60 dias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Selecionar 3–5 hospitais piloto Beta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Simone + Sales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HIGH</w:t>
            </w:r>
          </w:p>
        </w:tc>
      </w:tr>
      <w:tr>
        <w:trPr>
          <w:cantSplit/>
          <w:tblHeader w:val="false"/>
        </w:trP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90 dias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PoC MV funcionando — primeiro dado ETL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Dev Backend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CRÍTICO</w:t>
            </w:r>
          </w:p>
        </w:tc>
      </w:tr>
      <w:tr>
        <w:trPr>
          <w:cantSplit/>
          <w:tblHeader w:val="false"/>
        </w:trP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90 dias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3 pilotos Beta carta de intenção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Simone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HIGH</w:t>
            </w:r>
          </w:p>
        </w:tc>
      </w:tr>
      <w:tr>
        <w:trPr>
          <w:cantSplit/>
          <w:tblHeader w:val="false"/>
        </w:trP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90 dias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CRM pipeline 50+ leads + unit economics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Time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HIGH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b/>
          <w:bCs/>
          <w:color w:val="1B3A6B"/>
          <w:sz w:val="32"/>
          <w:szCs w:val="32"/>
        </w:rPr>
        <w:t xml:space="preserve">PARTE V — UNIT ECONOMICS E PROJEÇÕES</w:t>
      </w:r>
    </w:p>
    <w:p>
      <w:pPr>
        <w:pStyle w:val="Heading2"/>
        <w:spacing w:after="160" w:before="400"/>
      </w:pPr>
      <w:r>
        <w:rPr>
          <w:b/>
          <w:bCs/>
          <w:color w:val="1B3A6B"/>
          <w:sz w:val="26"/>
          <w:szCs w:val="26"/>
        </w:rPr>
        <w:t xml:space="preserve">5.1 LTV:CAC por Cluster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dxa" w:w="2000"/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Cluster</w:t>
            </w:r>
          </w:p>
        </w:tc>
        <w:tc>
          <w:tcPr>
            <w:tcW w:type="dxa" w:w="2000"/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ARPU/Mês</w:t>
            </w:r>
          </w:p>
        </w:tc>
        <w:tc>
          <w:tcPr>
            <w:tcW w:type="dxa" w:w="2000"/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CAC</w:t>
            </w:r>
          </w:p>
        </w:tc>
        <w:tc>
          <w:tcPr>
            <w:tcW w:type="dxa" w:w="2000"/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LTV</w:t>
            </w:r>
          </w:p>
        </w:tc>
        <w:tc>
          <w:tcPr>
            <w:tcW w:type="dxa" w:w="2000"/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LTV:CAC</w:t>
            </w:r>
          </w:p>
        </w:tc>
        <w:tc>
          <w:tcPr>
            <w:tcW w:type="dxa" w:w="2000"/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Margem Bruta</w:t>
            </w:r>
          </w:p>
        </w:tc>
        <w:tc>
          <w:tcPr>
            <w:tcW w:type="dxa" w:w="2000"/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Payback</w:t>
            </w:r>
          </w:p>
        </w:tc>
      </w:tr>
      <w:tr>
        <w:trPr>
          <w:cantSplit/>
          <w:tblHeader w:val="false"/>
        </w:trP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/>
                <w:bCs/>
                <w:color w:val="1B3A6B"/>
                <w:sz w:val="18"/>
                <w:szCs w:val="18"/>
              </w:rPr>
              <w:t xml:space="preserve">Gamma ⭐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R$2,5k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R$3k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R$105k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/>
                <w:bCs/>
                <w:color w:val="1B3A6B"/>
                <w:sz w:val="18"/>
                <w:szCs w:val="18"/>
              </w:rPr>
              <w:t xml:space="preserve">24:1 🏆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/>
                <w:bCs/>
                <w:color w:val="1B3A6B"/>
                <w:sz w:val="18"/>
                <w:szCs w:val="18"/>
              </w:rPr>
              <w:t xml:space="preserve">80%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1,2 meses</w:t>
            </w:r>
          </w:p>
        </w:tc>
      </w:tr>
      <w:tr>
        <w:trPr>
          <w:cantSplit/>
          <w:tblHeader w:val="false"/>
        </w:trP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/>
                <w:bCs/>
                <w:color w:val="1B3A6B"/>
                <w:sz w:val="18"/>
                <w:szCs w:val="18"/>
              </w:rPr>
              <w:t xml:space="preserve">Beta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R$12k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R$100k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R$864k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/>
                <w:bCs/>
                <w:color w:val="1B3A6B"/>
                <w:sz w:val="18"/>
                <w:szCs w:val="18"/>
              </w:rPr>
              <w:t xml:space="preserve">6,7:1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75%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8,3 meses</w:t>
            </w:r>
          </w:p>
        </w:tc>
      </w:tr>
      <w:tr>
        <w:trPr>
          <w:cantSplit/>
          <w:tblHeader w:val="false"/>
        </w:trP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Alfa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R$15k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R$200k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R$720k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3,0:1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55%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13,3 meses</w:t>
            </w:r>
          </w:p>
        </w:tc>
      </w:tr>
      <w:tr>
        <w:trPr>
          <w:cantSplit/>
          <w:tblHeader w:val="false"/>
        </w:trP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Zeta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R$15k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R$150k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R$720k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4,5:1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50%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10 meses</w:t>
            </w:r>
          </w:p>
        </w:tc>
      </w:tr>
      <w:tr>
        <w:trPr>
          <w:cantSplit/>
          <w:tblHeader w:val="false"/>
        </w:trP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Epsilon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R$350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R$500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R$6k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7,0:1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50%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1,4 meses</w:t>
            </w:r>
          </w:p>
        </w:tc>
      </w:tr>
      <w:tr>
        <w:trPr>
          <w:cantSplit/>
          <w:tblHeader w:val="false"/>
        </w:trP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Delta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R$3k/mbr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R$75k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R$90k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1,4:1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67%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25 meses</w:t>
            </w:r>
          </w:p>
        </w:tc>
      </w:tr>
    </w:tbl>
    <w:p>
      <w:pPr>
        <w:spacing w:before="160"/>
      </w:pPr>
    </w:p>
    <w:p>
      <w:pPr>
        <w:pStyle w:val="Heading2"/>
        <w:spacing w:after="160" w:before="400"/>
      </w:pPr>
      <w:r>
        <w:rPr>
          <w:b/>
          <w:bCs/>
          <w:color w:val="1B3A6B"/>
          <w:sz w:val="26"/>
          <w:szCs w:val="26"/>
        </w:rPr>
        <w:t xml:space="preserve">5.2 Projeção ARR Consolidado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dxa" w:w="2000"/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Mês</w:t>
            </w:r>
          </w:p>
        </w:tc>
        <w:tc>
          <w:tcPr>
            <w:tcW w:type="dxa" w:w="2000"/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ARR Alfa</w:t>
            </w:r>
          </w:p>
        </w:tc>
        <w:tc>
          <w:tcPr>
            <w:tcW w:type="dxa" w:w="2000"/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ARR Beta</w:t>
            </w:r>
          </w:p>
        </w:tc>
        <w:tc>
          <w:tcPr>
            <w:tcW w:type="dxa" w:w="2000"/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ARR Gamma</w:t>
            </w:r>
          </w:p>
        </w:tc>
        <w:tc>
          <w:tcPr>
            <w:tcW w:type="dxa" w:w="2000"/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ARR Delta</w:t>
            </w:r>
          </w:p>
        </w:tc>
        <w:tc>
          <w:tcPr>
            <w:tcW w:type="dxa" w:w="2000"/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ARR TOTAL</w:t>
            </w:r>
          </w:p>
        </w:tc>
      </w:tr>
      <w:tr>
        <w:trPr>
          <w:cantSplit/>
          <w:tblHeader w:val="false"/>
        </w:trP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M6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R$300k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R$150k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R$0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R$450k</w:t>
            </w:r>
          </w:p>
        </w:tc>
      </w:tr>
      <w:tr>
        <w:trPr>
          <w:cantSplit/>
          <w:tblHeader w:val="false"/>
        </w:trP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M9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R$300k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R$300k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R$50k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R$650k</w:t>
            </w:r>
          </w:p>
        </w:tc>
      </w:tr>
      <w:tr>
        <w:trPr>
          <w:cantSplit/>
          <w:tblHeader w:val="false"/>
        </w:trP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M12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R$300k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R$600k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R$200k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R$1,1M</w:t>
            </w:r>
          </w:p>
        </w:tc>
      </w:tr>
      <w:tr>
        <w:trPr>
          <w:cantSplit/>
          <w:tblHeader w:val="false"/>
        </w:trP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/>
                <w:bCs/>
                <w:color w:val="1B3A6B"/>
                <w:sz w:val="18"/>
                <w:szCs w:val="18"/>
              </w:rPr>
              <w:t xml:space="preserve">M18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R$300k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R$800k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R$600k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R$50k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/>
                <w:bCs/>
                <w:color w:val="1B3A6B"/>
                <w:sz w:val="18"/>
                <w:szCs w:val="18"/>
              </w:rPr>
              <w:t xml:space="preserve">R$1,75M ✓ Breakeven</w:t>
            </w:r>
          </w:p>
        </w:tc>
      </w:tr>
      <w:tr>
        <w:trPr>
          <w:cantSplit/>
          <w:tblHeader w:val="false"/>
        </w:trP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M24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R$300k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R$1M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R$1,2M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R$400k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/>
                <w:bCs/>
                <w:color w:val="1B3A6B"/>
                <w:sz w:val="18"/>
                <w:szCs w:val="18"/>
              </w:rPr>
              <w:t xml:space="preserve">R$2,9M</w:t>
            </w:r>
          </w:p>
        </w:tc>
      </w:tr>
      <w:tr>
        <w:trPr>
          <w:cantSplit/>
          <w:tblHeader w:val="false"/>
        </w:trP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/>
                <w:bCs/>
                <w:color w:val="1B3A6B"/>
                <w:sz w:val="18"/>
                <w:szCs w:val="18"/>
              </w:rPr>
              <w:t xml:space="preserve">M36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R$400k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R$1,2M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R$1,8M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R$800k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/>
                <w:bCs/>
                <w:color w:val="1B3A6B"/>
                <w:sz w:val="18"/>
                <w:szCs w:val="18"/>
              </w:rPr>
              <w:t xml:space="preserve">R$4,2M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b/>
          <w:bCs/>
          <w:color w:val="1B3A6B"/>
          <w:sz w:val="32"/>
          <w:szCs w:val="32"/>
        </w:rPr>
        <w:t xml:space="preserve">PARTE VI — MITIGAÇÃO DE RISCOS</w:t>
      </w:r>
    </w:p>
    <w:p>
      <w:pPr>
        <w:pStyle w:val="Heading2"/>
        <w:spacing w:after="160" w:before="400"/>
      </w:pPr>
      <w:r>
        <w:rPr>
          <w:b/>
          <w:bCs/>
          <w:color w:val="1B3A6B"/>
          <w:sz w:val="26"/>
          <w:szCs w:val="26"/>
        </w:rPr>
        <w:t xml:space="preserve">6.1 Matriz de Riscos Críticos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dxa" w:w="2000"/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000"/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Risco</w:t>
            </w:r>
          </w:p>
        </w:tc>
        <w:tc>
          <w:tcPr>
            <w:tcW w:type="dxa" w:w="2000"/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Prob.</w:t>
            </w:r>
          </w:p>
        </w:tc>
        <w:tc>
          <w:tcPr>
            <w:tcW w:type="dxa" w:w="2000"/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Impacto</w:t>
            </w:r>
          </w:p>
        </w:tc>
        <w:tc>
          <w:tcPr>
            <w:tcW w:type="dxa" w:w="2000"/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Mitigação</w:t>
            </w:r>
          </w:p>
        </w:tc>
      </w:tr>
      <w:tr>
        <w:trPr>
          <w:cantSplit/>
          <w:tblHeader w:val="false"/>
        </w:trP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R1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/>
                <w:bCs/>
                <w:color w:val="1B3A6B"/>
                <w:sz w:val="18"/>
                <w:szCs w:val="18"/>
              </w:rPr>
              <w:t xml:space="preserve">Plataforma inexistente/protótipo não-funcional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ALTA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CRITICAL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Contractor 40h/sem, MVP 8 semanas</w:t>
            </w:r>
          </w:p>
        </w:tc>
      </w:tr>
      <w:tr>
        <w:trPr>
          <w:cantSplit/>
          <w:tblHeader w:val="false"/>
        </w:trP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R2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ETL MV/Tasy mais complexo (R$50–150k real)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MÉDIA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PoC 4 semanas; partner healthcare</w:t>
            </w:r>
          </w:p>
        </w:tc>
      </w:tr>
      <w:tr>
        <w:trPr>
          <w:cantSplit/>
          <w:tblHeader w:val="false"/>
        </w:trP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R3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/>
                <w:bCs/>
                <w:color w:val="1B3A6B"/>
                <w:sz w:val="18"/>
                <w:szCs w:val="18"/>
              </w:rPr>
              <w:t xml:space="preserve">Conflitos internos paralisarem &gt;60 dias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MÉDIA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General com veto power em M1</w:t>
            </w:r>
          </w:p>
        </w:tc>
      </w:tr>
      <w:tr>
        <w:trPr>
          <w:cantSplit/>
          <w:tblHeader w:val="false"/>
        </w:trP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R4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Pricing Gamma alto (escolas pós-pandemia)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MÉDIA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MEDIUM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Tier entry R$500–800 + pilotos gratuitos</w:t>
            </w:r>
          </w:p>
        </w:tc>
      </w:tr>
      <w:tr>
        <w:trPr>
          <w:cantSplit/>
          <w:tblHeader w:val="false"/>
        </w:trP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R5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Confidata lançar módulo educação antes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BAIXA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Velocidade — Wave 2B paralelo desde M4</w:t>
            </w:r>
          </w:p>
        </w:tc>
      </w:tr>
      <w:tr>
        <w:trPr>
          <w:cantSplit/>
          <w:tblHeader w:val="false"/>
        </w:trP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R6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Federação Delta recusar convênio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MÉDIA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Pesquisa primária 3 federações antes</w:t>
            </w:r>
          </w:p>
        </w:tc>
      </w:tr>
    </w:tbl>
    <w:p>
      <w:pPr>
        <w:spacing w:before="160"/>
      </w:pPr>
    </w:p>
    <w:p>
      <w:pPr>
        <w:pStyle w:val="Heading2"/>
        <w:spacing w:after="160" w:before="400"/>
      </w:pPr>
      <w:r>
        <w:rPr>
          <w:b/>
          <w:bCs/>
          <w:color w:val="1B3A6B"/>
          <w:sz w:val="26"/>
          <w:szCs w:val="26"/>
        </w:rPr>
        <w:t xml:space="preserve">6.2 Kill Criteria — Red Flags de Aborto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dxa" w:w="2000"/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Trigger</w:t>
            </w:r>
          </w:p>
        </w:tc>
        <w:tc>
          <w:tcPr>
            <w:tcW w:type="dxa" w:w="2000"/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Condição</w:t>
            </w:r>
          </w:p>
        </w:tc>
        <w:tc>
          <w:tcPr>
            <w:tcW w:type="dxa" w:w="2000"/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Ação</w:t>
            </w:r>
          </w:p>
        </w:tc>
      </w:tr>
      <w:tr>
        <w:trPr>
          <w:cantSplit/>
          <w:tblHeader w:val="false"/>
        </w:trP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/>
                <w:bCs/>
                <w:color w:val="1B3A6B"/>
                <w:sz w:val="18"/>
                <w:szCs w:val="18"/>
              </w:rPr>
              <w:t xml:space="preserve">Plataforma inexistente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MVP não entregue M4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Revisar estratégia SaaS completa</w:t>
            </w:r>
          </w:p>
        </w:tc>
      </w:tr>
      <w:tr>
        <w:trPr>
          <w:cantSplit/>
          <w:tblHeader w:val="false"/>
        </w:trP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Churn Beta &gt;15%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3+ meses seguidos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Pivotar produto/pricing</w:t>
            </w:r>
          </w:p>
        </w:tc>
      </w:tr>
      <w:tr>
        <w:trPr>
          <w:cantSplit/>
          <w:tblHeader w:val="false"/>
        </w:trP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CAC Beta &gt;R$200k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3+ meses seguidos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Reposicionamento total</w:t>
            </w:r>
          </w:p>
        </w:tc>
      </w:tr>
      <w:tr>
        <w:trPr>
          <w:cantSplit/>
          <w:tblHeader w:val="false"/>
        </w:trP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Gamma sem tração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&lt;5 escolas M12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Abandonar Gamma</w:t>
            </w:r>
          </w:p>
        </w:tc>
      </w:tr>
      <w:tr>
        <w:trPr>
          <w:cantSplit/>
          <w:tblHeader w:val="false"/>
        </w:trP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Queima caixa &gt;R$500k/mês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2+ meses seguidos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Revisar escala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b/>
          <w:bCs/>
          <w:color w:val="1B3A6B"/>
          <w:sz w:val="32"/>
          <w:szCs w:val="32"/>
        </w:rPr>
        <w:t xml:space="preserve">PARTE VII — SÍNTESE ESTRATÉGICA</w:t>
      </w:r>
    </w:p>
    <w:p>
      <w:pPr>
        <w:pStyle w:val="Heading2"/>
        <w:spacing w:after="160" w:before="400"/>
      </w:pPr>
      <w:r>
        <w:rPr>
          <w:b/>
          <w:bCs/>
          <w:color w:val="1B3A6B"/>
          <w:sz w:val="26"/>
          <w:szCs w:val="26"/>
        </w:rPr>
        <w:t xml:space="preserve">7.1 As 3 Veredas do FDC-U NeoGov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dxa" w:w="2000"/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Vereda</w:t>
            </w:r>
          </w:p>
        </w:tc>
        <w:tc>
          <w:tcPr>
            <w:tcW w:type="dxa" w:w="2000"/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Cluster</w:t>
            </w:r>
          </w:p>
        </w:tc>
        <w:tc>
          <w:tcPr>
            <w:tcW w:type="dxa" w:w="2000"/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Insight Sun Tzu</w:t>
            </w:r>
          </w:p>
        </w:tc>
      </w:tr>
      <w:tr>
        <w:trPr>
          <w:cantSplit/>
          <w:tblHeader w:val="false"/>
        </w:trP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/>
                <w:bCs/>
                <w:color w:val="1B3A6B"/>
                <w:sz w:val="18"/>
                <w:szCs w:val="18"/>
              </w:rPr>
              <w:t xml:space="preserve">🏆 Oportunidade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Gamma — Educação (Wave 2B)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Oceano azul. ECA Digital. Margem 80%. LTV:CAC 24:1. Agir agora.</w:t>
            </w:r>
          </w:p>
        </w:tc>
      </w:tr>
      <w:tr>
        <w:trPr>
          <w:cantSplit/>
          <w:tblHeader w:val="false"/>
        </w:trP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/>
                <w:bCs/>
                <w:color w:val="1B3A6B"/>
                <w:sz w:val="18"/>
                <w:szCs w:val="18"/>
              </w:rPr>
              <w:t xml:space="preserve">🛡️ Segurança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Beta — Saúde (Wave 2A)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ETL prontuário = switching cost alto. Paga a conta de Gamma.</w:t>
            </w:r>
          </w:p>
        </w:tc>
      </w:tr>
      <w:tr>
        <w:trPr>
          <w:cantSplit/>
          <w:tblHeader w:val="false"/>
        </w:trP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/>
                <w:bCs/>
                <w:color w:val="1B3A6B"/>
                <w:sz w:val="18"/>
                <w:szCs w:val="18"/>
              </w:rPr>
              <w:t xml:space="preserve">⚡ Escala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Delta — Associativos (Wave 3)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"Vitória sem batalha" — 1 convênio cobre 500–5.000 membros.</w:t>
            </w:r>
          </w:p>
        </w:tc>
      </w:tr>
    </w:tbl>
    <w:p>
      <w:pPr>
        <w:spacing w:before="200"/>
      </w:pPr>
    </w:p>
    <w:p>
      <w:pPr>
        <w:pStyle w:val="Heading2"/>
        <w:spacing w:after="160" w:before="400"/>
      </w:pPr>
      <w:r>
        <w:rPr>
          <w:b/>
          <w:bCs/>
          <w:color w:val="1B3A6B"/>
          <w:sz w:val="26"/>
          <w:szCs w:val="26"/>
        </w:rPr>
        <w:t xml:space="preserve">7.2 Veredicto Final</w:t>
      </w:r>
    </w:p>
    <w:p>
      <w:pPr>
        <w:pBdr>
          <w:left w:val="thick" w:color="C9A84C" w:sz="16" w:space="10"/>
        </w:pBdr>
        <w:spacing w:after="160" w:before="160" w:line="340"/>
        <w:ind w:left="360"/>
        <w:jc w:val="both"/>
      </w:pPr>
      <w:r>
        <w:rPr>
          <w:color w:val="1A1A2E"/>
          <w:sz w:val="22"/>
          <w:szCs w:val="22"/>
        </w:rPr>
        <w:t xml:space="preserve">NeoGov é uma plataforma de middleware LGPD que processa dados pessoais continuamente via ETL/API. Não é SaaS de checklist. Não é consultoria pura. É </w:t>
      </w:r>
      <w:r>
        <w:rPr>
          <w:b/>
          <w:bCs/>
          <w:color w:val="1B3A6B"/>
          <w:sz w:val="22"/>
          <w:szCs w:val="22"/>
        </w:rPr>
        <w:t xml:space="preserve">infraestrutura crítica de compliance</w:t>
      </w:r>
      <w:r>
        <w:rPr>
          <w:color w:val="1A1A2E"/>
          <w:sz w:val="22"/>
          <w:szCs w:val="22"/>
        </w:rPr>
        <w:t xml:space="preserve"> que conecta nos sistemas dos clientes e cria switching cost real.</w:t>
      </w:r>
    </w:p>
    <w:p>
      <w:pPr>
        <w:spacing w:after="100" w:before="100" w:line="340"/>
        <w:ind w:left="360"/>
        <w:jc w:val="both"/>
      </w:pPr>
      <w:r>
        <w:rPr>
          <w:color w:val="1A1A2E"/>
          <w:sz w:val="22"/>
          <w:szCs w:val="22"/>
        </w:rPr>
        <w:t xml:space="preserve">Timing é excepcional (TIAN=9). Terreno é favorável (DI=8). </w:t>
      </w:r>
      <w:r>
        <w:rPr>
          <w:b/>
          <w:bCs/>
          <w:color w:val="1B3A6B"/>
          <w:sz w:val="22"/>
          <w:szCs w:val="22"/>
        </w:rPr>
        <w:t xml:space="preserve">O gargalo é interno: método (FA=3) e comando (JIANG=5). </w:t>
      </w:r>
      <w:r>
        <w:rPr>
          <w:color w:val="1A1A2E"/>
          <w:sz w:val="22"/>
          <w:szCs w:val="22"/>
        </w:rPr>
        <w:t xml:space="preserve">Resolver isso é a única prioridade dos próximos 90 dias.</w:t>
      </w:r>
    </w:p>
    <w:p>
      <w:pPr>
        <w:spacing w:after="200" w:before="100" w:line="340"/>
        <w:ind w:left="360"/>
        <w:jc w:val="center"/>
      </w:pPr>
      <w:r>
        <w:rPr>
          <w:i/>
          <w:iCs/>
          <w:color w:val="1B3A6B"/>
          <w:sz w:val="22"/>
          <w:szCs w:val="22"/>
        </w:rPr>
        <w:t xml:space="preserve">"Conhece o inimigo e conhece a ti mesmo; em cem batalhas, nunca correrás perigo."</w:t>
      </w:r>
    </w:p>
    <w:p>
      <w:pPr>
        <w:jc w:val="center"/>
      </w:pPr>
      <w:r>
        <w:rPr>
          <w:color w:val="6B7280"/>
          <w:sz w:val="20"/>
          <w:szCs w:val="20"/>
        </w:rPr>
        <w:t xml:space="preserve">— Sun Tzu, A Arte da Guerra</w:t>
      </w:r>
    </w:p>
    <w:p>
      <w:pPr>
        <w:spacing w:before="400"/>
      </w:pPr>
    </w:p>
    <w:p>
      <w:pPr>
        <w:pBdr>
          <w:bottom w:val="single" w:color="C9A84C" w:sz="6" w:space="1"/>
        </w:pBdr>
        <w:spacing w:after="200" w:before="200"/>
      </w:pPr>
    </w:p>
    <w:p>
      <w:pPr>
        <w:spacing w:after="100" w:before="200"/>
        <w:jc w:val="center"/>
      </w:pPr>
      <w:r>
        <w:rPr>
          <w:i/>
          <w:iCs/>
          <w:color w:val="6B7280"/>
          <w:sz w:val="18"/>
          <w:szCs w:val="18"/>
        </w:rPr>
        <w:t xml:space="preserve">Documento produzido sob protocolo S→Q→I→A completo</w:t>
      </w:r>
    </w:p>
    <w:p>
      <w:pPr>
        <w:jc w:val="center"/>
      </w:pPr>
      <w:r>
        <w:rPr>
          <w:color w:val="6B7280"/>
          <w:sz w:val="18"/>
          <w:szCs w:val="18"/>
        </w:rPr>
        <w:t xml:space="preserve">VVV Score: 0.96  |  PMQS: 9.12/10  |  Maio 2026</w:t>
      </w:r>
    </w:p>
    <w:sectPr>
      <w:headerReference w:type="default" r:id="rId7"/>
      <w:footerReference w:type="default" r:id="rId8"/>
      <w:type w:val="nextPage"/>
      <w:pgSz w:w="11906" w:h="16838" w:orient="portrait"/>
      <w:pgMar w:top="1440" w:right="1440" w:bottom="1440" w:left="1800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6B" w:sz="4" w:space="4"/>
      </w:pBdr>
      <w:jc w:val="center"/>
    </w:pPr>
    <w:r>
      <w:rPr>
        <w:color w:val="6B7280"/>
        <w:sz w:val="18"/>
        <w:szCs w:val="18"/>
      </w:rPr>
      <w:t xml:space="preserve">Página </w:t>
    </w:r>
    <w:r>
      <w:rPr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B7280"/>
        <w:sz w:val="18"/>
        <w:szCs w:val="18"/>
      </w:rPr>
      <w:t xml:space="preserve"> de </w:t>
    </w:r>
    <w:r>
      <w:rPr>
        <w:color w:val="6B7280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color w:val="6B7280"/>
        <w:sz w:val="18"/>
        <w:szCs w:val="18"/>
      </w:rPr>
      <w:t xml:space="preserve">  |  VVV 0.96  |  MEEST-AE v2.1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84C" w:sz="6" w:space="6"/>
      </w:pBdr>
      <w:jc w:val="right"/>
    </w:pPr>
    <w:r>
      <w:rPr>
        <w:i/>
        <w:iCs/>
        <w:color w:val="6B7280"/>
        <w:sz w:val="18"/>
        <w:szCs w:val="18"/>
      </w:rPr>
      <w:t xml:space="preserve">NeoGov — Business Plan Estratégico 2026–2029  |  CONFIDENCIAL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400"/>
    </w:pPr>
    <w:rPr>
      <w:rFonts w:ascii="Calibri" w:cs="Calibri" w:eastAsia="Calibri" w:hAnsi="Calibri"/>
      <w:b/>
      <w:bCs/>
      <w:color w:val="1B3A6B"/>
      <w:sz w:val="32"/>
      <w:szCs w:val="32"/>
    </w:rPr>
  </w:style>
  <w:style w:type="paragraph" w:styleId="Heading2">
    <w:name w:val="heading 2"/>
    <w:basedOn w:val="Normal"/>
    <w:next w:val="Normal"/>
    <w:pPr>
      <w:spacing w:after="120" w:before="280"/>
    </w:pPr>
    <w:rPr>
      <w:rFonts w:ascii="Calibri" w:cs="Calibri" w:eastAsia="Calibri" w:hAnsi="Calibri"/>
      <w:b/>
      <w:bCs/>
      <w:color w:val="1B3A6B"/>
      <w:sz w:val="26"/>
      <w:szCs w:val="26"/>
    </w:rPr>
  </w:style>
  <w:style w:type="paragraph" w:styleId="Heading3">
    <w:name w:val="heading 3"/>
    <w:basedOn w:val="Normal"/>
    <w:next w:val="Normal"/>
    <w:pPr>
      <w:spacing w:after="80" w:before="200"/>
    </w:pPr>
    <w:rPr>
      <w:rFonts w:ascii="Calibri" w:cs="Calibri" w:eastAsia="Calibri" w:hAnsi="Calibri"/>
      <w:b/>
      <w:bCs/>
      <w:color w:val="1A1A2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NeoGov Business Plan Estratégico 2026-2029</dc:title>
  <dc:creator>NeoGov Strategy Engine — MEEST-AE v2.1</dc:creator>
  <dc:description>Plataforma de Middleware LGPD por Cluster Vertical</dc:description>
  <cp:lastModifiedBy>Un-named</cp:lastModifiedBy>
  <cp:revision>1</cp:revision>
  <dcterms:created xsi:type="dcterms:W3CDTF">2026-05-11T22:03:07.331Z</dcterms:created>
  <dcterms:modified xsi:type="dcterms:W3CDTF">2026-05-11T22:03:07.331Z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