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/>
          <w:bCs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/>
          <w:iCs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/>
          <w:bCs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/>
          <w:bCs/>
        </w:rPr>
        <w:t xml:space="preserve">PROGRAMA DE PÓS-GRADUAÇÃO: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/>
          <w:bCs/>
        </w:rPr>
        <w:t xml:space="preserve">ÁREA DE CONCENTRAÇÃO: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/>
          <w:bCs/>
        </w:rPr>
        <w:t xml:space="preserve">ORIENTADORA: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/>
          <w:bCs/>
        </w:rPr>
        <w:t xml:space="preserve">COORIENTADORA: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/>
          <w:bCs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/>
          <w:bCs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“mapeamento análogo”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" w:name="nota-à-leitura-sobre-o-termo-etrização"/>
      <w:r>
        <w:t xml:space="preserve">NOTA À LEITURA — SOBRE O TERMO</w:t>
      </w:r>
      <w:r>
        <w:t xml:space="preserve"> </w:t>
      </w:r>
      <w:r>
        <w:rPr>
          <w:i/>
          <w:iCs/>
        </w:rPr>
        <w:t xml:space="preserve">ETRIZAÇÃO</w:t>
      </w:r>
      <w:bookmarkEnd w:id="9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/>
          <w:bCs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/>
          <w:iCs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/>
          <w:iCs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‘ser’</w:t>
      </w:r>
      <w:r>
        <w:t xml:space="preserve">) — o</w:t>
      </w:r>
      <w:r>
        <w:t xml:space="preserve"> </w:t>
      </w:r>
      <w:r>
        <w:rPr>
          <w:b/>
          <w:bCs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/>
          <w:iCs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/>
          <w:bCs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/>
          <w:bCs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/>
          <w:bCs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‘átomo’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‘etrização’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/>
          <w:bCs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/>
          <w:bCs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/>
          <w:bCs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/>
          <w:bCs/>
        </w:rPr>
        <w:t xml:space="preserve">não substitui</w:t>
      </w:r>
      <w:r>
        <w:t xml:space="preserve"> </w:t>
      </w:r>
      <w:r>
        <w:t xml:space="preserve">o laboratório: o caminho obrigatório até a sociedade está declarado no capítulo de continuidade.</w:t>
      </w:r>
    </w:p>
    <w:bookmarkStart w:id="1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/>
          <w:bCs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/>
          <w:bCs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com critérios de aceitação pré-registrados.</w:t>
      </w:r>
      <w:r>
        <w:t xml:space="preserve"> </w:t>
      </w:r>
      <w:r>
        <w:rPr>
          <w:b/>
          <w:bCs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/>
          <w:bCs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/>
          <w:bCs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(companion EN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manuscript_Parte2_v1_EN.md</w:t>
      </w:r>
      <w:r>
        <w:rPr>
          <w:i/>
          <w:iCs/>
        </w:rPr>
        <w:t xml:space="preserve">; keywords: prions; computational simulation; Computational Etrization; PrP-V127; Creutzfeldt-Jakob disease; research methodology; in-silico; dose band.)</w:t>
      </w:r>
    </w:p>
    <w:bookmarkEnd w:id="11"/>
    <w:bookmarkStart w:id="12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/>
          <w:bCs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NOTA INTRODUTÓRIA À BANCA</w:t>
      </w:r>
      <w:r>
        <w:t xml:space="preserve"> </w:t>
      </w:r>
      <w:r>
        <w:t xml:space="preserve">— nomenclatura e diferenciação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COMUM DE DADOS</w:t>
      </w:r>
      <w:r>
        <w:t xml:space="preserve"> </w:t>
      </w:r>
      <w:r>
        <w:t xml:space="preserve">— o que as partes partilham; validação M3→M2 com cronologia honesta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FUNDAMENTO: A INARIÂNCIA DE θ*</w:t>
      </w:r>
      <w:r>
        <w:t xml:space="preserve"> </w:t>
      </w:r>
      <w:r>
        <w:t xml:space="preserve">— sweep de composição → bandas por espécie → Cenário B → titulação κ↔Kt → horizonte (Figura 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APLICAÇÃO: O DESENHO TERAPÊUTICO EMERGE</w:t>
      </w:r>
      <w:r>
        <w:t xml:space="preserve"> </w:t>
      </w:r>
      <w:r>
        <w:t xml:space="preserve">— transporte → limiar travado → dose na banda →</w:t>
      </w:r>
      <w:r>
        <w:t xml:space="preserve"> </w:t>
      </w:r>
      <w:r>
        <w:rPr>
          <w:b/>
          <w:bCs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MÉTODOS: A ETRIZAÇÃO FORMALIZADA</w:t>
      </w:r>
      <w:r>
        <w:t xml:space="preserve"> </w:t>
      </w:r>
      <w:r>
        <w:t xml:space="preserve">— P0–P6 · Base de Validade · guardião · mapeamento análogo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RESULTADOS COMO VALIDAÇÃO</w:t>
      </w:r>
      <w:r>
        <w:t xml:space="preserve"> </w:t>
      </w:r>
      <w:r>
        <w:t xml:space="preserve">— cada resultado valida uma promessa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CAMADA CLÍNICA</w:t>
      </w:r>
      <w:r>
        <w:t xml:space="preserve"> </w:t>
      </w:r>
      <w:r>
        <w:t xml:space="preserve">— nota de leitura para clínicos; acompanhamento previsto [SIM]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CONCLUSÕES POR OBJETIVO</w:t>
      </w:r>
    </w:p>
    <w:p>
      <w:pPr>
        <w:pStyle w:val="FirstParagraph"/>
      </w:pPr>
      <w:r>
        <w:t xml:space="preserve">REFERÊNCIAS (58 fontes do registro) · APÊNDICES A–F (inventário · mapa da lógica · SAP · tabela-decisão · custo · linhagem)</w:t>
      </w:r>
    </w:p>
    <w:bookmarkEnd w:id="12"/>
    <w:bookmarkStart w:id="13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/>
          <w:bCs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/>
          <w:bCs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/>
          <w:bCs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“dose”</w:t>
      </w:r>
      <w:r>
        <w:t xml:space="preserve"> </w:t>
      </w:r>
      <w:r>
        <w:t xml:space="preserve">do agente; âncora κ↔µM em banda GUM via Kd aparente — fechada pelo braço A6) ·</w:t>
      </w:r>
      <w:r>
        <w:t xml:space="preserve"> </w:t>
      </w:r>
      <w:r>
        <w:rPr>
          <w:b/>
          <w:bCs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/>
          <w:bCs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/>
          <w:bCs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/>
          <w:bCs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/>
          <w:bCs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/>
          <w:bCs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/>
          <w:iCs/>
        </w:rPr>
        <w:t xml:space="preserve">Função: responder</w:t>
      </w:r>
      <w:r>
        <w:rPr>
          <w:i/>
          <w:iCs/>
        </w:rPr>
        <w:t xml:space="preserve"> </w:t>
      </w:r>
      <w:r>
        <w:rPr>
          <w:i/>
          <w:iCs/>
        </w:rPr>
        <w:t xml:space="preserve">“por que</w:t>
      </w:r>
      <w:r>
        <w:rPr>
          <w:i/>
          <w:iCs/>
        </w:rPr>
        <w:t xml:space="preserve"> </w:t>
      </w:r>
      <w:r>
        <w:rPr>
          <w:i/>
          <w:iCs/>
        </w:rPr>
        <w:t xml:space="preserve">‘etrização’</w:t>
      </w:r>
      <w:r>
        <w:rPr>
          <w:i/>
          <w:iCs/>
        </w:rPr>
        <w:t xml:space="preserve">, e o que a diferencia?”</w:t>
      </w:r>
      <w:r>
        <w:rPr>
          <w:i/>
          <w:iCs/>
        </w:rPr>
        <w:t xml:space="preserve"> </w:t>
      </w:r>
      <w:r>
        <w:rPr>
          <w:i/>
          <w:iCs/>
        </w:rPr>
        <w:t xml:space="preserve">sem exigir a leitura integral da tese. A nota à leitura (pré-textual) definiu o termo; aqui se diferencia o método do que já existe.</w:t>
      </w:r>
    </w:p>
    <w:bookmarkStart w:id="15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/>
          <w:bCs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/>
          <w:bCs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/>
          <w:iCs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/>
          <w:iCs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/>
          <w:iCs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“prova de conceito”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/>
          <w:iCs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/>
          <w:iCs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/>
          <w:bCs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/>
          <w:iCs/>
        </w:rPr>
        <w:t xml:space="preserve">“este resultado é uma etrização, não um experimento”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/>
          <w:iCs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/>
          <w:bCs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/>
          <w:iCs/>
        </w:rPr>
        <w:t xml:space="preserve">essere → estre → être</w:t>
      </w:r>
      <w:r>
        <w:t xml:space="preserve">, evocando a raiz *es- (</w:t>
      </w:r>
      <w:r>
        <w:t xml:space="preserve">“ser”</w:t>
      </w:r>
      <w:r>
        <w:t xml:space="preserve">) e o potencial de vir a ser — potência não-atualizada; (ii) o</w:t>
      </w:r>
      <w:r>
        <w:t xml:space="preserve"> </w:t>
      </w:r>
      <w:r>
        <w:rPr>
          <w:i/>
          <w:iCs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“extração morfológica deliberada / neologismo composicional intencional”</w:t>
      </w:r>
      <w:r>
        <w:t xml:space="preserve"> </w:t>
      </w:r>
      <w:r>
        <w:t xml:space="preserve">— as rotas</w:t>
      </w:r>
      <w:r>
        <w:t xml:space="preserve"> </w:t>
      </w:r>
      <w:r>
        <w:rPr>
          <w:i/>
          <w:iCs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/>
          <w:iCs/>
        </w:rPr>
        <w:t xml:space="preserve">software</w:t>
      </w:r>
      <w:r>
        <w:t xml:space="preserve">,</w:t>
      </w:r>
      <w:r>
        <w:t xml:space="preserve"> </w:t>
      </w:r>
      <w:r>
        <w:rPr>
          <w:i/>
          <w:iCs/>
        </w:rPr>
        <w:t xml:space="preserve">byte</w:t>
      </w:r>
      <w:r>
        <w:t xml:space="preserve">,</w:t>
      </w:r>
      <w:r>
        <w:t xml:space="preserve"> </w:t>
      </w:r>
      <w:r>
        <w:rPr>
          <w:i/>
          <w:iCs/>
        </w:rPr>
        <w:t xml:space="preserve">quark</w:t>
      </w:r>
      <w:r>
        <w:t xml:space="preserve">).</w:t>
      </w:r>
    </w:p>
    <w:bookmarkEnd w:id="15"/>
    <w:bookmarkStart w:id="16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/>
          <w:bCs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/>
          <w:bCs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/>
          <w:bCs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“o ensaio teria dado certo?”</w:t>
      </w:r>
      <w:r>
        <w:t xml:space="preserve">; a etrização pergunta</w:t>
      </w:r>
      <w:r>
        <w:t xml:space="preserve"> </w:t>
      </w:r>
      <w:r>
        <w:t xml:space="preserve">“o que se pode saber e decidir AGORA, com o dado publicado, sem gastar o ensaio?”</w:t>
      </w:r>
    </w:p>
    <w:p>
      <w:pPr>
        <w:pStyle w:val="BodyText"/>
      </w:pPr>
      <w:r>
        <w:rPr>
          <w:b/>
          <w:bCs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/>
          <w:bCs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/>
          <w:bCs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/>
          <w:bCs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/>
          <w:bCs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X39d7349ea61c19cf668b35d66ed99ff8ee05190"/>
    <w:p>
      <w:pPr>
        <w:pStyle w:val="Heading1"/>
      </w:pPr>
      <w:r>
        <w:t xml:space="preserve">CAPÍTULO 2 — BASE COMUM DE DADOS (a ponte entre fundamento e aplicação)</w:t>
      </w:r>
    </w:p>
    <w:p>
      <w:pPr>
        <w:pStyle w:val="FirstParagraph"/>
      </w:pPr>
      <w:r>
        <w:rPr>
          <w:i/>
          <w:iCs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18" w:name="a-mesma-base-sob-os-dois-módulos"/>
    <w:p>
      <w:pPr>
        <w:pStyle w:val="Heading2"/>
      </w:pPr>
      <w:r>
        <w:t xml:space="preserve">2.1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/>
          <w:bCs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/>
          <w:bCs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/>
          <w:bCs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/>
          <w:bCs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/>
          <w:bCs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[claim:N060-fato] [evidence:E058]).</w:t>
      </w:r>
    </w:p>
    <w:bookmarkEnd w:id="18"/>
    <w:bookmarkStart w:id="19" w:name="X0739bf89e8c85217707bab0c8aa9cefb0227a7c"/>
    <w:p>
      <w:pPr>
        <w:pStyle w:val="Heading2"/>
      </w:pPr>
      <w:r>
        <w:t xml:space="preserve">2.2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/>
          <w:bCs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/>
          <w:bCs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/>
          <w:bCs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/>
          <w:bCs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/>
          <w:bCs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/>
          <w:bCs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/>
          <w:bCs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/>
          <w:bCs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“emerge”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19"/>
    <w:bookmarkStart w:id="20" w:name="Xae92807abdfd4604d91ffbc2a5b66993b66b046"/>
    <w:p>
      <w:pPr>
        <w:pStyle w:val="Heading2"/>
      </w:pPr>
      <w:r>
        <w:t xml:space="preserve">2.3 Tabela de validação (todos os números dos JSONs do registro)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</w:pPr>
            <w:r>
              <w:t xml:space="preserve">Confronto</w:t>
            </w:r>
          </w:p>
        </w:tc>
        <w:tc>
          <w:tcPr/>
          <w:p>
            <w:pPr>
              <w:pStyle w:val="Compac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</w:pPr>
            <w:r>
              <w:t xml:space="preserve">Cenário B =</w:t>
            </w:r>
            <w:r>
              <w:t xml:space="preserve"> </w:t>
            </w:r>
            <w:r>
              <w:rPr>
                <w:b/>
                <w:bCs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</w:pPr>
            <w:r>
              <w:t xml:space="preserve">o limiar travado é o</w:t>
            </w:r>
            <w:r>
              <w:t xml:space="preserve"> </w:t>
            </w:r>
            <w:r>
              <w:rPr>
                <w:b/>
                <w:bCs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/>
                <w:bCs/>
              </w:rPr>
              <w:t xml:space="preserve">κ_min=2,0 (Kt=2)</w:t>
            </w:r>
          </w:p>
        </w:tc>
        <w:tc>
          <w:tcPr/>
          <w:p>
            <w:pPr>
              <w:pStyle w:val="Compac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</w:pPr>
            <w:r>
              <w:t xml:space="preserve">✅ contém até Kt≈2 (ressalva de horizonte, §3.4)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/>
                <w:bCs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Xc5d13d9ce5859ad1bf9d5d2489886980a3100b0"/>
    <w:p>
      <w:pPr>
        <w:pStyle w:val="Heading1"/>
      </w:pPr>
      <w:r>
        <w:t xml:space="preserve">CAPÍTULO 3 — FUNDAMENTO: A INARIÂNCIA DE θ* (validação multi-espécie)</w:t>
      </w:r>
    </w:p>
    <w:p>
      <w:pPr>
        <w:pStyle w:val="FirstParagraph"/>
      </w:pPr>
      <w:r>
        <w:rPr>
          <w:i/>
          <w:iCs/>
        </w:rPr>
        <w:t xml:space="preserve">Em linguagem clínica: perguntamos se a</w:t>
      </w:r>
      <w:r>
        <w:rPr>
          <w:i/>
          <w:iCs/>
        </w:rPr>
        <w:t xml:space="preserve"> </w:t>
      </w:r>
      <w:r>
        <w:rPr>
          <w:i/>
          <w:iCs/>
        </w:rPr>
        <w:t xml:space="preserve">“dose”</w:t>
      </w:r>
      <w:r>
        <w:rPr>
          <w:i/>
          <w:iCs/>
        </w:rPr>
        <w:t xml:space="preserve"> </w:t>
      </w:r>
      <w:r>
        <w:rPr>
          <w:i/>
          <w:iCs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22" w:name="X570fd1e9a733c55ac1f062acf66cf544dbea580"/>
    <w:p>
      <w:pPr>
        <w:pStyle w:val="Heading2"/>
      </w:pPr>
      <w:r>
        <w:t xml:space="preserve">3.1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/>
          <w:bCs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22"/>
    <w:bookmarkStart w:id="23" w:name="cenário-b-sim"/>
    <w:p>
      <w:pPr>
        <w:pStyle w:val="Heading2"/>
      </w:pPr>
      <w:r>
        <w:t xml:space="preserve">3.2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/>
          <w:bCs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/>
          <w:iCs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23"/>
    <w:bookmarkStart w:id="24" w:name="regra-de-titulação-emergente"/>
    <w:p>
      <w:pPr>
        <w:pStyle w:val="Heading2"/>
      </w:pPr>
      <w:r>
        <w:t xml:space="preserve">3.3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/>
          <w:bCs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/>
          <w:bCs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24"/>
    <w:bookmarkStart w:id="25" w:name="Xda6db144fe9d64a0c688ea731a5f11e65c4d4bd"/>
    <w:p>
      <w:pPr>
        <w:pStyle w:val="Heading2"/>
      </w:pPr>
      <w:r>
        <w:t xml:space="preserve">3.4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/>
          <w:bCs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/>
          <w:bCs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/>
          <w:bCs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/>
          <w:iCs/>
        </w:rPr>
        <w:t xml:space="preserve">Figura 4 (auditável: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experiments/xspecies/make_fig4_thetaspecies.py</w:t>
      </w:r>
      <w:r>
        <w:rPr>
          <w:i/>
          <w:iCs/>
        </w:rPr>
        <w:t xml:space="preserve"> </w:t>
      </w:r>
      <w:r>
        <w:rPr>
          <w:i/>
          <w:iCs/>
        </w:rPr>
        <w:t xml:space="preserve">lê somente os JSONs p024; regenerável no CI). Proveniência integral: N-fatos N055–N059; canon F-43/F-44; JSONs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experiments/xspecies/p024_{mouse,human,hamster,vole}.json</w:t>
      </w:r>
      <w:r>
        <w:rPr>
          <w:i/>
          <w:iCs/>
        </w:rPr>
        <w:t xml:space="preserve"> </w:t>
      </w:r>
      <w:r>
        <w:rPr>
          <w:i/>
          <w:iCs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2d5de12b5dcc61888862742011e4b28136cd3fe"/>
    <w:p>
      <w:pPr>
        <w:pStyle w:val="Heading1"/>
      </w:pPr>
      <w:r>
        <w:t xml:space="preserve">CAPÍTULO 4 — APLICAÇÃO: O DESENHO TERAPÊUTICO EMERGE</w:t>
      </w:r>
    </w:p>
    <w:p>
      <w:pPr>
        <w:pStyle w:val="FirstParagraph"/>
      </w:pPr>
      <w:r>
        <w:rPr>
          <w:i/>
          <w:iCs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quanta proteína por depósito</w:t>
      </w:r>
      <w:r>
        <w:rPr>
          <w:i/>
          <w:iCs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27" w:name="transporte-três-regras-falseáveis-sim"/>
    <w:p>
      <w:pPr>
        <w:pStyle w:val="Heading2"/>
      </w:pPr>
      <w:r>
        <w:t xml:space="preserve">4.1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/>
          <w:bCs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Redose</w:t>
      </w:r>
      <w:r>
        <w:t xml:space="preserve">: intervalo</w:t>
      </w:r>
      <w:r>
        <w:t xml:space="preserve"> </w:t>
      </w:r>
      <w:r>
        <w:rPr>
          <w:b/>
          <w:bCs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27"/>
    <w:bookmarkStart w:id="28" w:name="X1090e93016871ec8ac8b3a2414ef25c0537541f"/>
    <w:p>
      <w:pPr>
        <w:pStyle w:val="Heading2"/>
      </w:pPr>
      <w:r>
        <w:t xml:space="preserve">4.2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/>
          <w:bCs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/>
          <w:bCs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(§3.4)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/>
          <w:bCs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/>
          <w:bCs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é resultado válido e esperado; saída de planejamento, jamais prescrição).</w:t>
      </w:r>
    </w:p>
    <w:bookmarkEnd w:id="28"/>
    <w:bookmarkStart w:id="29" w:name="X83697a1cfdb9267535534a5abbbfdebdf557ab1"/>
    <w:p>
      <w:pPr>
        <w:pStyle w:val="Heading2"/>
      </w:pPr>
      <w:r>
        <w:t xml:space="preserve">4.3 A primeira dose calculada: banda de dose do braço A6 [SIM-planejamento]</w:t>
      </w:r>
    </w:p>
    <w:p>
      <w:pPr>
        <w:pStyle w:val="FirstParagraph"/>
      </w:pPr>
      <w:r>
        <w:rPr>
          <w:b/>
          <w:bCs/>
        </w:rPr>
        <w:t xml:space="preserve">Cadeia dimensional (todas as células com unidade+fonte; JSON canônico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experiments/m31/m31_u1u2.json</w:t>
      </w:r>
      <w:r>
        <w:rPr>
          <w:b/>
          <w:bCs/>
        </w:rPr>
        <w:t xml:space="preserve">):</w:t>
      </w:r>
      <w:r>
        <w:t xml:space="preserve"> </w:t>
      </w:r>
      <w:r>
        <w:t xml:space="preserve">κ_req (regra de titulação, C057) → concentração no pico do depósito c = κ_req × Kd (banda Kd aparente</w:t>
      </w:r>
      <w:r>
        <w:t xml:space="preserve"> </w:t>
      </w:r>
      <w:r>
        <w:rPr>
          <w:b/>
          <w:bCs/>
        </w:rPr>
        <w:t xml:space="preserve">0,071–1,0 µM</w:t>
      </w:r>
      <w:r>
        <w:t xml:space="preserve">: piso = 71 nM medido por SPR para oligômeros de Aβ42 ligando PrP humano [evidence:E057] — proxy declarado, pois V127↔PrP^Sc não tem Kd medido; teto = âncora ilustrativa 1 µM da Parte 1 §2.2) → quantidade por depósito n = c × V_halo (V = cilindro r×h com r₁₀%=4–6 mm [evidence:E030], fração ECS 0,15–0,25 [evidence:E010], casca 2 mm declarada Tipo-B) → massa = n × MW (</w:t>
      </w:r>
      <w:r>
        <w:rPr>
          <w:b/>
          <w:bCs/>
        </w:rPr>
        <w:t xml:space="preserve">22,83 kDa</w:t>
      </w:r>
      <w:r>
        <w:t xml:space="preserve">, computada das nossas próprias sequências P04156 — resíduos 23–231, forma madura; V127 é variante de mesma massa, Δ=+14 Da) [evidence:E058].</w:t>
      </w:r>
    </w:p>
    <w:p>
      <w:pPr>
        <w:pStyle w:val="BodyText"/>
      </w:pPr>
      <w:r>
        <w:rPr>
          <w:b/>
          <w:bCs/>
        </w:rPr>
        <w:t xml:space="preserve">Escada de dose por banda-Kt do hospedeiro: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Banda-Kt</w:t>
            </w:r>
          </w:p>
        </w:tc>
        <w:tc>
          <w:tcPr/>
          <w:p>
            <w:pPr>
              <w:pStyle w:val="Compact"/>
            </w:pPr>
            <w:r>
              <w:t xml:space="preserve">κ_req</w:t>
            </w:r>
          </w:p>
        </w:tc>
        <w:tc>
          <w:tcPr/>
          <w:p>
            <w:pPr>
              <w:pStyle w:val="Compac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 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0,11–1,5</w:t>
            </w:r>
          </w:p>
        </w:tc>
        <w:tc>
          <w:tcPr/>
          <w:p>
            <w:pPr>
              <w:pStyle w:val="Compact"/>
            </w:pPr>
            <w:r>
              <w:t xml:space="preserve">0,0–1,9</w:t>
            </w:r>
          </w:p>
        </w:tc>
        <w:tc>
          <w:tcPr/>
          <w:p>
            <w:pPr>
              <w:pStyle w:val="Compac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Kt 2 (humano central)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0,14–2,0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0,0–2,6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 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0,21–3,0</w:t>
            </w:r>
          </w:p>
        </w:tc>
        <w:tc>
          <w:tcPr/>
          <w:p>
            <w:pPr>
              <w:pStyle w:val="Compact"/>
            </w:pPr>
            <w:r>
              <w:t xml:space="preserve">0,1–3,9</w:t>
            </w:r>
          </w:p>
        </w:tc>
        <w:tc>
          <w:tcPr/>
          <w:p>
            <w:pPr>
              <w:pStyle w:val="Compac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0,57–8,0</w:t>
            </w:r>
          </w:p>
        </w:tc>
        <w:tc>
          <w:tcPr/>
          <w:p>
            <w:pPr>
              <w:pStyle w:val="Compact"/>
            </w:pPr>
            <w:r>
              <w:t xml:space="preserve">0,2–10,3</w:t>
            </w:r>
          </w:p>
        </w:tc>
        <w:tc>
          <w:tcPr/>
          <w:p>
            <w:pPr>
              <w:pStyle w:val="Compac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/>
          <w:bCs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/>
          <w:bCs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/>
          <w:bCs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/>
          <w:bCs/>
        </w:rPr>
        <w:t xml:space="preserve">14× do proxy de Kd</w:t>
      </w:r>
      <w:r>
        <w:t xml:space="preserve"> </w:t>
      </w:r>
      <w:r>
        <w:t xml:space="preserve">(71 nM → 1 µM) ×</w:t>
      </w:r>
      <w:r>
        <w:t xml:space="preserve"> </w:t>
      </w:r>
      <w:r>
        <w:rPr>
          <w:b/>
          <w:bCs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/>
          <w:bCs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/>
          <w:bCs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/>
          <w:iCs/>
        </w:rPr>
        <w:t xml:space="preserve">Figura 5 (auditável: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experiments/m31/make_fig5_doseladder.py</w:t>
      </w:r>
      <w:r>
        <w:rPr>
          <w:i/>
          <w:iCs/>
        </w:rPr>
        <w:t xml:space="preserve"> </w:t>
      </w:r>
      <w:r>
        <w:rPr>
          <w:i/>
          <w:iCs/>
        </w:rPr>
        <w:t xml:space="preserve">lê somente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m31_u1u2.json</w:t>
      </w:r>
      <w:r>
        <w:rPr>
          <w:i/>
          <w:iCs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/>
          <w:bCs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/>
          <w:bCs/>
        </w:rPr>
        <w:t xml:space="preserve">dose conhecível de saída</w:t>
      </w:r>
      <w:r>
        <w:t xml:space="preserve"> </w:t>
      </w:r>
      <w:r>
        <w:t xml:space="preserve">— é o braço discriminador que fecha κ↔µM e testa a forma funcional do capping (primeira potência vs quadrática, travada na colheita [SIM] da Parte 1) [claim:C051] [evidence:E032, E033]. A5 e A7 herdam a cadeia como derivadas.</w:t>
      </w:r>
    </w:p>
    <w:bookmarkEnd w:id="29"/>
    <w:bookmarkStart w:id="30" w:name="X05c6eb20d73987d9245228a1d105d12c09d3a5e"/>
    <w:p>
      <w:pPr>
        <w:pStyle w:val="Heading2"/>
      </w:pPr>
      <w:r>
        <w:t xml:space="preserve">4.4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/>
          <w:bCs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30"/>
    <w:bookmarkStart w:id="31" w:name="custo-cotação"/>
    <w:p>
      <w:pPr>
        <w:pStyle w:val="Heading2"/>
      </w:pPr>
      <w:r>
        <w:t xml:space="preserve">4.5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885904e5764381ea365ecb3b28d29c47fdca7f4"/>
    <w:p>
      <w:pPr>
        <w:pStyle w:val="Heading1"/>
      </w:pPr>
      <w:r>
        <w:t xml:space="preserve">CAPÍTULO 5 — MÉTODOS: A ETRIZAÇÃO FORMALIZADA</w:t>
      </w:r>
    </w:p>
    <w:bookmarkStart w:id="33" w:name="X8b6dc00826d26841001b04930f734d2564b5f6f"/>
    <w:p>
      <w:pPr>
        <w:pStyle w:val="Heading2"/>
      </w:pPr>
      <w:r>
        <w:t xml:space="preserve">5.1 O método nomeado: etrização computacional, passos P0–P6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/>
          <w:bCs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/>
          <w:bCs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/>
          <w:bCs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</w:pPr>
            <w:r>
              <w:t xml:space="preserve">linhagem completa (§5.3)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execução</w:t>
            </w:r>
          </w:p>
        </w:tc>
        <w:tc>
          <w:tcPr/>
          <w:p>
            <w:pPr>
              <w:pStyle w:val="Compact"/>
            </w:pPr>
            <w:r>
              <w:t xml:space="preserve">modelos</w:t>
            </w:r>
          </w:p>
        </w:tc>
        <w:tc>
          <w:tcPr/>
          <w:p>
            <w:pPr>
              <w:pStyle w:val="Compac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colheita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/>
          <w:bCs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33"/>
    <w:bookmarkStart w:id="34" w:name="formulação-matemática-com-proveniência"/>
    <w:p>
      <w:pPr>
        <w:pStyle w:val="Heading2"/>
      </w:pPr>
      <w:r>
        <w:t xml:space="preserve">5.2 Formulação matemática com proveniência</w:t>
      </w:r>
    </w:p>
    <w:p>
      <w:pPr>
        <w:pStyle w:val="FirstParagraph"/>
      </w:pPr>
      <w:r>
        <w:rPr>
          <w:i/>
          <w:iCs/>
        </w:rPr>
        <w:t xml:space="preserve">Em linguagem clínica: as equações abaixo são o</w:t>
      </w:r>
      <w:r>
        <w:rPr>
          <w:i/>
          <w:iCs/>
        </w:rPr>
        <w:t xml:space="preserve"> </w:t>
      </w:r>
      <w:r>
        <w:rPr>
          <w:i/>
          <w:iCs/>
        </w:rPr>
        <w:t xml:space="preserve">“rastreio farmacocinético”</w:t>
      </w:r>
      <w:r>
        <w:rPr>
          <w:i/>
          <w:iCs/>
        </w:rPr>
        <w:t xml:space="preserve"> </w:t>
      </w:r>
      <w:r>
        <w:rPr>
          <w:i/>
          <w:iCs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/>
          <w:bCs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w:r>
        <w:t xml:space="preserve">∂(αc)/∂t = ∇·(D_eff∇c) − ∇·(vc) + S(x) − k_eff·c</w:t>
      </w:r>
    </w:p>
    <w:p>
      <w:pPr>
        <w:pStyle w:val="BodyText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/>
          <w:bCs/>
        </w:rPr>
        <w:t xml:space="preserve">Capping dominante-negativo e o limiar θ</w:t>
      </w:r>
      <w:r>
        <w:t xml:space="preserve"> </w:t>
      </w:r>
      <w:r>
        <w:t xml:space="preserve">(termo próprio): freeS(r) = (1 + κ·c_V127(r))⁻²; c_V127(r) ∝ exp(−r/ℓ);</w:t>
      </w:r>
      <w:r>
        <w:t xml:space="preserve"> </w:t>
      </w:r>
      <w:r>
        <w:rPr>
          <w:b/>
          <w:bCs/>
        </w:rPr>
        <w:t xml:space="preserve">θ ≡ (1 + κ·c_pico)⁻¹ ∈ (0,1]</w:t>
      </w:r>
      <w:r>
        <w:t xml:space="preserve"> </w:t>
      </w:r>
      <w:r>
        <w:t xml:space="preserve">—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/>
          <w:bCs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/>
          <w:bCs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34"/>
    <w:bookmarkStart w:id="35" w:name="base-de-validade-mandatória"/>
    <w:p>
      <w:pPr>
        <w:pStyle w:val="Heading2"/>
      </w:pPr>
      <w:r>
        <w:t xml:space="preserve">5.3 Base de Validade (MANDATÓRIA)</w:t>
      </w:r>
    </w:p>
    <w:p>
      <w:pPr>
        <w:pStyle w:val="FirstParagraph"/>
      </w:pPr>
      <w:r>
        <w:rPr>
          <w:b/>
          <w:bCs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/>
          <w:bCs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/>
          <w:bCs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Dado</w:t>
            </w:r>
          </w:p>
        </w:tc>
        <w:tc>
          <w:tcPr/>
          <w:p>
            <w:pPr>
              <w:pStyle w:val="Compact"/>
            </w:pPr>
            <w:r>
              <w:t xml:space="preserve">Primário</w:t>
            </w:r>
          </w:p>
        </w:tc>
        <w:tc>
          <w:tcPr/>
          <w:p>
            <w:pPr>
              <w:pStyle w:val="Compac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</w:pPr>
            <w:r>
              <w:t xml:space="preserve">camundongo</w:t>
            </w:r>
          </w:p>
        </w:tc>
        <w:tc>
          <w:tcPr/>
          <w:p>
            <w:pPr>
              <w:pStyle w:val="Compac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</w:pPr>
            <w:r>
              <w:t xml:space="preserve">direto</w:t>
            </w:r>
          </w:p>
        </w:tc>
        <w:tc>
          <w:tcPr/>
          <w:p>
            <w:pPr>
              <w:pStyle w:val="Compac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</w:pPr>
            <w:r>
              <w:t xml:space="preserve">direto</w:t>
            </w:r>
          </w:p>
        </w:tc>
        <w:tc>
          <w:tcPr/>
          <w:p>
            <w:pPr>
              <w:pStyle w:val="Compac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</w:pPr>
            <w:r>
              <w:t xml:space="preserve">termo freeS</w:t>
            </w:r>
          </w:p>
        </w:tc>
        <w:tc>
          <w:tcPr/>
          <w:p>
            <w:pPr>
              <w:pStyle w:val="Compact"/>
            </w:pPr>
            <w:r>
              <w:t xml:space="preserve">dose↔κ em banda (§4.3)</w:t>
            </w:r>
          </w:p>
        </w:tc>
        <w:tc>
          <w:tcPr/>
          <w:p>
            <w:pPr>
              <w:pStyle w:val="Compac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</w:pPr>
            <w:r>
              <w:t xml:space="preserve">Chen 2010 SPR [E057] + âncora ilustrativa P1 §2.2</w:t>
            </w:r>
          </w:p>
        </w:tc>
        <w:tc>
          <w:tcPr/>
          <w:p>
            <w:pPr>
              <w:pStyle w:val="Compac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</w:pPr>
            <w:r>
              <w:t xml:space="preserve">direto</w:t>
            </w:r>
          </w:p>
        </w:tc>
        <w:tc>
          <w:tcPr/>
          <w:p>
            <w:pPr>
              <w:pStyle w:val="Compac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</w:pPr>
            <w:r>
              <w:t xml:space="preserve">direto</w:t>
            </w:r>
          </w:p>
        </w:tc>
        <w:tc>
          <w:tcPr/>
          <w:p>
            <w:pPr>
              <w:pStyle w:val="Compac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</w:pPr>
            <w:r>
              <w:t xml:space="preserve">in-silico</w:t>
            </w:r>
          </w:p>
        </w:tc>
        <w:tc>
          <w:tcPr/>
          <w:p>
            <w:pPr>
              <w:pStyle w:val="Compac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/>
          <w:bCs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“métodos”</w:t>
      </w:r>
      <w:r>
        <w:t xml:space="preserve"> </w:t>
      </w:r>
      <w:r>
        <w:t xml:space="preserve">experimental exige.</w:t>
      </w:r>
    </w:p>
    <w:bookmarkEnd w:id="35"/>
    <w:bookmarkStart w:id="36" w:name="X54aab480f746b6a3f845896e727d77258ddb482"/>
    <w:p>
      <w:pPr>
        <w:pStyle w:val="Heading2"/>
      </w:pPr>
      <w:r>
        <w:t xml:space="preserve">5.4 A tese em forma experimental (mapeamento análogo)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Prontuário</w:t>
            </w:r>
          </w:p>
        </w:tc>
        <w:tc>
          <w:tcPr/>
          <w:p>
            <w:pPr>
              <w:pStyle w:val="Compac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/>
          <w:iCs/>
        </w:rPr>
        <w:t xml:space="preserve">Um examinador que sabe ler tese experimental sabe ler esta: basta trocar</w:t>
      </w:r>
      <w:r>
        <w:rPr>
          <w:i/>
          <w:iCs/>
        </w:rPr>
        <w:t xml:space="preserve"> </w:t>
      </w:r>
      <w:r>
        <w:rPr>
          <w:i/>
          <w:iCs/>
        </w:rPr>
        <w:t xml:space="preserve">“pessoa”</w:t>
      </w:r>
      <w:r>
        <w:rPr>
          <w:i/>
          <w:iCs/>
        </w:rPr>
        <w:t xml:space="preserve">→</w:t>
      </w:r>
      <w:r>
        <w:rPr>
          <w:i/>
          <w:iCs/>
        </w:rPr>
        <w:t xml:space="preserve">“fonte”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“instrumento”</w:t>
      </w:r>
      <w:r>
        <w:rPr>
          <w:i/>
          <w:iCs/>
        </w:rPr>
        <w:t xml:space="preserve">→</w:t>
      </w:r>
      <w:r>
        <w:rPr>
          <w:i/>
          <w:iCs/>
        </w:rPr>
        <w:t xml:space="preserve">“código”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“coleta”</w:t>
      </w:r>
      <w:r>
        <w:rPr>
          <w:i/>
          <w:iCs/>
        </w:rPr>
        <w:t xml:space="preserve">→</w:t>
      </w:r>
      <w:r>
        <w:rPr>
          <w:i/>
          <w:iCs/>
        </w:rPr>
        <w:t xml:space="preserve">“run”</w:t>
      </w:r>
      <w:r>
        <w:rPr>
          <w:i/>
          <w:iCs/>
        </w:rPr>
        <w:t xml:space="preserve"> </w:t>
      </w:r>
      <w:r>
        <w:rPr>
          <w:i/>
          <w:iCs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apítulo-6-resultados-como-validação"/>
    <w:p>
      <w:pPr>
        <w:pStyle w:val="Heading1"/>
      </w:pPr>
      <w:r>
        <w:t xml:space="preserve">CAPÍTULO 6 — RESULTADOS COMO VALIDAÇÃO</w:t>
      </w:r>
    </w:p>
    <w:p>
      <w:pPr>
        <w:pStyle w:val="FirstParagraph"/>
      </w:pPr>
      <w:r>
        <w:rPr>
          <w:i/>
          <w:iCs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</w:pPr>
            <w:r>
              <w:t xml:space="preserve">[claim:C052]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capítulo-7-camada-clínica"/>
    <w:p>
      <w:pPr>
        <w:pStyle w:val="Heading1"/>
      </w:pPr>
      <w:r>
        <w:t xml:space="preserve">CAPÍTULO 7 — CAMADA CLÍNICA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</w:t>
      </w:r>
    </w:p>
    <w:p>
      <w:pPr>
        <w:pStyle w:val="FirstParagraph"/>
      </w:pPr>
      <w:r>
        <w:rPr>
          <w:b/>
          <w:bCs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/>
          <w:bCs/>
        </w:rPr>
        <w:t xml:space="preserve">O que esta tese é, em cinco perguntas que qualquer médico faria: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Que doença?</w:t>
      </w:r>
      <w:r>
        <w:t xml:space="preserve"> </w:t>
      </w:r>
      <w:r>
        <w:t xml:space="preserve">DCJ esporádica/genética: rapidamente progressivas, 100% fatais, seis candidatos já faliram. (2)</w:t>
      </w:r>
      <w:r>
        <w:t xml:space="preserve"> </w:t>
      </w:r>
      <w:r>
        <w:rPr>
          <w:b/>
          <w:bCs/>
        </w:rPr>
        <w:t xml:space="preserve">Que ideia?</w:t>
      </w:r>
      <w:r>
        <w:t xml:space="preserve"> </w:t>
      </w:r>
      <w:r>
        <w:t xml:space="preserve">A variante PrP-G127V — selecionada pela evolução (kuru) — como agente dominante-negativo: compete com o príon e trava a replicação sem silenciar o PrP nativo. (3)</w:t>
      </w:r>
      <w:r>
        <w:t xml:space="preserve"> </w:t>
      </w:r>
      <w:r>
        <w:rPr>
          <w:b/>
          <w:bCs/>
        </w:rPr>
        <w:t xml:space="preserve">Que evidência?</w:t>
      </w:r>
      <w:r>
        <w:t xml:space="preserve"> </w:t>
      </w:r>
      <w:r>
        <w:t xml:space="preserve">Nenhuma medição nova em pacientes: simulação parametrizada com dados reais publicados (etrização); predições travadas ANTES de qualquer medição. (4)</w:t>
      </w:r>
      <w:r>
        <w:t xml:space="preserve"> </w:t>
      </w:r>
      <w:r>
        <w:rPr>
          <w:b/>
          <w:bCs/>
        </w:rPr>
        <w:t xml:space="preserve">Que resultado prático?</w:t>
      </w:r>
      <w:r>
        <w:t xml:space="preserve"> </w:t>
      </w:r>
      <w:r>
        <w:t xml:space="preserve">Três regras quantitativas (anel 8–12 mm; redose ≤7 d; limiar θ*≈⅓) + a sondagem multi-espécie (limiar aproximadamente conservado; dose titulada à velocidade da doença) +</w:t>
      </w:r>
      <w:r>
        <w:t xml:space="preserve"> </w:t>
      </w:r>
      <w:r>
        <w:rPr>
          <w:b/>
          <w:bCs/>
        </w:rPr>
        <w:t xml:space="preserve">a primeira dose calculada do braço A6: banda de 0,0–2,6 µg de proteína por depósito no degrau humano (pior caso 0,2–10,3), com a largura da banda explicitando o que o ensaio organoide fecha</w:t>
      </w:r>
      <w:r>
        <w:t xml:space="preserve">. (5)</w:t>
      </w:r>
      <w:r>
        <w:t xml:space="preserve"> </w:t>
      </w:r>
      <w:r>
        <w:rPr>
          <w:b/>
          <w:bCs/>
        </w:rPr>
        <w:t xml:space="preserve">Que promessa NÃO faz?</w:t>
      </w:r>
      <w:r>
        <w:t xml:space="preserve"> </w:t>
      </w:r>
      <w:r>
        <w:t xml:space="preserve">Não promete cura, aplicação humana, nem substitui laboratório.</w:t>
      </w:r>
    </w:p>
    <w:p>
      <w:pPr>
        <w:pStyle w:val="BodyText"/>
      </w:pPr>
      <w:r>
        <w:rPr>
          <w:b/>
          <w:bCs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t xml:space="preserve">“quanto da conversão sobrevive à dose no pior dia do anel”</w:t>
      </w:r>
      <w:r>
        <w:t xml:space="preserve"> </w:t>
      </w:r>
      <w:r>
        <w:t xml:space="preserve">(⅓ ≈ contém); κ = a dose; Kt = a velocidade inerente da doença. Cada capítulo técnico abre com</w:t>
      </w:r>
      <w:r>
        <w:t xml:space="preserve"> </w:t>
      </w:r>
      <w:r>
        <w:t xml:space="preserve">“Em linguagem clínica”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Rota de leitura de 10 minutos:</w:t>
      </w:r>
      <w:r>
        <w:t xml:space="preserve"> </w:t>
      </w:r>
      <w:r>
        <w:t xml:space="preserve">(1) esta NOTA (3 min) → (2)</w:t>
      </w:r>
      <w:r>
        <w:t xml:space="preserve"> </w:t>
      </w:r>
      <w:r>
        <w:rPr>
          <w:b/>
          <w:bCs/>
        </w:rPr>
        <w:t xml:space="preserve">Figura 4</w:t>
      </w:r>
      <w:r>
        <w:t xml:space="preserve"> </w:t>
      </w:r>
      <w:r>
        <w:t xml:space="preserve">(dose-limiar por espécie; 2 min) → (3)</w:t>
      </w:r>
      <w:r>
        <w:t xml:space="preserve"> </w:t>
      </w:r>
      <w:r>
        <w:rPr>
          <w:b/>
          <w:bCs/>
        </w:rPr>
        <w:t xml:space="preserve">Figura 5</w:t>
      </w:r>
      <w:r>
        <w:t xml:space="preserve"> </w:t>
      </w:r>
      <w:r>
        <w:t xml:space="preserve">(escada de dose com a banda; 2 min) → (4) §8</w:t>
      </w:r>
      <w:r>
        <w:t xml:space="preserve"> </w:t>
      </w:r>
      <w:r>
        <w:t xml:space="preserve">“o que significam e o que não significam”</w:t>
      </w:r>
      <w:r>
        <w:t xml:space="preserve"> </w:t>
      </w:r>
      <w:r>
        <w:t xml:space="preserve">(2 min) → (5) Cap. 9 conclusões (1 min).</w:t>
      </w:r>
    </w:p>
    <w:p>
      <w:pPr>
        <w:pStyle w:val="BodyText"/>
      </w:pPr>
      <w:r>
        <w:rPr>
          <w:b/>
          <w:bCs/>
        </w:rPr>
        <w:t xml:space="preserve">Acompanhamento previsto no desenho [SIM] (documentação de desenho — NÃO conduta clínica):</w:t>
      </w:r>
      <w:r>
        <w:t xml:space="preserve"> </w:t>
      </w:r>
      <w:r>
        <w:t xml:space="preserve">θ_obs em readouts 90–120 d (perfis radiais WB/IHC com leitura cega; critério θ_obs&lt;0,33 pré-registrado); manutenção da cobertura secretora com redose ≤7 d (gradiente proximal/distal; trough ≥30–56% [SIM]); triagem pré-sintomática na população-âncora E200K (RT-QuIC + NfL; precedentes tofersen/nusinersen). Serviços de neurologia interessados em auditar ou viabilizar o próximo gate encontram o pacote em</w:t>
      </w:r>
      <w:r>
        <w:t xml:space="preserve"> </w:t>
      </w:r>
      <w:r>
        <w:rPr>
          <w:rStyle w:val="VerbatimChar"/>
        </w:rPr>
        <w:t xml:space="preserve">paper/G0_UNLOCK_DOSSIER.md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paper/lab_outreach_package.md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X7799f2578554938e18dd3e418c66e55fd987a73"/>
    <w:p>
      <w:pPr>
        <w:pStyle w:val="Heading1"/>
      </w:pPr>
      <w:r>
        <w:t xml:space="preserve">CAPÍTULO 8 — LIMITAÇÕES COMO FRUTO (cada limite com o que o fecha)</w:t>
      </w:r>
    </w:p>
    <w:p>
      <w:pPr>
        <w:pStyle w:val="FirstParagraph"/>
      </w:pPr>
      <w:r>
        <w:rPr>
          <w:i/>
          <w:iCs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/>
          <w:bCs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 (Kd de Aβ42-oligômero↔PrP [E057], não V127↔PrP^Sc):</w:t>
      </w:r>
      <w:r>
        <w:t xml:space="preserve"> </w:t>
      </w:r>
      <w:r>
        <w:rPr>
          <w:b/>
          <w:bCs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/>
          <w:bCs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/>
          <w:bCs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/>
          <w:bCs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/>
          <w:bCs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/>
          <w:bCs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40"/>
    <w:bookmarkStart w:id="41" w:name="capítulo-9-conclusões-por-objetivo"/>
    <w:p>
      <w:pPr>
        <w:pStyle w:val="Heading1"/>
      </w:pPr>
      <w:r>
        <w:t xml:space="preserve">CAPÍTULO 9 — CONCLUSÕES POR OBJETIVO</w:t>
      </w:r>
    </w:p>
    <w:p>
      <w:pPr>
        <w:pStyle w:val="FirstParagraph"/>
      </w:pPr>
      <w:r>
        <w:rPr>
          <w:b/>
          <w:bCs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/>
          <w:bCs/>
        </w:rPr>
        <w:t xml:space="preserve">OE2 (Base de Validade) — alcançado.</w:t>
      </w:r>
      <w:r>
        <w:t xml:space="preserve"> </w:t>
      </w:r>
      <w:r>
        <w:t xml:space="preserve">Tríade + linhagem completa (agora 7 linhas, incluindo a âncora κ↔µM em banda) [claim:C046].</w:t>
      </w:r>
    </w:p>
    <w:p>
      <w:pPr>
        <w:pStyle w:val="BodyText"/>
      </w:pPr>
      <w:r>
        <w:rPr>
          <w:b/>
          <w:bCs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/>
          <w:bCs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/>
          <w:bCs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/>
          <w:bCs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/>
          <w:bCs/>
        </w:rPr>
        <w:t xml:space="preserve">Hipóteses.</w:t>
      </w:r>
      <w:r>
        <w:t xml:space="preserve"> </w:t>
      </w:r>
      <w:r>
        <w:t xml:space="preserve">H1 corroborada no nível documental (mapeamento análogo §5.4).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/>
          <w:bCs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/>
          <w:bCs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/>
          <w:bCs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/>
          <w:bCs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41"/>
    <w:bookmarkStart w:id="43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/>
          <w:iCs/>
        </w:rPr>
        <w:t xml:space="preserve">(Kd aparente 71 nM por SPR — proxy declarado da âncora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/>
          <w:iCs/>
        </w:rPr>
        <w:t xml:space="preserve">(JSON: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experiments/m31/m31_u1u2.json</w:t>
      </w:r>
      <w:r>
        <w:rPr>
          <w:i/>
          <w:iCs/>
        </w:rPr>
        <w:t xml:space="preserve">.)</w:t>
      </w:r>
    </w:p>
    <w:bookmarkStart w:id="42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pStyle w:val="Compact"/>
        <w:numPr>
          <w:ilvl w:val="0"/>
          <w:numId w:val="1003"/>
        </w:numPr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/>
          <w:iCs/>
        </w:rPr>
        <w:t xml:space="preserve">(abertura completa pendente antes de registro E)</w:t>
      </w:r>
    </w:p>
    <w:p>
      <w:pPr>
        <w:pStyle w:val="Compact"/>
        <w:numPr>
          <w:ilvl w:val="0"/>
          <w:numId w:val="1003"/>
        </w:numPr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pêndices"/>
    <w:p>
      <w:pPr>
        <w:pStyle w:val="Heading1"/>
      </w:pPr>
      <w:r>
        <w:t xml:space="preserve">APÊNDICES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— Inventário dos artefatos</w:t>
      </w:r>
      <w:r>
        <w:t xml:space="preserve"> </w:t>
      </w:r>
      <w:r>
        <w:t xml:space="preserve">(verificável em disco;</w:t>
      </w:r>
      <w:r>
        <w:t xml:space="preserve"> </w:t>
      </w:r>
      <w:r>
        <w:rPr>
          <w:rStyle w:val="VerbatimChar"/>
        </w:rPr>
        <w:t xml:space="preserve">paper/evidence_workspace/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 — Mapa da lógica completa</w:t>
      </w:r>
      <w:r>
        <w:t xml:space="preserve"> </w:t>
      </w:r>
      <w:r>
        <w:t xml:space="preserve">(fluxo da informação; decisões-chave; rejeições documentadas; glossário contextual; objeções da banca prejulgadas).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 — SAP completo do G0-wet</w:t>
      </w:r>
      <w:r>
        <w:t xml:space="preserve"> </w:t>
      </w:r>
      <w:r>
        <w:t xml:space="preserve">(Welch/Holm; cegamento; kill-switches; F1–F10; GATE-F).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 — Linhagem da Base de Validade</w:t>
      </w:r>
      <w:r>
        <w:t xml:space="preserve"> </w:t>
      </w:r>
      <w:r>
        <w:t xml:space="preserve">(a tabela §5.3 com hashes e paths).</w:t>
      </w:r>
    </w:p>
    <w:p>
      <w:pPr>
        <w:pStyle w:val="FirstParagraph"/>
      </w:pPr>
      <w:r>
        <w:rPr>
          <w:i/>
          <w:iCs/>
        </w:rPr>
        <w:t xml:space="preserve">Os apêndices A–F existem no registro; a edição unificada os incorpora por referência ao repositório (auditável em disco) para não duplicar artefatos gated.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  <w:rFonts w:ascii="Times New Roman" w:hAnsi="Times New Roman" w:eastAsia="Times New Roman" w:cs="Times New Roman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  <w:rFonts w:ascii="Times New Roman" w:hAnsi="Times New Roman" w:eastAsia="Times New Roman" w:cs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  <w:rFonts w:ascii="Times New Roman" w:hAnsi="Times New Roman" w:eastAsia="Times New Roman" w:cs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Times New Roman" w:hAnsi="Times New Roman" w:eastAsia="Times New Roman" w:cs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 w:cs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Times New Roman" w:cs="Times New Roman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Times New Roman" w:cs="Times New Roman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Times New Roman" w:cs="Times New Roman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hAnsi="Times New Roman" w:eastAsia="Times New Roman" w:cs="Times New Roman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hAnsi="Times New Roman" w:eastAsia="Times New Roman" w:cs="Times New Roman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Times New Roman" w:hAnsi="Times New Roman" w:eastAsia="Times New Roman" w:cs="Times New Roman"/>
    </w:rPr>
  </w:style>
  <w:style w:styleId="Hyperlink" w:type="character">
    <w:name w:val="Hyperlink"/>
    <w:basedOn w:val="BodyTextChar"/>
    <w:rPr>
      <w:color w:themeColor="accent1" w:val="4F81BD"/>
      <w:rFonts w:ascii="Times New Roman" w:hAnsi="Times New Roman" w:eastAsia="Times New Roman" w:cs="Times New Roman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  <w:rFonts w:ascii="Times New Roman" w:hAnsi="Times New Roman" w:eastAsia="Times New Roman" w:cs="Times New Roman"/>
    </w:rPr>
  </w:style>
  <w:style w:type="character" w:customStyle="1" w:styleId="DataTypeTok">
    <w:name w:val="DataTypeTok"/>
    <w:basedOn w:val="VerbatimChar"/>
    <w:rPr>
      <w:color w:val="902000"/>
      <w:rFonts w:ascii="Times New Roman" w:hAnsi="Times New Roman" w:eastAsia="Times New Roman" w:cs="Times New Roman"/>
    </w:rPr>
  </w:style>
  <w:style w:type="character" w:customStyle="1" w:styleId="DecValTok">
    <w:name w:val="DecValTok"/>
    <w:basedOn w:val="VerbatimChar"/>
    <w:rPr>
      <w:color w:val="40a070"/>
      <w:rFonts w:ascii="Times New Roman" w:hAnsi="Times New Roman" w:eastAsia="Times New Roman" w:cs="Times New Roman"/>
    </w:rPr>
  </w:style>
  <w:style w:type="character" w:customStyle="1" w:styleId="BaseNTok">
    <w:name w:val="BaseNTok"/>
    <w:basedOn w:val="VerbatimChar"/>
    <w:rPr>
      <w:color w:val="40a070"/>
      <w:rFonts w:ascii="Times New Roman" w:hAnsi="Times New Roman" w:eastAsia="Times New Roman" w:cs="Times New Roman"/>
    </w:rPr>
  </w:style>
  <w:style w:type="character" w:customStyle="1" w:styleId="FloatTok">
    <w:name w:val="FloatTok"/>
    <w:basedOn w:val="VerbatimChar"/>
    <w:rPr>
      <w:color w:val="40a070"/>
      <w:rFonts w:ascii="Times New Roman" w:hAnsi="Times New Roman" w:eastAsia="Times New Roman" w:cs="Times New Roman"/>
    </w:rPr>
  </w:style>
  <w:style w:type="character" w:customStyle="1" w:styleId="ConstantTok">
    <w:name w:val="ConstantTok"/>
    <w:basedOn w:val="VerbatimChar"/>
    <w:rPr>
      <w:color w:val="880000"/>
      <w:rFonts w:ascii="Times New Roman" w:hAnsi="Times New Roman" w:eastAsia="Times New Roman" w:cs="Times New Roman"/>
    </w:rPr>
  </w:style>
  <w:style w:type="character" w:customStyle="1" w:styleId="CharTok">
    <w:name w:val="CharTok"/>
    <w:basedOn w:val="VerbatimChar"/>
    <w:rPr>
      <w:color w:val="4070a0"/>
      <w:rFonts w:ascii="Times New Roman" w:hAnsi="Times New Roman" w:eastAsia="Times New Roman" w:cs="Times New Roman"/>
    </w:rPr>
  </w:style>
  <w:style w:type="character" w:customStyle="1" w:styleId="SpecialCharTok">
    <w:name w:val="SpecialCharTok"/>
    <w:basedOn w:val="VerbatimChar"/>
    <w:rPr>
      <w:color w:val="4070a0"/>
      <w:rFonts w:ascii="Times New Roman" w:hAnsi="Times New Roman" w:eastAsia="Times New Roman" w:cs="Times New Roman"/>
    </w:rPr>
  </w:style>
  <w:style w:type="character" w:customStyle="1" w:styleId="StringTok">
    <w:name w:val="StringTok"/>
    <w:basedOn w:val="VerbatimChar"/>
    <w:rPr>
      <w:color w:val="4070a0"/>
      <w:rFonts w:ascii="Times New Roman" w:hAnsi="Times New Roman" w:eastAsia="Times New Roman" w:cs="Times New Roman"/>
    </w:rPr>
  </w:style>
  <w:style w:type="character" w:customStyle="1" w:styleId="VerbatimStringTok">
    <w:name w:val="VerbatimStringTok"/>
    <w:basedOn w:val="VerbatimChar"/>
    <w:rPr>
      <w:color w:val="4070a0"/>
      <w:rFonts w:ascii="Times New Roman" w:hAnsi="Times New Roman" w:eastAsia="Times New Roman" w:cs="Times New Roman"/>
    </w:rPr>
  </w:style>
  <w:style w:type="character" w:customStyle="1" w:styleId="SpecialStringTok">
    <w:name w:val="SpecialStringTok"/>
    <w:basedOn w:val="VerbatimChar"/>
    <w:rPr>
      <w:color w:val="bb6688"/>
      <w:rFonts w:ascii="Times New Roman" w:hAnsi="Times New Roman" w:eastAsia="Times New Roman" w:cs="Times New Roman"/>
    </w:rPr>
  </w:style>
  <w:style w:type="character" w:customStyle="1" w:styleId="ImportTok">
    <w:name w:val="ImportTok"/>
    <w:basedOn w:val="VerbatimChar"/>
    <w:rPr>
      <w:b/>
      <w:color w:val="008000"/>
      <w:rFonts w:ascii="Times New Roman" w:hAnsi="Times New Roman" w:eastAsia="Times New Roman" w:cs="Times New Roman"/>
    </w:rPr>
  </w:style>
  <w:style w:type="character" w:customStyle="1" w:styleId="CommentTok">
    <w:name w:val="CommentTok"/>
    <w:basedOn w:val="VerbatimChar"/>
    <w:rPr>
      <w:i/>
      <w:color w:val="60a0b0"/>
      <w:rFonts w:ascii="Times New Roman" w:hAnsi="Times New Roman" w:eastAsia="Times New Roman" w:cs="Times New Roman"/>
    </w:rPr>
  </w:style>
  <w:style w:type="character" w:customStyle="1" w:styleId="DocumentationTok">
    <w:name w:val="DocumentationTok"/>
    <w:basedOn w:val="VerbatimChar"/>
    <w:rPr>
      <w:i/>
      <w:color w:val="ba2121"/>
      <w:rFonts w:ascii="Times New Roman" w:hAnsi="Times New Roman" w:eastAsia="Times New Roman" w:cs="Times New Roman"/>
    </w:rPr>
  </w:style>
  <w:style w:type="character" w:customStyle="1" w:styleId="AnnotationTok">
    <w:name w:val="AnnotationTok"/>
    <w:basedOn w:val="VerbatimChar"/>
    <w:rPr>
      <w:b/>
      <w:i/>
      <w:color w:val="60a0b0"/>
      <w:rFonts w:ascii="Times New Roman" w:hAnsi="Times New Roman" w:eastAsia="Times New Roman" w:cs="Times New Roman"/>
    </w:rPr>
  </w:style>
  <w:style w:type="character" w:customStyle="1" w:styleId="CommentVarTok">
    <w:name w:val="CommentVarTok"/>
    <w:basedOn w:val="VerbatimChar"/>
    <w:rPr>
      <w:b/>
      <w:i/>
      <w:color w:val="60a0b0"/>
      <w:rFonts w:ascii="Times New Roman" w:hAnsi="Times New Roman" w:eastAsia="Times New Roman" w:cs="Times New Roman"/>
    </w:rPr>
  </w:style>
  <w:style w:type="character" w:customStyle="1" w:styleId="OtherTok">
    <w:name w:val="OtherTok"/>
    <w:basedOn w:val="VerbatimChar"/>
    <w:rPr>
      <w:color w:val="007020"/>
      <w:rFonts w:ascii="Times New Roman" w:hAnsi="Times New Roman" w:eastAsia="Times New Roman" w:cs="Times New Roman"/>
    </w:rPr>
  </w:style>
  <w:style w:type="character" w:customStyle="1" w:styleId="FunctionTok">
    <w:name w:val="FunctionTok"/>
    <w:basedOn w:val="VerbatimChar"/>
    <w:rPr>
      <w:color w:val="06287e"/>
      <w:rFonts w:ascii="Times New Roman" w:hAnsi="Times New Roman" w:eastAsia="Times New Roman" w:cs="Times New Roman"/>
    </w:rPr>
  </w:style>
  <w:style w:type="character" w:customStyle="1" w:styleId="VariableTok">
    <w:name w:val="VariableTok"/>
    <w:basedOn w:val="VerbatimChar"/>
    <w:rPr>
      <w:color w:val="19177c"/>
      <w:rFonts w:ascii="Times New Roman" w:hAnsi="Times New Roman" w:eastAsia="Times New Roman" w:cs="Times New Roman"/>
    </w:rPr>
  </w:style>
  <w:style w:type="character" w:customStyle="1" w:styleId="ControlFlowTok">
    <w:name w:val="ControlFlowTok"/>
    <w:basedOn w:val="VerbatimChar"/>
    <w:rPr>
      <w:b/>
      <w:color w:val="007020"/>
      <w:rFonts w:ascii="Times New Roman" w:hAnsi="Times New Roman" w:eastAsia="Times New Roman" w:cs="Times New Roman"/>
    </w:rPr>
  </w:style>
  <w:style w:type="character" w:customStyle="1" w:styleId="OperatorTok">
    <w:name w:val="OperatorTok"/>
    <w:basedOn w:val="VerbatimChar"/>
    <w:rPr>
      <w:color w:val="666666"/>
      <w:rFonts w:ascii="Times New Roman" w:hAnsi="Times New Roman" w:eastAsia="Times New Roman" w:cs="Times New Roman"/>
    </w:rPr>
  </w:style>
  <w:style w:type="character" w:customStyle="1" w:styleId="BuiltInTok">
    <w:name w:val="BuiltInTok"/>
    <w:basedOn w:val="VerbatimChar"/>
    <w:rPr>
      <w:color w:val="008000"/>
      <w:rFonts w:ascii="Times New Roman" w:hAnsi="Times New Roman" w:eastAsia="Times New Roman" w:cs="Times New Roman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</w:rPr>
  </w:style>
  <w:style w:type="character" w:customStyle="1" w:styleId="PreprocessorTok">
    <w:name w:val="PreprocessorTok"/>
    <w:basedOn w:val="VerbatimChar"/>
    <w:rPr>
      <w:color w:val="bc7a00"/>
      <w:rFonts w:ascii="Times New Roman" w:hAnsi="Times New Roman" w:eastAsia="Times New Roman" w:cs="Times New Roman"/>
    </w:rPr>
  </w:style>
  <w:style w:type="character" w:customStyle="1" w:styleId="AttributeTok">
    <w:name w:val="AttributeTok"/>
    <w:basedOn w:val="VerbatimChar"/>
    <w:rPr>
      <w:color w:val="7d9029"/>
      <w:rFonts w:ascii="Times New Roman" w:hAnsi="Times New Roman" w:eastAsia="Times New Roman" w:cs="Times New Roman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</w:rPr>
  </w:style>
  <w:style w:type="character" w:customStyle="1" w:styleId="InformationTok">
    <w:name w:val="InformationTok"/>
    <w:basedOn w:val="VerbatimChar"/>
    <w:rPr>
      <w:b/>
      <w:i/>
      <w:color w:val="60a0b0"/>
      <w:rFonts w:ascii="Times New Roman" w:hAnsi="Times New Roman" w:eastAsia="Times New Roman" w:cs="Times New Roman"/>
    </w:rPr>
  </w:style>
  <w:style w:type="character" w:customStyle="1" w:styleId="WarningTok">
    <w:name w:val="WarningTok"/>
    <w:basedOn w:val="VerbatimChar"/>
    <w:rPr>
      <w:b/>
      <w:i/>
      <w:color w:val="60a0b0"/>
      <w:rFonts w:ascii="Times New Roman" w:hAnsi="Times New Roman" w:eastAsia="Times New Roman" w:cs="Times New Roman"/>
    </w:rPr>
  </w:style>
  <w:style w:type="character" w:customStyle="1" w:styleId="AlertTok">
    <w:name w:val="AlertTok"/>
    <w:basedOn w:val="VerbatimChar"/>
    <w:rPr>
      <w:b/>
      <w:color w:val="ff0000"/>
      <w:rFonts w:ascii="Times New Roman" w:hAnsi="Times New Roman" w:eastAsia="Times New Roman" w:cs="Times New Roman"/>
    </w:rPr>
  </w:style>
  <w:style w:type="character" w:customStyle="1" w:styleId="ErrorTok">
    <w:name w:val="ErrorTok"/>
    <w:basedOn w:val="VerbatimChar"/>
    <w:rPr>
      <w:b/>
      <w:color w:val="ff0000"/>
      <w:rFonts w:ascii="Times New Roman" w:hAnsi="Times New Roman" w:eastAsia="Times New Roman" w:cs="Times New Roman"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ns1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Times New Roman"/>
        <a:cs typeface="Times New Roma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2026-09-01T20:40:12Z</dcterms:created>
  <dcterms:modified xsi:type="dcterms:W3CDTF">2026-09-01T20:40:12Z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