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1d22e3687f729a58a03f0095730d8da40ef6c5b"/>
    <w:p>
      <w:pPr>
        <w:pStyle w:val="Heading1"/>
      </w:pPr>
      <w:r>
        <w:t xml:space="preserve">ETRIZAÇÃO COMPUTACIONAL EM DOENÇAS PRIÔNICAS: APLICADA À PLATAFORMA TERAPÊUTICA PrP-V127</w:t>
      </w:r>
    </w:p>
    <w:p>
      <w:pPr>
        <w:pStyle w:val="FirstParagraph"/>
      </w:pPr>
      <w:r>
        <w:rPr>
          <w:bCs/>
          <w:b/>
        </w:rPr>
        <w:t xml:space="preserve">Tese unificada — Parte 1 + Parte 2 + Parte 3 autocontidas</w:t>
      </w:r>
      <w:r>
        <w:t xml:space="preserve"> </w:t>
      </w:r>
      <w:r>
        <w:t xml:space="preserve">· edição de publicação (coluna única justificada) · co-edição institucional ABNT NBR 14724 preservada (</w:t>
      </w:r>
      <w:r>
        <w:rPr>
          <w:rStyle w:val="VerbatimChar"/>
        </w:rPr>
        <w:t xml:space="preserve">paper/latex/tese_v2_ABNT.pdf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AUTORA:</w:t>
      </w:r>
      <w:r>
        <w:t xml:space="preserve"> </w:t>
      </w:r>
      <w:r>
        <w:t xml:space="preserve">Camilla N.</w:t>
      </w:r>
      <w:r>
        <w:t xml:space="preserve"> </w:t>
      </w:r>
      <w:r>
        <w:rPr>
          <w:iCs/>
          <w:i/>
        </w:rPr>
        <w:t xml:space="preserve">(correspondente)</w:t>
      </w:r>
    </w:p>
    <w:p>
      <w:pPr>
        <w:pStyle w:val="BlockText"/>
      </w:pPr>
      <w:r>
        <w:t xml:space="preserve">🔖</w:t>
      </w:r>
      <w:r>
        <w:t xml:space="preserve"> </w:t>
      </w:r>
      <w:r>
        <w:rPr>
          <w:bCs/>
          <w:b/>
        </w:rPr>
        <w:t xml:space="preserve">FICHA ACADÊMICA — A PREENCHER PELA AUTORA APÓS LEITURA</w:t>
      </w:r>
      <w:r>
        <w:t xml:space="preserve"> </w:t>
      </w:r>
      <w:r>
        <w:t xml:space="preserve">{{TODO:TESE-FICHA:programa/área/orientadora/coorientadora — preencher após leitura}}</w:t>
      </w:r>
      <w:r>
        <w:t xml:space="preserve"> </w:t>
      </w:r>
      <w:r>
        <w:rPr>
          <w:bCs/>
          <w:b/>
        </w:rPr>
        <w:t xml:space="preserve">DOCUMENTO:</w:t>
      </w:r>
      <w:r>
        <w:t xml:space="preserve"> </w:t>
      </w:r>
      <w:r>
        <w:t xml:space="preserve">Tese unificada (companion validado da Parte 1, release v3.0; Parte 3 integrada) · 2026-09-01</w:t>
      </w:r>
      <w:r>
        <w:t xml:space="preserve"> </w:t>
      </w:r>
      <w:r>
        <w:rPr>
          <w:bCs/>
          <w:b/>
        </w:rPr>
        <w:t xml:space="preserve">NATUREZA:</w:t>
      </w:r>
      <w:r>
        <w:t xml:space="preserve"> </w:t>
      </w:r>
      <w:r>
        <w:t xml:space="preserve">tese baseada em simulação computacional — G0 validado por simulação; dados reais de pesquisa em ambiente simulado; forma experimental análoga (Cap. Métodos,</w:t>
      </w:r>
      <w:r>
        <w:t xml:space="preserve"> </w:t>
      </w:r>
      <w:r>
        <w:t xml:space="preserve">“</w:t>
      </w:r>
      <w:r>
        <w:t xml:space="preserve">mapeamento análogo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nota-à-leitura-sobre-o-termo-etrização"/>
      <w:r>
        <w:t xml:space="preserve">NOTA À LEITURA — SOBRE O TERMO</w:t>
      </w:r>
      <w:r>
        <w:t xml:space="preserve"> </w:t>
      </w:r>
      <w:r>
        <w:rPr>
          <w:iCs/>
          <w:i/>
        </w:rPr>
        <w:t xml:space="preserve">ETRIZAÇÃO</w:t>
      </w:r>
      <w:bookmarkEnd w:id="20"/>
    </w:p>
    <w:p>
      <w:pPr>
        <w:pStyle w:val="BlockText"/>
      </w:pPr>
      <w:r>
        <w:t xml:space="preserve">Este documento introduz o termo</w:t>
      </w:r>
      <w:r>
        <w:t xml:space="preserve"> </w:t>
      </w:r>
      <w:r>
        <w:rPr>
          <w:bCs/>
          <w:b/>
        </w:rPr>
        <w:t xml:space="preserve">etrização</w:t>
      </w:r>
      <w:r>
        <w:t xml:space="preserve"> </w:t>
      </w:r>
      <w:r>
        <w:t xml:space="preserve">como neologismo científico composicional intencional. O radical</w:t>
      </w:r>
      <w:r>
        <w:t xml:space="preserve"> </w:t>
      </w:r>
      <w:r>
        <w:rPr>
          <w:iCs/>
          <w:i/>
        </w:rPr>
        <w:t xml:space="preserve">etr-</w:t>
      </w:r>
      <w:r>
        <w:t xml:space="preserve"> </w:t>
      </w:r>
      <w:r>
        <w:t xml:space="preserve">evoca, por extração morfológica deliberada (não derivação etimológica), a evolução</w:t>
      </w:r>
      <w:r>
        <w:t xml:space="preserve"> </w:t>
      </w:r>
      <w:r>
        <w:rPr>
          <w:iCs/>
          <w:i/>
        </w:rPr>
        <w:t xml:space="preserve">essere→estre→être</w:t>
      </w:r>
      <w:r>
        <w:t xml:space="preserve"> </w:t>
      </w:r>
      <w:r>
        <w:t xml:space="preserve">da raiz indo-europeia *es- (</w:t>
      </w:r>
      <w:r>
        <w:t xml:space="preserve">‘</w:t>
      </w:r>
      <w:r>
        <w:t xml:space="preserve">ser</w:t>
      </w:r>
      <w:r>
        <w:t xml:space="preserve">’</w:t>
      </w:r>
      <w:r>
        <w:t xml:space="preserve">) — o</w:t>
      </w:r>
      <w:r>
        <w:t xml:space="preserve"> </w:t>
      </w:r>
      <w:r>
        <w:rPr>
          <w:bCs/>
          <w:b/>
        </w:rPr>
        <w:t xml:space="preserve">potencial de vir a ser</w:t>
      </w:r>
      <w:r>
        <w:t xml:space="preserve"> </w:t>
      </w:r>
      <w:r>
        <w:t xml:space="preserve">— e o</w:t>
      </w:r>
      <w:r>
        <w:t xml:space="preserve"> </w:t>
      </w:r>
      <w:r>
        <w:rPr>
          <w:iCs/>
          <w:i/>
        </w:rPr>
        <w:t xml:space="preserve">atrium</w:t>
      </w:r>
      <w:r>
        <w:t xml:space="preserve"> </w:t>
      </w:r>
      <w:r>
        <w:t xml:space="preserve">latino — a</w:t>
      </w:r>
      <w:r>
        <w:t xml:space="preserve"> </w:t>
      </w:r>
      <w:r>
        <w:rPr>
          <w:bCs/>
          <w:b/>
        </w:rPr>
        <w:t xml:space="preserve">antecâmara</w:t>
      </w:r>
      <w:r>
        <w:t xml:space="preserve"> </w:t>
      </w:r>
      <w:r>
        <w:t xml:space="preserve">entre o virtual e o real.</w:t>
      </w:r>
      <w:r>
        <w:t xml:space="preserve"> </w:t>
      </w:r>
      <w:r>
        <w:rPr>
          <w:bCs/>
          <w:b/>
        </w:rPr>
        <w:t xml:space="preserve">Etrização</w:t>
      </w:r>
      <w:r>
        <w:t xml:space="preserve"> </w:t>
      </w:r>
      <w:r>
        <w:t xml:space="preserve">nomeia o estado do conhecimento que esta tese produz e entrega: um sistema operacionalizado computacionalmente a partir de dados reais publicados, estruturalmente robusto e preditivamente informativo,</w:t>
      </w:r>
      <w:r>
        <w:t xml:space="preserve"> </w:t>
      </w:r>
      <w:r>
        <w:rPr>
          <w:bCs/>
          <w:b/>
        </w:rPr>
        <w:t xml:space="preserve">ainda não validado empiricamente</w:t>
      </w:r>
      <w:r>
        <w:t xml:space="preserve"> </w:t>
      </w:r>
      <w:r>
        <w:t xml:space="preserve">— e por isso mesmo capaz de fundamentar as pesquisas subsequentes que o atualizarão. Como o</w:t>
      </w:r>
      <w:r>
        <w:t xml:space="preserve"> </w:t>
      </w:r>
      <w:r>
        <w:t xml:space="preserve">‘</w:t>
      </w:r>
      <w:r>
        <w:t xml:space="preserve">átomo</w:t>
      </w:r>
      <w:r>
        <w:t xml:space="preserve">’</w:t>
      </w:r>
      <w:r>
        <w:t xml:space="preserve"> </w:t>
      </w:r>
      <w:r>
        <w:t xml:space="preserve">nomeou antes da prova um objeto que fundou ciência,</w:t>
      </w:r>
      <w:r>
        <w:t xml:space="preserve"> </w:t>
      </w:r>
      <w:r>
        <w:t xml:space="preserve">‘</w:t>
      </w:r>
      <w:r>
        <w:t xml:space="preserve">etrização</w:t>
      </w:r>
      <w:r>
        <w:t xml:space="preserve">’</w:t>
      </w:r>
      <w:r>
        <w:t xml:space="preserve"> </w:t>
      </w:r>
      <w:r>
        <w:t xml:space="preserve">nomeia o processo que produz objetos-conceito operacionais na saúde. O método que a produz, com seus passos e garantias, é a ACP (Cap. Métodos); a operação técnica central é a parametrização com proveniência. Cinco critérios distinguem uma etrização de mera simulação — cadeia de dados explícita, transposição justificada, incerteza quantificada, escopo delimitado, transição condicionada —</w:t>
      </w:r>
      <w:r>
        <w:t xml:space="preserve"> </w:t>
      </w:r>
      <w:r>
        <w:rPr>
          <w:bCs/>
          <w:b/>
        </w:rPr>
        <w:t xml:space="preserve">todos cumpridos e auditáveis nesta tese</w:t>
      </w:r>
      <w:r>
        <w:t xml:space="preserve">. E, como mandato: toda a simulação aqui se alimenta exclusivamente de fatos e dados amplamente divulgados na literatura publicada [claim:C054] [evidence:E009, E010, E007, E031, E032, E033].</w:t>
      </w:r>
    </w:p>
    <w:p>
      <w:pPr>
        <w:pStyle w:val="BlockText"/>
      </w:pPr>
      <w:r>
        <w:rPr>
          <w:bCs/>
          <w:b/>
        </w:rPr>
        <w:t xml:space="preserve">Protocolo metodológico de leitura (como auditar o que vai ler).</w:t>
      </w:r>
      <w:r>
        <w:t xml:space="preserve"> </w:t>
      </w:r>
      <w:r>
        <w:t xml:space="preserve">(i) Todo dado carrega rótulo de tier:</w:t>
      </w:r>
      <w:r>
        <w:t xml:space="preserve"> </w:t>
      </w:r>
      <w:r>
        <w:rPr>
          <w:bCs/>
          <w:b/>
        </w:rPr>
        <w:t xml:space="preserve">[SIM]/[ORGANOID]/[MOUSE]/[HUMAN]</w:t>
      </w:r>
      <w:r>
        <w:t xml:space="preserve"> </w:t>
      </w:r>
      <w:r>
        <w:t xml:space="preserve">— toda cifra desta edição é [SIM]: simulação parametrizada sobre fontes reais, nunca medida; (ii) toda afirmação-numérica amarra a claim (C-ID) e referência (E-ID → lista ABNT ao final); a concordância integral está tabelada; (iii) as predições centrais estão travadas por release público (v1.0) desde antes de qualquer resultado — comparações jamais reescrevem o passado (anti-hindsight); (iv) o documento foi verificado por revisão hostil de máquina (guardião R0–R3) e pela bateria AST 9/9 — reproduzível com</w:t>
      </w:r>
      <w:r>
        <w:t xml:space="preserve"> </w:t>
      </w:r>
      <w:r>
        <w:rPr>
          <w:rStyle w:val="VerbatimChar"/>
        </w:rPr>
        <w:t xml:space="preserve">python3 experiments/ast_check.py</w:t>
      </w:r>
      <w:r>
        <w:t xml:space="preserve">; (v) a simulação</w:t>
      </w:r>
      <w:r>
        <w:t xml:space="preserve"> </w:t>
      </w:r>
      <w:r>
        <w:rPr>
          <w:bCs/>
          <w:b/>
        </w:rPr>
        <w:t xml:space="preserve">não substitui</w:t>
      </w:r>
      <w:r>
        <w:t xml:space="preserve"> </w:t>
      </w:r>
      <w:r>
        <w:t xml:space="preserve">o laboratório: o caminho obrigatório até a sociedade está declarado no Cap. 9 (próximas abordagens).</w:t>
      </w:r>
    </w:p>
    <w:bookmarkStart w:id="21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rPr>
          <w:bCs/>
          <w:b/>
        </w:rPr>
        <w:t xml:space="preserve">Introdução.</w:t>
      </w:r>
      <w:r>
        <w:t xml:space="preserve"> </w:t>
      </w:r>
      <w:r>
        <w:t xml:space="preserve">Doenças priônicas são 100% fatais e seis candidatos clínicos fracassaram sem modelo quantitativo de entrega. A Parte 1 construiu, por auditoria sistemática, física de transporte, calibração bayesiana e simulação humanizada, uma plataforma de contenção terapêutica (PrP-V127) com limiar adimensional θ*=0,333 — executada, aprovada e reproduzida em dois ambientes computacionais.</w:t>
      </w:r>
      <w:r>
        <w:t xml:space="preserve"> </w:t>
      </w:r>
      <w:r>
        <w:rPr>
          <w:bCs/>
          <w:b/>
        </w:rPr>
        <w:t xml:space="preserve">Objetivo.</w:t>
      </w:r>
      <w:r>
        <w:t xml:space="preserve"> </w:t>
      </w:r>
      <w:r>
        <w:t xml:space="preserve">Esta tese unificada formaliza e realiza a continuidade: (i) nomeia e formaliza o método que a sustenta — a etrização computacional, passos P0–P6; (ii) estabelece a Base de Validade com linhagem completa de cada dado; (iii) declara a tese em forma experimental análoga; (iv) entrega os resultados como os achados [SIM] executados — agora incluindo a validação multi-espécie de θ* (Parte 3) e a primeira dose calculada do braço discriminador A6 com incerteza propagada; e (v) documenta, como método replicável, a seleção futura de parceiros sem executá-la.</w:t>
      </w:r>
      <w:r>
        <w:t xml:space="preserve"> </w:t>
      </w:r>
      <w:r>
        <w:rPr>
          <w:bCs/>
          <w:b/>
        </w:rPr>
        <w:t xml:space="preserve">Método.</w:t>
      </w:r>
      <w:r>
        <w:t xml:space="preserve"> </w:t>
      </w:r>
      <w:r>
        <w:t xml:space="preserve">Etrização P0–P6 sobre base E-registrada (58 fontes verificadas), motores determinísticos auto-testados (conservação de massa 100%; erro de Thiele 0,5%), colheita sob critérios pré-declarados, prognósticos travados por release antes de qualquer medição, estimador θ_obs calibrado por simulação, guardião recursivo R0–R3 em dois perfis de superfície, cadeia dimensional de dose κ→µM→µg/depósito em banda GUM Tipo-B (âncora ilustrativa, fechada pelo braço A6) com critérios de aceitação pré-registrados.</w:t>
      </w:r>
      <w:r>
        <w:t xml:space="preserve"> </w:t>
      </w:r>
      <w:r>
        <w:rPr>
          <w:bCs/>
          <w:b/>
        </w:rPr>
        <w:t xml:space="preserve">Resultados.</w:t>
      </w:r>
      <w:r>
        <w:t xml:space="preserve"> </w:t>
      </w:r>
      <w:r>
        <w:t xml:space="preserve">Limiar θ*=0,333 [claim:C038] [evidence:E032]; três regras de design; Cenário B multi-espécie (θ* 0,333–0,400 centrais; razão 1,20) com regra de titulação κ↔Kt [claim:C055, C057] [evidence:E032]; banda de dose A6 no degrau humano: 0,0–2,6 µg de V127ΔGPI por depósito (pior caso κ=8: 0,2–10,3 µg; redose ≤7 d; MW 22,83 kDa das sequências próprias) — a largura da banda ≈53× é o achado, dominada pelo proxy de Kd, até o braço G0-A6 fechá-la [claim:C058–C060] [evidence:E057, E058]; registro de 60 claims, 58 fontes, 65 fatos numéricos com validação por máquina.</w:t>
      </w:r>
      <w:r>
        <w:t xml:space="preserve"> </w:t>
      </w:r>
      <w:r>
        <w:rPr>
          <w:bCs/>
          <w:b/>
        </w:rPr>
        <w:t xml:space="preserve">Conclusão.</w:t>
      </w:r>
      <w:r>
        <w:t xml:space="preserve"> </w:t>
      </w:r>
      <w:r>
        <w:t xml:space="preserve">A tese está realizada —</w:t>
      </w:r>
      <w:r>
        <w:t xml:space="preserve"> </w:t>
      </w:r>
      <w:r>
        <w:rPr>
          <w:bCs/>
          <w:b/>
        </w:rPr>
        <w:t xml:space="preserve">e é uma etrização</w:t>
      </w:r>
      <w:r>
        <w:t xml:space="preserve">: entregue, rotulada, auditável — nos termos da etrização: continuar pesquisa por simulação parametrizada sem substituir o laboratório — se dados reais futuros forem análogos aos simulados, os passos seguintes já estarão avançados (antecipação bancada).</w:t>
      </w:r>
    </w:p>
    <w:p>
      <w:pPr>
        <w:pStyle w:val="BodyText"/>
      </w:pPr>
      <w:r>
        <w:rPr>
          <w:bCs/>
          <w:b/>
        </w:rPr>
        <w:t xml:space="preserve">Palavras-chave:</w:t>
      </w:r>
      <w:r>
        <w:t xml:space="preserve"> </w:t>
      </w:r>
      <w:r>
        <w:t xml:space="preserve">etrização; príons; simulação computacional; etrização computacional; PrP-V127; doença de Creutzfeldt-Jakob; metodologia de pesquisa; in-silico; dose-band.</w:t>
      </w:r>
    </w:p>
    <w:bookmarkEnd w:id="21"/>
    <w:bookmarkStart w:id="22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iCs/>
          <w:i/>
        </w:rPr>
        <w:t xml:space="preserve">(companion EN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manuscript_Parte2_v1_EN.md</w:t>
      </w:r>
      <w:r>
        <w:rPr>
          <w:iCs/>
          <w:i/>
        </w:rPr>
        <w:t xml:space="preserve">; keywords: prions; computational simulation; Computational Etrization; PrP-V127; Creutzfeldt-Jakob disease; research methodology; in-silico; dose band.)</w:t>
      </w:r>
    </w:p>
    <w:bookmarkEnd w:id="22"/>
    <w:bookmarkStart w:id="23" w:name="sumário"/>
    <w:p>
      <w:pPr>
        <w:pStyle w:val="Heading2"/>
      </w:pPr>
      <w:r>
        <w:t xml:space="preserve">SUMÁRIO</w:t>
      </w:r>
    </w:p>
    <w:p>
      <w:pPr>
        <w:pStyle w:val="FirstParagraph"/>
      </w:pPr>
      <w:r>
        <w:rPr>
          <w:bCs/>
          <w:b/>
        </w:rPr>
        <w:t xml:space="preserve">NOTA À LEITURA</w:t>
      </w:r>
      <w:r>
        <w:t xml:space="preserve"> </w:t>
      </w:r>
      <w:r>
        <w:t xml:space="preserve">— Sobre o termo Etrização ························ pré-textual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NOTA INTRODUTÓRIA À BANCA</w:t>
      </w:r>
      <w:r>
        <w:t xml:space="preserve"> </w:t>
      </w:r>
      <w:r>
        <w:t xml:space="preserve">— nomenclatura e diferenciação (IST · meta-análise · física teórica)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INTRODUÇÃO</w:t>
      </w:r>
      <w:r>
        <w:t xml:space="preserve"> </w:t>
      </w:r>
      <w:r>
        <w:t xml:space="preserve">— Problema · Justificativa · Questões Q1-Q3 · Objetivos (OE1-OE5) · Hipóteses H1-H3 · PRODUTO FINAL · Componentes M1-M5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FUNDAMENTAÇÃO</w:t>
      </w:r>
      <w:r>
        <w:t xml:space="preserve"> </w:t>
      </w:r>
      <w:r>
        <w:t xml:space="preserve">— Gargalo terapêutico (6 falhas registry-bound) · Métodos antecipatórios e in-silico trials · Posicionamento da etrização (H3) · Fundamento epistemológico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BASE COMUM DE DADOS</w:t>
      </w:r>
      <w:r>
        <w:t xml:space="preserve"> </w:t>
      </w:r>
      <w:r>
        <w:t xml:space="preserve">— a ponte M3↔M2; validação com cronologia honesta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FUNDAMENTO: A INARIÂNCIA DE θ*</w:t>
      </w:r>
      <w:r>
        <w:t xml:space="preserve"> </w:t>
      </w:r>
      <w:r>
        <w:t xml:space="preserve">— sweep → Cenário B → titulação κ↔Kt → horizonte (Figura 4)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APLICAÇÃO: O DESENHO TERAPÊUTICO EMERGE</w:t>
      </w:r>
      <w:r>
        <w:t xml:space="preserve"> </w:t>
      </w:r>
      <w:r>
        <w:t xml:space="preserve">— regras 1-3 → limiar →</w:t>
      </w:r>
      <w:r>
        <w:t xml:space="preserve"> </w:t>
      </w:r>
      <w:r>
        <w:rPr>
          <w:bCs/>
          <w:b/>
        </w:rPr>
        <w:t xml:space="preserve">a primeira dose calculada (Figura 5)</w:t>
      </w:r>
      <w:r>
        <w:t xml:space="preserve"> </w:t>
      </w:r>
      <w:r>
        <w:t xml:space="preserve">→ G0-wet → custo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MÉTODOS: A ETRIZAÇÃO FORMALIZADA</w:t>
      </w:r>
      <w:r>
        <w:t xml:space="preserve"> </w:t>
      </w:r>
      <w:r>
        <w:t xml:space="preserve">— pipeline P0-P6 · fórmulas com proveniência · Base de Validade · mapeamento análogo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RESULTADOS COMO VALIDAÇÃO (+ M1-M5)</w:t>
      </w:r>
      <w:r>
        <w:t xml:space="preserve"> </w:t>
      </w:r>
      <w:r>
        <w:t xml:space="preserve">— promessa→evidência · θ_obs · freeze · loop · M4 parceiro · M5 infra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ACHADOS, IMPACTOS E PRÓXIMAS ABORDAGENS</w:t>
      </w:r>
      <w:r>
        <w:t xml:space="preserve"> </w:t>
      </w:r>
      <w:r>
        <w:t xml:space="preserve">— achados · cura+restauração · áreas correlatas · AD/PD · declaração mandatória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DISCUSSÃO</w:t>
      </w:r>
      <w:r>
        <w:t xml:space="preserve"> </w:t>
      </w:r>
      <w:r>
        <w:t xml:space="preserve">— promessas e limites · o que significam e o que não significam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CAMADA CLÍNICA</w:t>
      </w:r>
      <w:r>
        <w:t xml:space="preserve"> </w:t>
      </w:r>
      <w:r>
        <w:t xml:space="preserve">— nota de leitura para clínicos · rota-10min · acompanhamento previsto [SIM]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LIMITAÇÕES COMO FRUTO</w:t>
      </w:r>
      <w:r>
        <w:t xml:space="preserve"> </w:t>
      </w:r>
      <w:r>
        <w:t xml:space="preserve">— por classe, cada uma com o gate que a fecha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CONCLUSÕES POR OBJETIVO</w:t>
      </w:r>
      <w:r>
        <w:t xml:space="preserve"> </w:t>
      </w:r>
      <w:r>
        <w:t xml:space="preserve">— OE1-OE5 · H1-H3 · síntese final</w:t>
      </w:r>
    </w:p>
    <w:p>
      <w:pPr>
        <w:pStyle w:val="FirstParagraph"/>
      </w:pPr>
      <w:r>
        <w:t xml:space="preserve">REFERÊNCIAS (58 fontes) + concordância claims→referências · APÊNDICES A (inventário) · B (mapa da lógica B.1-B.5) · C (SAP) · D (tabela-decisão) · E (custo) · F (linhagem)</w:t>
      </w:r>
    </w:p>
    <w:bookmarkEnd w:id="23"/>
    <w:bookmarkStart w:id="24" w:name="lista-de-siglas"/>
    <w:p>
      <w:pPr>
        <w:pStyle w:val="Heading2"/>
      </w:pPr>
      <w:r>
        <w:t xml:space="preserve">LISTA DE SIGLAS</w:t>
      </w:r>
    </w:p>
    <w:p>
      <w:pPr>
        <w:pStyle w:val="FirstParagraph"/>
      </w:pPr>
      <w:r>
        <w:t xml:space="preserve">ETRIZAÇÃO/etrização computacional — o método nomeado desta tese (neologismo composicional; en: Computational Etrization) · θ — fração de replicação remanescente no pico secretor, θ≡(1+κ·c_pico)⁻¹ ·</w:t>
      </w:r>
      <w:r>
        <w:t xml:space="preserve"> </w:t>
      </w:r>
      <w:r>
        <w:rPr>
          <w:bCs/>
          <w:b/>
        </w:rPr>
        <w:t xml:space="preserve">θ*</w:t>
      </w:r>
      <w:r>
        <w:t xml:space="preserve"> </w:t>
      </w:r>
      <w:r>
        <w:t xml:space="preserve">— θ no limiar de contenção (predição travada v1.0: 0,333) ·</w:t>
      </w:r>
      <w:r>
        <w:t xml:space="preserve"> </w:t>
      </w:r>
      <w:r>
        <w:rPr>
          <w:bCs/>
          <w:b/>
        </w:rPr>
        <w:t xml:space="preserve">θ_obs</w:t>
      </w:r>
      <w:r>
        <w:t xml:space="preserve"> </w:t>
      </w:r>
      <w:r>
        <w:t xml:space="preserve">— estimador que mede o análogo de θ* num gradiente ·</w:t>
      </w:r>
      <w:r>
        <w:t xml:space="preserve"> </w:t>
      </w:r>
      <w:r>
        <w:rPr>
          <w:bCs/>
          <w:b/>
        </w:rPr>
        <w:t xml:space="preserve">κ</w:t>
      </w:r>
      <w:r>
        <w:t xml:space="preserve"> </w:t>
      </w:r>
      <w:r>
        <w:t xml:space="preserve">— força de capping (a</w:t>
      </w:r>
      <w:r>
        <w:t xml:space="preserve"> </w:t>
      </w:r>
      <w:r>
        <w:t xml:space="preserve">“</w:t>
      </w:r>
      <w:r>
        <w:t xml:space="preserve">dose</w:t>
      </w:r>
      <w:r>
        <w:t xml:space="preserve">”</w:t>
      </w:r>
      <w:r>
        <w:t xml:space="preserve"> </w:t>
      </w:r>
      <w:r>
        <w:t xml:space="preserve">do agente; âncora κ↔µM em banda GUM via Kd aparente — âncora ilustrativa, fechada pelo braço A6) ·</w:t>
      </w:r>
      <w:r>
        <w:t xml:space="preserve"> </w:t>
      </w:r>
      <w:r>
        <w:rPr>
          <w:bCs/>
          <w:b/>
        </w:rPr>
        <w:t xml:space="preserve">κ_req</w:t>
      </w:r>
      <w:r>
        <w:t xml:space="preserve"> </w:t>
      </w:r>
      <w:r>
        <w:t xml:space="preserve">— κ requerido para contenção numa banda-Kt dada (regra de titulação) ·</w:t>
      </w:r>
      <w:r>
        <w:t xml:space="preserve"> </w:t>
      </w:r>
      <w:r>
        <w:rPr>
          <w:bCs/>
          <w:b/>
        </w:rPr>
        <w:t xml:space="preserve">Kt</w:t>
      </w:r>
      <w:r>
        <w:t xml:space="preserve"> </w:t>
      </w:r>
      <w:r>
        <w:t xml:space="preserve">— classe de taxas de autocatálise/templating (a única que governa contenção e relógio — F-43) ·</w:t>
      </w:r>
      <w:r>
        <w:t xml:space="preserve"> </w:t>
      </w:r>
      <w:r>
        <w:rPr>
          <w:bCs/>
          <w:b/>
        </w:rPr>
        <w:t xml:space="preserve">banda-Kt</w:t>
      </w:r>
      <w:r>
        <w:t xml:space="preserve"> </w:t>
      </w:r>
      <w:r>
        <w:t xml:space="preserve">— faixa de cinética do hospedeiro (humano: {0,5·1·2}) ·</w:t>
      </w:r>
      <w:r>
        <w:t xml:space="preserve"> </w:t>
      </w:r>
      <w:r>
        <w:rPr>
          <w:bCs/>
          <w:b/>
        </w:rPr>
        <w:t xml:space="preserve">MW</w:t>
      </w:r>
      <w:r>
        <w:t xml:space="preserve"> </w:t>
      </w:r>
      <w:r>
        <w:t xml:space="preserve">— massa molecular (PrP maduro humano: 22,83 kDa, computada das sequências próprias) ·</w:t>
      </w:r>
      <w:r>
        <w:t xml:space="preserve"> </w:t>
      </w:r>
      <w:r>
        <w:rPr>
          <w:bCs/>
          <w:b/>
        </w:rPr>
        <w:t xml:space="preserve">Damköhler</w:t>
      </w:r>
      <w:r>
        <w:t xml:space="preserve"> </w:t>
      </w:r>
      <w:r>
        <w:t xml:space="preserve">— razão velocidade-de-reação/velocidade-de-difusão ·</w:t>
      </w:r>
      <w:r>
        <w:t xml:space="preserve"> </w:t>
      </w:r>
      <w:r>
        <w:rPr>
          <w:bCs/>
          <w:b/>
        </w:rPr>
        <w:t xml:space="preserve">PrP^C / PrP^Sc</w:t>
      </w:r>
      <w:r>
        <w:t xml:space="preserve"> </w:t>
      </w:r>
      <w:r>
        <w:t xml:space="preserve">— proteína prion celular / forma scrapie · G0-sim/G0-wet — gates computacional/organoide · T1/T2/T3 — níveis de aceitação · [SIM]/[ORGANOID]/[MOUSE]/[HUMAN] — tiers de dado · SLR — revisão sistemática de literatura · PPS — pentosan-polissulfato · CrI — intervalo de credibilidade · ADR — advecção–difusão–reação · ECS — espaço extracelular · RT-QuIC — ensaio de sementeamento in vitro · DN — dominante-negativo · GUM — Guia para a Expressão da Incerteza de Medição (Tipo-B: incerteza avaliada por julgamento/fonte, não por estatística de repetições)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capítulo-1-nota-introdutória-à-banca"/>
    <w:p>
      <w:pPr>
        <w:pStyle w:val="Heading1"/>
      </w:pPr>
      <w:r>
        <w:t xml:space="preserve">CAPÍTULO 1 — NOTA INTRODUTÓRIA À BANCA</w:t>
      </w:r>
    </w:p>
    <w:p>
      <w:pPr>
        <w:pStyle w:val="FirstParagraph"/>
      </w:pPr>
      <w:r>
        <w:rPr>
          <w:iCs/>
          <w:i/>
        </w:rPr>
        <w:t xml:space="preserve">Função: responder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por que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etrização</w:t>
      </w:r>
      <w:r>
        <w:rPr>
          <w:iCs/>
          <w:i/>
        </w:rPr>
        <w:t xml:space="preserve">’</w:t>
      </w:r>
      <w:r>
        <w:rPr>
          <w:iCs/>
          <w:i/>
        </w:rPr>
        <w:t xml:space="preserve">, e o que a diferencia?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sem exigir a leitura integral da tese. A nota à leitura (pré-textual) definiu o termo; aqui se diferencia o método do que já existe.</w:t>
      </w:r>
    </w:p>
    <w:bookmarkStart w:id="26" w:name="Xbb3b3a7ddb73087d176db583702b9afeeb9f6e0"/>
    <w:p>
      <w:pPr>
        <w:pStyle w:val="Heading2"/>
      </w:pPr>
      <w:r>
        <w:t xml:space="preserve">1.1 O que a palavra é — e o que nomeia que nada mais nomeia</w:t>
      </w:r>
    </w:p>
    <w:p>
      <w:pPr>
        <w:pStyle w:val="FirstParagraph"/>
      </w:pPr>
      <w:r>
        <w:t xml:space="preserve">A definição operacional está travada no registro [claim:C054] [evidence:E009, E010, E007, E031, E032, E033]:</w:t>
      </w:r>
      <w:r>
        <w:t xml:space="preserve"> </w:t>
      </w:r>
      <w:r>
        <w:rPr>
          <w:bCs/>
          <w:b/>
        </w:rPr>
        <w:t xml:space="preserve">etrização (computacional)</w:t>
      </w:r>
      <w:r>
        <w:t xml:space="preserve"> </w:t>
      </w:r>
      <w:r>
        <w:t xml:space="preserve">é o processo de investigação científica em que um fenômeno ou sistema é operacionalizado em ambiente computacional a partir de dados reais preexistentes (múltiplas fontes e/ou espécies), gerando um modelo preditivo estruturalmente robusto que, embora ainda não validado empiricamente, possui condições suficientes para fundamentar pesquisas subsequentes e, potencialmente, transitar para validação experimental.</w:t>
      </w:r>
    </w:p>
    <w:p>
      <w:pPr>
        <w:pStyle w:val="BodyText"/>
      </w:pPr>
      <w:r>
        <w:t xml:space="preserve">Nenhum termo existente na saúde nomeia</w:t>
      </w:r>
      <w:r>
        <w:t xml:space="preserve"> </w:t>
      </w:r>
      <w:r>
        <w:rPr>
          <w:bCs/>
          <w:b/>
        </w:rPr>
        <w:t xml:space="preserve">o estado ontológico do produto</w:t>
      </w:r>
      <w:r>
        <w:t xml:space="preserve"> </w:t>
      </w:r>
      <w:r>
        <w:t xml:space="preserve">dessa investigação:</w:t>
      </w:r>
      <w:r>
        <w:t xml:space="preserve"> </w:t>
      </w:r>
      <w:r>
        <w:rPr>
          <w:iCs/>
          <w:i/>
        </w:rPr>
        <w:t xml:space="preserve">in silico</w:t>
      </w:r>
      <w:r>
        <w:t xml:space="preserve"> </w:t>
      </w:r>
      <w:r>
        <w:t xml:space="preserve">é método;</w:t>
      </w:r>
      <w:r>
        <w:t xml:space="preserve"> </w:t>
      </w:r>
      <w:r>
        <w:rPr>
          <w:iCs/>
          <w:i/>
        </w:rPr>
        <w:t xml:space="preserve">digital twin</w:t>
      </w:r>
      <w:r>
        <w:t xml:space="preserve"> </w:t>
      </w:r>
      <w:r>
        <w:t xml:space="preserve">replica o já-real;</w:t>
      </w:r>
      <w:r>
        <w:t xml:space="preserve"> </w:t>
      </w:r>
      <w:r>
        <w:rPr>
          <w:iCs/>
          <w:i/>
        </w:rPr>
        <w:t xml:space="preserve">virtual patient</w:t>
      </w:r>
      <w:r>
        <w:t xml:space="preserve"> </w:t>
      </w:r>
      <w:r>
        <w:t xml:space="preserve">é população sintética; QSP/PBPK são disciplinas;</w:t>
      </w:r>
      <w:r>
        <w:t xml:space="preserve"> </w:t>
      </w:r>
      <w:r>
        <w:t xml:space="preserve">“</w:t>
      </w:r>
      <w:r>
        <w:t xml:space="preserve">prova de conceito</w:t>
      </w:r>
      <w:r>
        <w:t xml:space="preserve">”</w:t>
      </w:r>
      <w:r>
        <w:t xml:space="preserve"> </w:t>
      </w:r>
      <w:r>
        <w:t xml:space="preserve">pressupõe dado empírico. A saúde salta de</w:t>
      </w:r>
      <w:r>
        <w:t xml:space="preserve"> </w:t>
      </w:r>
      <w:r>
        <w:rPr>
          <w:iCs/>
          <w:i/>
        </w:rPr>
        <w:t xml:space="preserve">hipótese</w:t>
      </w:r>
      <w:r>
        <w:t xml:space="preserve"> </w:t>
      </w:r>
      <w:r>
        <w:t xml:space="preserve">para</w:t>
      </w:r>
      <w:r>
        <w:t xml:space="preserve"> </w:t>
      </w:r>
      <w:r>
        <w:rPr>
          <w:iCs/>
          <w:i/>
        </w:rPr>
        <w:t xml:space="preserve">experimento</w:t>
      </w:r>
      <w:r>
        <w:t xml:space="preserve"> </w:t>
      </w:r>
      <w:r>
        <w:t xml:space="preserve">sem nomear o meio —</w:t>
      </w:r>
      <w:r>
        <w:t xml:space="preserve"> </w:t>
      </w:r>
      <w:r>
        <w:rPr>
          <w:bCs/>
          <w:b/>
        </w:rPr>
        <w:t xml:space="preserve">potência estrutural validada matematicamente a partir de dados reais agregados</w:t>
      </w:r>
      <w:r>
        <w:t xml:space="preserve">. Etrização nomeia exatamente esse estado: permite dizer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este resultado é uma etrização, não um experimento</w:t>
      </w:r>
      <w:r>
        <w:rPr>
          <w:iCs/>
          <w:i/>
        </w:rPr>
        <w:t xml:space="preserve">”</w:t>
      </w:r>
      <w:r>
        <w:t xml:space="preserve"> </w:t>
      </w:r>
      <w:r>
        <w:t xml:space="preserve">— uma palavra que carrega o disclaimer inteiro (não real; simulado; com dados reais; pode vir a ser).</w:t>
      </w:r>
    </w:p>
    <w:p>
      <w:pPr>
        <w:pStyle w:val="BodyText"/>
      </w:pPr>
      <w:r>
        <w:t xml:space="preserve">As três camadas semânticas do radical</w:t>
      </w:r>
      <w:r>
        <w:t xml:space="preserve"> </w:t>
      </w:r>
      <w:r>
        <w:rPr>
          <w:iCs/>
          <w:i/>
        </w:rPr>
        <w:t xml:space="preserve">etr-</w:t>
      </w:r>
      <w:r>
        <w:t xml:space="preserve"> </w:t>
      </w:r>
      <w:r>
        <w:t xml:space="preserve">são declaradas como</w:t>
      </w:r>
      <w:r>
        <w:t xml:space="preserve"> </w:t>
      </w:r>
      <w:r>
        <w:rPr>
          <w:bCs/>
          <w:b/>
        </w:rPr>
        <w:t xml:space="preserve">consonância morfológica intencional</w:t>
      </w:r>
      <w:r>
        <w:t xml:space="preserve">, nunca derivação etimológica: (i) a evolução documentada</w:t>
      </w:r>
      <w:r>
        <w:t xml:space="preserve"> </w:t>
      </w:r>
      <w:r>
        <w:rPr>
          <w:iCs/>
          <w:i/>
        </w:rPr>
        <w:t xml:space="preserve">essere → estre → être</w:t>
      </w:r>
      <w:r>
        <w:t xml:space="preserve">, evocando a raiz *es- (</w:t>
      </w:r>
      <w:r>
        <w:t xml:space="preserve">“</w:t>
      </w:r>
      <w:r>
        <w:t xml:space="preserve">ser</w:t>
      </w:r>
      <w:r>
        <w:t xml:space="preserve">”</w:t>
      </w:r>
      <w:r>
        <w:t xml:space="preserve">) e o potencial de vir a ser — potência não-atualizada; (ii) o</w:t>
      </w:r>
      <w:r>
        <w:t xml:space="preserve"> </w:t>
      </w:r>
      <w:r>
        <w:rPr>
          <w:iCs/>
          <w:i/>
        </w:rPr>
        <w:t xml:space="preserve">atrium</w:t>
      </w:r>
      <w:r>
        <w:t xml:space="preserve"> </w:t>
      </w:r>
      <w:r>
        <w:t xml:space="preserve">romano — antecâmara: zona de transição entre o virtual matemático e o real experimental; (iii) a necessidade fonética de radical distintivo para operacionalização terminológica. A honestidade filológica é mandato:</w:t>
      </w:r>
      <w:r>
        <w:t xml:space="preserve"> </w:t>
      </w:r>
      <w:r>
        <w:t xml:space="preserve">“</w:t>
      </w:r>
      <w:r>
        <w:t xml:space="preserve">extração morfológica deliberada / neologismo composicional intencional</w:t>
      </w:r>
      <w:r>
        <w:t xml:space="preserve">”</w:t>
      </w:r>
      <w:r>
        <w:t xml:space="preserve"> </w:t>
      </w:r>
      <w:r>
        <w:t xml:space="preserve">— as rotas</w:t>
      </w:r>
      <w:r>
        <w:t xml:space="preserve"> </w:t>
      </w:r>
      <w:r>
        <w:rPr>
          <w:iCs/>
          <w:i/>
        </w:rPr>
        <w:t xml:space="preserve">atrium→etr-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es-→etr-</w:t>
      </w:r>
      <w:r>
        <w:t xml:space="preserve"> </w:t>
      </w:r>
      <w:r>
        <w:t xml:space="preserve">são poéticas/interpretativas; a intencionalidade declarada é o que sustenta (precedente:</w:t>
      </w:r>
      <w:r>
        <w:t xml:space="preserve"> </w:t>
      </w:r>
      <w:r>
        <w:rPr>
          <w:iCs/>
          <w:i/>
        </w:rPr>
        <w:t xml:space="preserve">software</w:t>
      </w:r>
      <w:r>
        <w:t xml:space="preserve">,</w:t>
      </w:r>
      <w:r>
        <w:t xml:space="preserve"> </w:t>
      </w:r>
      <w:r>
        <w:rPr>
          <w:iCs/>
          <w:i/>
        </w:rPr>
        <w:t xml:space="preserve">byte</w:t>
      </w:r>
      <w:r>
        <w:t xml:space="preserve">,</w:t>
      </w:r>
      <w:r>
        <w:t xml:space="preserve"> </w:t>
      </w:r>
      <w:r>
        <w:rPr>
          <w:iCs/>
          <w:i/>
        </w:rPr>
        <w:t xml:space="preserve">quark</w:t>
      </w:r>
      <w:r>
        <w:t xml:space="preserve">).</w:t>
      </w:r>
    </w:p>
    <w:bookmarkEnd w:id="26"/>
    <w:bookmarkStart w:id="27" w:name="X597b1910973e9043673eeee22ee60d9505ac0e6"/>
    <w:p>
      <w:pPr>
        <w:pStyle w:val="Heading2"/>
      </w:pPr>
      <w:r>
        <w:t xml:space="preserve">1.2 Diferenciação estrutural (o que a banca deve testar)</w:t>
      </w:r>
    </w:p>
    <w:p>
      <w:pPr>
        <w:pStyle w:val="FirstParagraph"/>
      </w:pPr>
      <w:r>
        <w:rPr>
          <w:bCs/>
          <w:b/>
        </w:rPr>
        <w:t xml:space="preserve">Contra os in-silico trials (IST):</w:t>
      </w:r>
      <w:r>
        <w:t xml:space="preserve"> </w:t>
      </w:r>
      <w:r>
        <w:t xml:space="preserve">estes</w:t>
      </w:r>
      <w:r>
        <w:t xml:space="preserve"> </w:t>
      </w:r>
      <w:r>
        <w:rPr>
          <w:bCs/>
          <w:b/>
        </w:rPr>
        <w:t xml:space="preserve">simulam o ensaio</w:t>
      </w:r>
      <w:r>
        <w:t xml:space="preserve"> </w:t>
      </w:r>
      <w:r>
        <w:t xml:space="preserve">— reproduzem em máquina o desenho de um experimento clínico (população sintética, desfecho, análise). A etrização</w:t>
      </w:r>
      <w:r>
        <w:t xml:space="preserve"> </w:t>
      </w:r>
      <w:r>
        <w:rPr>
          <w:bCs/>
          <w:b/>
        </w:rPr>
        <w:t xml:space="preserve">simula a continuação</w:t>
      </w:r>
      <w:r>
        <w:t xml:space="preserve">: o seu produto é um prognóstico travado antes da medição (predições travadas por release público v1.0 desde 26/08, ANTES da Parte 3 — cronologia auditável), rótulos de tier em toda saída, e antecipação bancada (a pesquisa derivada já está especificada: o que medir, onde, em que dose). Um IST pergunta</w:t>
      </w:r>
      <w:r>
        <w:t xml:space="preserve"> </w:t>
      </w:r>
      <w:r>
        <w:t xml:space="preserve">“</w:t>
      </w:r>
      <w:r>
        <w:t xml:space="preserve">o ensaio teria dado certo?</w:t>
      </w:r>
      <w:r>
        <w:t xml:space="preserve">”</w:t>
      </w:r>
      <w:r>
        <w:t xml:space="preserve">; a etrização pergunta</w:t>
      </w:r>
      <w:r>
        <w:t xml:space="preserve"> </w:t>
      </w:r>
      <w:r>
        <w:t xml:space="preserve">“</w:t>
      </w:r>
      <w:r>
        <w:t xml:space="preserve">o que se pode saber e decidir AGORA, com o dado publicado, sem gastar o ensaio?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Contra a revisão sistemática/meta-análise:</w:t>
      </w:r>
      <w:r>
        <w:t xml:space="preserve"> </w:t>
      </w:r>
      <w:r>
        <w:t xml:space="preserve">estas</w:t>
      </w:r>
      <w:r>
        <w:t xml:space="preserve"> </w:t>
      </w:r>
      <w:r>
        <w:rPr>
          <w:bCs/>
          <w:b/>
        </w:rPr>
        <w:t xml:space="preserve">resumem</w:t>
      </w:r>
      <w:r>
        <w:t xml:space="preserve"> </w:t>
      </w:r>
      <w:r>
        <w:t xml:space="preserve">o que foi medido (síntese para trás). A etrização</w:t>
      </w:r>
      <w:r>
        <w:t xml:space="preserve"> </w:t>
      </w:r>
      <w:r>
        <w:rPr>
          <w:bCs/>
          <w:b/>
        </w:rPr>
        <w:t xml:space="preserve">deriva</w:t>
      </w:r>
      <w:r>
        <w:t xml:space="preserve"> </w:t>
      </w:r>
      <w:r>
        <w:t xml:space="preserve">(síntese para frente): parametriza um motor com o dado publicado e</w:t>
      </w:r>
      <w:r>
        <w:t xml:space="preserve"> </w:t>
      </w:r>
      <w:r>
        <w:rPr>
          <w:bCs/>
          <w:b/>
        </w:rPr>
        <w:t xml:space="preserve">produz previsões novas</w:t>
      </w:r>
      <w:r>
        <w:t xml:space="preserve"> </w:t>
      </w:r>
      <w:r>
        <w:t xml:space="preserve">(θ*=0,333; banda de dose A6 0,0–2,6 µg/depósito) que nenhum dos artigos-fonte contém — previsões essas falseáveis pelo dado futuro (G0-wet; braço A6).</w:t>
      </w:r>
    </w:p>
    <w:p>
      <w:pPr>
        <w:pStyle w:val="BodyText"/>
      </w:pPr>
      <w:r>
        <w:rPr>
          <w:bCs/>
          <w:b/>
        </w:rPr>
        <w:t xml:space="preserve">Contra a física teórica informal:</w:t>
      </w:r>
      <w:r>
        <w:t xml:space="preserve"> </w:t>
      </w:r>
      <w:r>
        <w:t xml:space="preserve">a etrização exige os cinco critérios (cadeia de dados explícita; transposição justificada; incerteza quantificada — aqui com banda GUM; escopo delimitado por tier; transição condicionada por gate) — sem eles, o termo é vazio; com eles, é framework. Esta tese é o primeiro caso que cumpre o padrão que a palavra passa a exigir, e o cumpre auditavelmente (claims com hash; guardião R0–R3; AST 9/9).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capítulo-2-introdução"/>
    <w:p>
      <w:pPr>
        <w:pStyle w:val="Heading1"/>
      </w:pPr>
      <w:r>
        <w:t xml:space="preserve">CAPÍTULO 2 — INTRODUÇÃO</w:t>
      </w:r>
    </w:p>
    <w:p>
      <w:pPr>
        <w:pStyle w:val="Heading2"/>
      </w:pPr>
      <w:bookmarkStart w:id="29" w:name="Xfb08e12281ce179a82fcb5edf916c9636bbfb05"/>
      <w:r>
        <w:t xml:space="preserve">PRODUTO FINAL — ESTA É A TESE (declaração de abertura)</w:t>
      </w:r>
      <w:bookmarkEnd w:id="29"/>
    </w:p>
    <w:p>
      <w:pPr>
        <w:pStyle w:val="BlockText"/>
      </w:pPr>
      <w:r>
        <w:rPr>
          <w:bCs/>
          <w:b/>
        </w:rPr>
        <w:t xml:space="preserve">Este manifesto (v6) é a tese realizada.</w:t>
      </w:r>
      <w:r>
        <w:t xml:space="preserve"> </w:t>
      </w:r>
      <w:r>
        <w:t xml:space="preserve">A Parte 1 produziu os achados (manifesto v5, release v3.0); o</w:t>
      </w:r>
      <w:r>
        <w:t xml:space="preserve"> </w:t>
      </w:r>
      <w:r>
        <w:rPr>
          <w:bCs/>
          <w:b/>
        </w:rPr>
        <w:t xml:space="preserve">G0 foi validado por simulação computacional</w:t>
      </w:r>
      <w:r>
        <w:t xml:space="preserve"> </w:t>
      </w:r>
      <w:r>
        <w:t xml:space="preserve">— executado, aprovado e reproduzido em dois ambientes; e a</w:t>
      </w:r>
      <w:r>
        <w:t xml:space="preserve"> </w:t>
      </w:r>
      <w:r>
        <w:rPr>
          <w:bCs/>
          <w:b/>
        </w:rPr>
        <w:t xml:space="preserve">continuidade está realizada</w:t>
      </w:r>
      <w:r>
        <w:t xml:space="preserve"> </w:t>
      </w:r>
      <w:r>
        <w:t xml:space="preserve">nos termos da etrização (P0–P6). Os dados são</w:t>
      </w:r>
      <w:r>
        <w:t xml:space="preserve"> </w:t>
      </w:r>
      <w:r>
        <w:rPr>
          <w:bCs/>
          <w:b/>
        </w:rPr>
        <w:t xml:space="preserve">reais de pesquisa</w:t>
      </w:r>
      <w:r>
        <w:t xml:space="preserve">: cinética murina publicada [E009], dados de organoide humano publicados [E007], parâmetros de transporte humano in-vivo [E010], código aberto —</w:t>
      </w:r>
      <w:r>
        <w:t xml:space="preserve"> </w:t>
      </w:r>
      <w:r>
        <w:rPr>
          <w:bCs/>
          <w:b/>
        </w:rPr>
        <w:t xml:space="preserve">parametrizados para humanos e executados em ambiente simulado</w:t>
      </w:r>
      <w:r>
        <w:t xml:space="preserve">, o que garante</w:t>
      </w:r>
      <w:r>
        <w:t xml:space="preserve"> </w:t>
      </w:r>
      <w:r>
        <w:rPr>
          <w:bCs/>
          <w:b/>
        </w:rPr>
        <w:t xml:space="preserve">aproximação e expectativa quantitativas</w:t>
      </w:r>
      <w:r>
        <w:t xml:space="preserve"> </w:t>
      </w:r>
      <w:r>
        <w:t xml:space="preserve">(prognóstico falseável) sem reivindicar medição. As claims são reais e registry-bound; o ambiente é simulado; a tese é o produto.</w:t>
      </w:r>
      <w:r>
        <w:t xml:space="preserve"> </w:t>
      </w:r>
      <w:r>
        <w:rPr>
          <w:bCs/>
          <w:b/>
        </w:rPr>
        <w:t xml:space="preserve">Guardião-2 atesta</w:t>
      </w:r>
      <w:r>
        <w:t xml:space="preserve"> </w:t>
      </w:r>
      <w:r>
        <w:t xml:space="preserve">como revisor hostil nas quatro dimensões: metodologia, dados, conformidade e conteúdo.</w:t>
      </w:r>
    </w:p>
    <w:p>
      <w:pPr>
        <w:pStyle w:val="FirstParagraph"/>
      </w:pPr>
      <w:r>
        <w:rPr>
          <w:bCs/>
          <w:b/>
        </w:rPr>
        <w:t xml:space="preserve">Por que [SEM ANO]:</w:t>
      </w:r>
      <w:r>
        <w:t xml:space="preserve"> </w:t>
      </w:r>
      <w:r>
        <w:t xml:space="preserve">a tese lida com</w:t>
      </w:r>
      <w:r>
        <w:t xml:space="preserve"> </w:t>
      </w:r>
      <w:r>
        <w:rPr>
          <w:bCs/>
          <w:b/>
        </w:rPr>
        <w:t xml:space="preserve">prognósticos obtidos de dados simulados</w:t>
      </w:r>
      <w:r>
        <w:t xml:space="preserve">. Simulação opera, por natureza, em tempo futuro — independe do ano em que se esteja: a referência a ano não tem impacto sobre a tese, pois as predições são do tipo</w:t>
      </w:r>
      <w:r>
        <w:t xml:space="preserve"> </w:t>
      </w:r>
      <w:r>
        <w:t xml:space="preserve">“</w:t>
      </w:r>
      <w:r>
        <w:t xml:space="preserve">o que acontece se</w:t>
      </w:r>
      <w:r>
        <w:t xml:space="preserve">”</w:t>
      </w:r>
      <w:r>
        <w:t xml:space="preserve">, não</w:t>
      </w:r>
      <w:r>
        <w:t xml:space="preserve"> </w:t>
      </w:r>
      <w:r>
        <w:t xml:space="preserve">“</w:t>
      </w:r>
      <w:r>
        <w:t xml:space="preserve">quando acontece</w:t>
      </w:r>
      <w:r>
        <w:t xml:space="preserve">”</w:t>
      </w:r>
      <w:r>
        <w:t xml:space="preserve">. Por isso o horizonte temporal é declarado vazio por construção, e as durações de fase que porventura apareçam são apenas estimativas de planejamento, nunca promessas.</w:t>
      </w:r>
    </w:p>
    <w:bookmarkStart w:id="30" w:name="problema"/>
    <w:p>
      <w:pPr>
        <w:pStyle w:val="Heading3"/>
      </w:pPr>
      <w:r>
        <w:t xml:space="preserve">2.1 Problema</w:t>
      </w:r>
    </w:p>
    <w:p>
      <w:pPr>
        <w:pStyle w:val="FirstParagraph"/>
      </w:pPr>
      <w:r>
        <w:t xml:space="preserve">A pesquisa translacional em doenças raras fatais paralisa-se num dilema: sem dado clínico não há financiamento; sem previsão quantitativa, o dado clínico é desperdiçado. Nos príons, esse dilema produziu seis fracassos clínicos sequenciais sem modelo de entrega que os orientasse. A Parte 1 resolveu a metade quantitativa (cálculo de contenção com limiar travado); resta o problema da</w:t>
      </w:r>
      <w:r>
        <w:t xml:space="preserve"> </w:t>
      </w:r>
      <w:r>
        <w:rPr>
          <w:bCs/>
          <w:b/>
        </w:rPr>
        <w:t xml:space="preserve">continuidade</w:t>
      </w:r>
      <w:r>
        <w:t xml:space="preserve">: como uma tese avança</w:t>
      </w:r>
      <w:r>
        <w:t xml:space="preserve"> </w:t>
      </w:r>
      <w:r>
        <w:rPr>
          <w:bCs/>
          <w:b/>
        </w:rPr>
        <w:t xml:space="preserve">hoje</w:t>
      </w:r>
      <w:r>
        <w:t xml:space="preserve">, com método, quando a validação de laboratório é essencial mas não é pré-requisito para produzir conhecimento?</w:t>
      </w:r>
    </w:p>
    <w:bookmarkEnd w:id="30"/>
    <w:bookmarkStart w:id="31" w:name="justificativa"/>
    <w:p>
      <w:pPr>
        <w:pStyle w:val="Heading3"/>
      </w:pPr>
      <w:r>
        <w:t xml:space="preserve">2.2 Justificativa</w:t>
      </w:r>
    </w:p>
    <w:p>
      <w:pPr>
        <w:pStyle w:val="FirstParagraph"/>
      </w:pPr>
      <w:r>
        <w:t xml:space="preserve">Três razões. (i)</w:t>
      </w:r>
      <w:r>
        <w:t xml:space="preserve"> </w:t>
      </w:r>
      <w:r>
        <w:rPr>
          <w:bCs/>
          <w:b/>
        </w:rPr>
        <w:t xml:space="preserve">Epistêmica</w:t>
      </w:r>
      <w:r>
        <w:t xml:space="preserve">: simulação parametrizada com dados reais publicados é prognóstico — opera em tempo futuro e não depende de ano; interrompê-la à espera de confirmação reduziria a produção de conhecimento (como a física teórica não esperou testar cada predição). (ii)</w:t>
      </w:r>
      <w:r>
        <w:t xml:space="preserve"> </w:t>
      </w:r>
      <w:r>
        <w:rPr>
          <w:bCs/>
          <w:b/>
        </w:rPr>
        <w:t xml:space="preserve">Ética/econômica</w:t>
      </w:r>
      <w:r>
        <w:t xml:space="preserve">: cada experimento wet-lab desperdiçado em príon custa meses e recursos escassos; decidir</w:t>
      </w:r>
      <w:r>
        <w:t xml:space="preserve"> </w:t>
      </w:r>
      <w:r>
        <w:rPr>
          <w:iCs/>
          <w:i/>
        </w:rPr>
        <w:t xml:space="preserve">o que medir, onde e em que dose antes de gastar</w:t>
      </w:r>
      <w:r>
        <w:t xml:space="preserve"> </w:t>
      </w:r>
      <w:r>
        <w:t xml:space="preserve">é responsabilidade metodológica. (iii)</w:t>
      </w:r>
      <w:r>
        <w:t xml:space="preserve"> </w:t>
      </w:r>
      <w:r>
        <w:rPr>
          <w:bCs/>
          <w:b/>
        </w:rPr>
        <w:t xml:space="preserve">Metodológica</w:t>
      </w:r>
      <w:r>
        <w:t xml:space="preserve">: as ferramentas (revisão sistemática auditável, código aberto, bayesiana hierárquica, pré-registro) hoje permitem rigor documental equivalente ao experimental — faltava formalizá-lo como método com nome e passos.</w:t>
      </w:r>
    </w:p>
    <w:bookmarkEnd w:id="31"/>
    <w:bookmarkStart w:id="32" w:name="questões-de-pesquisa"/>
    <w:p>
      <w:pPr>
        <w:pStyle w:val="Heading3"/>
      </w:pPr>
      <w:r>
        <w:t xml:space="preserve">2.3 Questões de pesquisa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Q1.</w:t>
      </w:r>
      <w:r>
        <w:t xml:space="preserve"> </w:t>
      </w:r>
      <w:r>
        <w:t xml:space="preserve">É possível formalizar um método de continuidade de pesquisa por simulação computacional com o mesmo rigor documental de uma tese experimental?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Q2.</w:t>
      </w:r>
      <w:r>
        <w:t xml:space="preserve"> </w:t>
      </w:r>
      <w:r>
        <w:t xml:space="preserve">Esse método, aplicado ao caso V127, produz resultados próprios (não meros planos) com validade declarada e linhagem completa?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Q3.</w:t>
      </w:r>
      <w:r>
        <w:t xml:space="preserve"> </w:t>
      </w:r>
      <w:r>
        <w:t xml:space="preserve">Como tal método se posiciona e se diferencia da família existente de métodos antecipatórios (meta-análise, in-silico trials)?</w:t>
      </w:r>
    </w:p>
    <w:bookmarkEnd w:id="32"/>
    <w:bookmarkStart w:id="33" w:name="objetivos"/>
    <w:p>
      <w:pPr>
        <w:pStyle w:val="Heading3"/>
      </w:pPr>
      <w:r>
        <w:t xml:space="preserve">2.4 Objetivos</w:t>
      </w:r>
    </w:p>
    <w:p>
      <w:pPr>
        <w:pStyle w:val="FirstParagraph"/>
      </w:pPr>
      <w:r>
        <w:rPr>
          <w:bCs/>
          <w:b/>
        </w:rPr>
        <w:t xml:space="preserve">Geral.</w:t>
      </w:r>
      <w:r>
        <w:t xml:space="preserve"> </w:t>
      </w:r>
      <w:r>
        <w:t xml:space="preserve">Formalizar, demonstrar e documentar a ETRIZAÇÃO — neologismo composicional: estado ontológico de conhecimento simulado com dados reais, ainda não validado empiricamente, capaz de fundamentar pesquisa futura · ETRIZAÇÃO — o estado de conhecimento simulado-baseado-em-dados-reais, potencialmente-realizável · etrização — etrização computacional — como método de continuidade de pesquisa por simulação, realizando a Parte 2 da tese sobre os achados da Parte 1: previsibilidade e antecipação de informação para decisão de pesquisa (o que medir, onde, em que dose, antes de gastar recurso).</w:t>
      </w:r>
    </w:p>
    <w:p>
      <w:pPr>
        <w:pStyle w:val="BodyText"/>
      </w:pPr>
      <w:r>
        <w:rPr>
          <w:bCs/>
          <w:b/>
        </w:rPr>
        <w:t xml:space="preserve">Específicos.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OE1</w:t>
      </w:r>
      <w:r>
        <w:t xml:space="preserve"> </w:t>
      </w:r>
      <w:r>
        <w:t xml:space="preserve">— Nomear e formalizar a etrização com passos P0–P6 e garantias por passo; nomear o produto como</w:t>
      </w:r>
      <w:r>
        <w:t xml:space="preserve"> </w:t>
      </w:r>
      <w:r>
        <w:rPr>
          <w:bCs/>
          <w:b/>
        </w:rPr>
        <w:t xml:space="preserve">etrização</w:t>
      </w:r>
      <w:r>
        <w:t xml:space="preserve"> </w:t>
      </w:r>
      <w:r>
        <w:t xml:space="preserve">[claim:C054] [evidence:E009, E010, E031, E032, E033, E007].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OE2</w:t>
      </w:r>
      <w:r>
        <w:t xml:space="preserve"> </w:t>
      </w:r>
      <w:r>
        <w:t xml:space="preserve">— Estabelecer a Base de Validade: tríade declarada + linhagem completa dos dados (Cap. 7) [claim:C046] [evidence:E032, E033].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OE3</w:t>
      </w:r>
      <w:r>
        <w:t xml:space="preserve"> </w:t>
      </w:r>
      <w:r>
        <w:t xml:space="preserve">— Entregar os resultados da tese como os achados [SIM] realizados: limiar, regras, sensibilidade, probabilístico, estimador [claim:C038] [evidence:E032] [claim:C051] [evidence:E032, E033] [claim:C052] [evidence:E032, E033].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OE4</w:t>
      </w:r>
      <w:r>
        <w:t xml:space="preserve"> </w:t>
      </w:r>
      <w:r>
        <w:t xml:space="preserve">— Documentar a continuidade futura como método replicável (loop de re-parametrização; seleção de parceiro SLR-análogo; freeze dormant) sem executá-la [claim:C053] [evidence:E033].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OE5</w:t>
      </w:r>
      <w:r>
        <w:t xml:space="preserve"> </w:t>
      </w:r>
      <w:r>
        <w:t xml:space="preserve">— Submeter o conjunto a revisão hostil de máquina (guardião R0–R3, dois perfis) e validação expressa da autora.</w:t>
      </w:r>
    </w:p>
    <w:bookmarkEnd w:id="33"/>
    <w:bookmarkStart w:id="34" w:name="hipóteses"/>
    <w:p>
      <w:pPr>
        <w:pStyle w:val="Heading3"/>
      </w:pPr>
      <w:r>
        <w:t xml:space="preserve">2.5 Hipóteses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H1 (metodológica).</w:t>
      </w:r>
      <w:r>
        <w:t xml:space="preserve"> </w:t>
      </w:r>
      <w:r>
        <w:t xml:space="preserve">A etrização é formalizável com rigor documental equivalente ao experimental —</w:t>
      </w:r>
      <w:r>
        <w:t xml:space="preserve"> </w:t>
      </w:r>
      <w:r>
        <w:rPr>
          <w:iCs/>
          <w:i/>
        </w:rPr>
        <w:t xml:space="preserve">predição discriminadora</w:t>
      </w:r>
      <w:r>
        <w:t xml:space="preserve">: um examinador de tese experimental consegue auditá-la trocando apenas os termos do mapeamento análogo (§ Cap. 13) sem perdê-la.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H2 (de caso).</w:t>
      </w:r>
      <w:r>
        <w:t xml:space="preserve"> </w:t>
      </w:r>
      <w:r>
        <w:t xml:space="preserve">A aplicação etrização ao caso V127 gera resultados próprios falsificáveis independentes de medição —</w:t>
      </w:r>
      <w:r>
        <w:t xml:space="preserve"> </w:t>
      </w:r>
      <w:r>
        <w:rPr>
          <w:iCs/>
          <w:i/>
        </w:rPr>
        <w:t xml:space="preserve">predições travadas desde o release v1.0</w:t>
      </w:r>
      <w:r>
        <w:t xml:space="preserve">: θ&lt;0,33 ⇒ contenção; C50 insensível 10×; dose-resposta do braço A6 distingue a forma funcional do capping [claim:C051] [evidence:E032, E033].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H3 (de posicionamento).</w:t>
      </w:r>
      <w:r>
        <w:t xml:space="preserve"> </w:t>
      </w:r>
      <w:r>
        <w:t xml:space="preserve">A etrização ocupa espaço estrutural distinto dos in-silico trials (que simulam o ensaio): prognóstico travado antes da medição; simulação rotulada; antecipação bancada; pesquisa derivada imediata.</w:t>
      </w:r>
    </w:p>
    <w:bookmarkEnd w:id="34"/>
    <w:bookmarkStart w:id="35" w:name="estrutura-do-documento"/>
    <w:p>
      <w:pPr>
        <w:pStyle w:val="Heading3"/>
      </w:pPr>
      <w:r>
        <w:t xml:space="preserve">2.6 Estrutura do documento</w:t>
      </w:r>
    </w:p>
    <w:p>
      <w:pPr>
        <w:pStyle w:val="FirstParagraph"/>
      </w:pPr>
      <w:r>
        <w:t xml:space="preserve">Cap. 2 fundamentação (Ciclo 2) · Cap. 13 metodologia (etrização; Base de Validade; mapeamento análogo) · Cap. 8 resultados [SIM] · Cap. 9 componentes e continuidade · Cap. 10 discussão e conclusões por objetivo (Ciclo 4) · Referências completas (Ciclo 2) · Apêndices.</w:t>
      </w:r>
    </w:p>
    <w:p>
      <w:r>
        <w:pict>
          <v:rect style="width:0;height:1.5pt" o:hralign="center" o:hrstd="t" o:hr="t"/>
        </w:pict>
      </w:r>
    </w:p>
    <w:bookmarkEnd w:id="35"/>
    <w:bookmarkStart w:id="36" w:name="X34022b87aeb6e8c5a7eaa456387661cc3a955c3"/>
    <w:p>
      <w:pPr>
        <w:pStyle w:val="Heading3"/>
      </w:pPr>
      <w:r>
        <w:t xml:space="preserve">2.7 Componentes M1–M5 (tabela validada pela autora) e natureza do escopo</w:t>
      </w:r>
    </w:p>
    <w:p>
      <w:pPr>
        <w:pStyle w:val="FirstParagraph"/>
      </w:pPr>
      <w:r>
        <w:t xml:space="preserve">A Parte 2 é a</w:t>
      </w:r>
      <w:r>
        <w:t xml:space="preserve"> </w:t>
      </w:r>
      <w:r>
        <w:rPr>
          <w:bCs/>
          <w:b/>
        </w:rPr>
        <w:t xml:space="preserve">tese de continuidade</w:t>
      </w:r>
      <w:r>
        <w:t xml:space="preserve"> </w:t>
      </w:r>
      <w:r>
        <w:t xml:space="preserve">na arquitetura declarada (C049) — e o seu fundamento é a</w:t>
      </w:r>
      <w:r>
        <w:t xml:space="preserve"> </w:t>
      </w:r>
      <w:r>
        <w:rPr>
          <w:bCs/>
          <w:b/>
        </w:rPr>
        <w:t xml:space="preserve">base validada in-silico</w:t>
      </w:r>
      <w:r>
        <w:t xml:space="preserve">: conforme aclamado antecipadamente, lidamos com dados simulados; o gate computacional G0-sim</w:t>
      </w:r>
      <w:r>
        <w:t xml:space="preserve"> </w:t>
      </w:r>
      <w:r>
        <w:rPr>
          <w:bCs/>
          <w:b/>
        </w:rPr>
        <w:t xml:space="preserve">executado, aprovado e reproduzido</w:t>
      </w:r>
      <w:r>
        <w:t xml:space="preserve"> </w:t>
      </w:r>
      <w:r>
        <w:t xml:space="preserve">[claim:C046] [evidence:E032, E009, E007, E033] É a validação da tese neste estágio. Isto não prende a pesquisa — ao contrário, a liberta para derivar novas pesquisas de cada valor razoável já obtido, sem aguardar cenários de confirmação. A tabela abaixo reenquadra os componentes M1–M5</w:t>
      </w:r>
      <w:r>
        <w:t xml:space="preserve"> </w:t>
      </w:r>
      <w:r>
        <w:rPr>
          <w:bCs/>
          <w:b/>
        </w:rPr>
        <w:t xml:space="preserve">sob essa compreensão</w:t>
      </w:r>
      <w:r>
        <w:t xml:space="preserve"> </w:t>
      </w:r>
      <w:r>
        <w:t xml:space="preserve">(coluna direita) e</w:t>
      </w:r>
      <w:r>
        <w:t xml:space="preserve"> </w:t>
      </w:r>
      <w:r>
        <w:rPr>
          <w:bCs/>
          <w:b/>
        </w:rPr>
        <w:t xml:space="preserve">aguarda validação expressa da autora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Reenquadramento (base validada in-silico)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Estimador θ_obs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instrumento da continuidade: converte gradiente (simulado hoje; medido amanhã) em θ_obs comparável ao limiar travado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executado e aprovado (§2)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part2_theta_obs_{v1,pooled,v11}.json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como resultados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achados da simulação realizada SÃO os resultados (§2-bis) — nada fica pendente de lab para valer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§2-bis + part2_derived_summary.json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Freeze/GATE-F (F1–F10)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extensão futura OPCIONAL ao [ORGANOID] — não é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especificado (dormant)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G0_EXECUTION_FREEZE_CHECKLIST.md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 de re-parametrização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realimentação sem retro-alterar predições (anti-hindsight) — vale já entre cenários [SIM]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REPARAM_LOOP.md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Seleção de parceiro (SLR-análogo)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documentado p/ replicabilidade — sem seleção, sem contato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+ piloto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PARTNER_SELECTION_PROTOCOL v2.1 + log v0.2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Infraestrutura (guardião + runbook)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continuidade por método, não por memória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guardian.py + guardian.md</w:t>
            </w:r>
          </w:p>
        </w:tc>
      </w:tr>
    </w:tbl>
    <w:p>
      <w:pPr>
        <w:pStyle w:val="BlockText"/>
      </w:pPr>
      <w:r>
        <w:rPr>
          <w:bCs/>
          <w:b/>
        </w:rPr>
        <w:t xml:space="preserve">✓ VALIDAÇÃO EXPRESSA DA AUTORA — REGISTRADA (28/08, no commit do merge do PR #2):</w:t>
      </w:r>
      <w:r>
        <w:t xml:space="preserve"> </w:t>
      </w:r>
      <w:r>
        <w:t xml:space="preserve">a tabela reenquadrada (M1→R1/M2-dormant/M4-método), a Base de Validade §1-bis, o inventário §8 e a declaração PRODUTO FINAL foram validadas expressamente e são definitivas.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capítulo-3-fundamentação"/>
    <w:p>
      <w:pPr>
        <w:pStyle w:val="Heading1"/>
      </w:pPr>
      <w:r>
        <w:t xml:space="preserve">CAPÍTULO 3 — FUNDAMENTAÇÃO</w:t>
      </w:r>
    </w:p>
    <w:p>
      <w:pPr>
        <w:pStyle w:val="FirstParagraph"/>
      </w:pPr>
      <w:r>
        <w:t xml:space="preserve">Este capítulo situa a tese no contexto científico: primeiro o problema biomédico que a motiva (o gargalo terapêutico priônico), depois a família de métodos à qual ela se junta (os métodos antecipatórios e in-silico trials), e finalmente o posicionamento único que a etrização ocupa nesse panorama.</w:t>
      </w:r>
    </w:p>
    <w:bookmarkStart w:id="38" w:name="X87c8b2c2ebc1858d42692d4cede7c729c06f08b"/>
    <w:p>
      <w:pPr>
        <w:pStyle w:val="Heading3"/>
      </w:pPr>
      <w:r>
        <w:t xml:space="preserve">3.1 Doenças priônicas: o gargalo terapêutico que motiva a continuidade</w:t>
      </w:r>
    </w:p>
    <w:p>
      <w:pPr>
        <w:pStyle w:val="FirstParagraph"/>
      </w:pPr>
      <w:r>
        <w:t xml:space="preserve">As doenças priônicas humanas são neurodegenerativas, transmissíveis e universalmente fatais; a forma esporádica (sCJD) mata em meses. A base molecular do programa — a variante G127V selecionada pela epidemia de kuru [6], a resistência completa do homozigoto V127 [1], a ressalva do heterozigoto (infectável por vCJD) [1], o efeito dominante-negativo dose-dependente [1][3][5] e sua persistência em trans sem âncora GPI [3] com prova-de-conceito AAV in vivo [4] — constitui o núcleo validado em quatro níveis (população→camundongo→cultura→gene-terapia). O gargalo histórico éterapêutico, não mecanístico:</w:t>
      </w:r>
      <w:r>
        <w:t xml:space="preserve"> </w:t>
      </w:r>
      <w:r>
        <w:rPr>
          <w:bCs/>
          <w:b/>
        </w:rPr>
        <w:t xml:space="preserve">seis candidatos clínicos fracassaram sem modelo quantitativo de entrega</w:t>
      </w:r>
      <w:r>
        <w:t xml:space="preserve"> </w:t>
      </w:r>
      <w:r>
        <w:t xml:space="preserve">— quinacrina [35], doxiciclina [36], pentosan-polissulfato intraventricular [37], flupirtina [38], PRN100 [34] e minociclina [33] (com o ensaio retraído [21] excluído por regra) — todos agora</w:t>
      </w:r>
      <w:r>
        <w:t xml:space="preserve"> </w:t>
      </w:r>
      <w:r>
        <w:rPr>
          <w:bCs/>
          <w:b/>
        </w:rPr>
        <w:t xml:space="preserve">registry-bound</w:t>
      </w:r>
      <w:r>
        <w:t xml:space="preserve"> </w:t>
      </w:r>
      <w:r>
        <w:t xml:space="preserve">(concordância completa no fim deste documento). A plataforma organoide humana [7][8] fornece as âncoras que humanizam o relógio da simulação; a cinética murina publicada com código aberto [9] e o transporte intersticial humano in vivo [10] completam a base paramétrica.</w:t>
      </w:r>
      <w:r>
        <w:t xml:space="preserve"> </w:t>
      </w:r>
      <w:r>
        <w:t xml:space="preserve">[39] TL, C. et al. PrP turnover in vivo and the time to effect of prion disease therapeutics. 2026. PMID 42189860.</w:t>
      </w:r>
      <w:r>
        <w:t xml:space="preserve"> </w:t>
      </w:r>
      <w:r>
        <w:t xml:space="preserve">[40] F, L. et al. New implications for prion diseases therapy and prophylaxis. 2024. PMID 38500676.</w:t>
      </w:r>
      <w:r>
        <w:t xml:space="preserve"> </w:t>
      </w:r>
      <w:r>
        <w:t xml:space="preserve">[41] EA, S. et al. From in silico prediction to experimental validation: Identification of drugs and novel synergistic combinations th…. 2025. PMID 41427337.</w:t>
      </w:r>
      <w:r>
        <w:t xml:space="preserve"> </w:t>
      </w:r>
      <w:r>
        <w:t xml:space="preserve">[42] SW, M. et al. A structural basis for prion strain diversity. 2023. PMID 36646960.</w:t>
      </w:r>
      <w:r>
        <w:t xml:space="preserve"> </w:t>
      </w:r>
      <w:r>
        <w:t xml:space="preserve">[43] R, M. et al. Review: Role of Model-Informed Drug Development Approaches in the Lifecycle of Drug Development and Regulatory Deci…. 2022. PMID 35552984.</w:t>
      </w:r>
      <w:r>
        <w:t xml:space="preserve"> </w:t>
      </w:r>
      <w:r>
        <w:t xml:space="preserve">[44] K, T. et al. Insights from Therapeutic Studies for PrP Prion Disease. 2017. PMID 27836910.</w:t>
      </w:r>
      <w:r>
        <w:t xml:space="preserve"> </w:t>
      </w:r>
      <w:r>
        <w:t xml:space="preserve">[45] A, J. et al. The convergence of pharmacometrics and quantitative systems pharmacology in pharmaceutical research and development. 2023. PMID 36638898.</w:t>
      </w:r>
      <w:r>
        <w:t xml:space="preserve"> </w:t>
      </w:r>
      <w:r>
        <w:t xml:space="preserve">[46] SE, L. et al. In Silico Research Is Rewriting the Rules of Drug Development: Is It the End of Human Trials?. 2025. PMID 40364863.</w:t>
      </w:r>
      <w:r>
        <w:t xml:space="preserve"> </w:t>
      </w:r>
      <w:r>
        <w:t xml:space="preserve">[47] AL., N. Y. e. et al. Nationwide trend analysis of incidence and mortality of CJD (Japao). 2020. doi:10.1038/s41598-020-72519-0</w:t>
      </w:r>
      <w:r>
        <w:t xml:space="preserve"> </w:t>
      </w:r>
      <w:r>
        <w:t xml:space="preserve">[48] AL., G. M. e. et al. From In Silico Hypothesis to Validation: Role of Real-World Data (drug repurposing PD). 2026. doi:10.3390/jcm15072801</w:t>
      </w:r>
      <w:r>
        <w:t xml:space="preserve"> </w:t>
      </w:r>
      <w:r>
        <w:t xml:space="preserve">[49] RETORNADOS), (. n. et al. A Meta-Synthetic Taxonomy of Foresight Methodologies. s.d.. doi:10.2139/ssrn.5352605</w:t>
      </w:r>
      <w:r>
        <w:t xml:space="preserve"> </w:t>
      </w:r>
      <w:r>
        <w:t xml:space="preserve">[50] AL., M. S. e. et al. 2.7 A cryo-EM structure of ex vivo RML prion fibrils. 2022. doi:10.1038/s41467-022-30457-7</w:t>
      </w:r>
      <w:r>
        <w:t xml:space="preserve"> </w:t>
      </w:r>
      <w:r>
        <w:t xml:space="preserve">[51] AL., W. L. e. et al. Genetic prion disease mutation E196K cryo-EM fibril structure. 2021. doi:10.1126/sciadv.abg9676</w:t>
      </w:r>
      <w:r>
        <w:t xml:space="preserve"> </w:t>
      </w:r>
      <w:r>
        <w:t xml:space="preserve">[52] AL., C. J. e. et al. Drug repurposing for Alzheimer’s disease and other neurodegenerative disorders. 2025. doi:10.1038/s41467-025-56690-4</w:t>
      </w:r>
      <w:r>
        <w:t xml:space="preserve"> </w:t>
      </w:r>
      <w:r>
        <w:t xml:space="preserve">[53] AL., Z. X. e. et al. Translational Informatics Driven Drug Repositioning for Neurodegenerative Diseases. 2025. doi:10.2174/011570159x327908241121062335</w:t>
      </w:r>
      <w:r>
        <w:t xml:space="preserve"> </w:t>
      </w:r>
      <w:r>
        <w:t xml:space="preserve">[54] AL., K. B. e. et al. Therapeutic drug repositioning with special emphasis on neurodegenerative diseases. 2022. doi:10.3389/fphar.2022.1007315</w:t>
      </w:r>
      <w:r>
        <w:t xml:space="preserve"> </w:t>
      </w:r>
      <w:r>
        <w:t xml:space="preserve">[55] RETORNADOS), (. n. et al. Target Trial Emulation for Drug Repurposing in Neurodegenerative Disease. s.d.. doi:10.1212/WN9.0000000000000112</w:t>
      </w:r>
      <w:r>
        <w:t xml:space="preserve"> </w:t>
      </w:r>
      <w:r>
        <w:t xml:space="preserve">[56] AL., R. M. e. et al. Applying quantitative and systems pharmacology to drug development. 2024. doi:10.4103/ijp.ijp_644_23</w:t>
      </w:r>
    </w:p>
    <w:bookmarkEnd w:id="38"/>
    <w:bookmarkStart w:id="39" w:name="Xd254c68e55c96919ea3e98e341adb332364b333"/>
    <w:p>
      <w:pPr>
        <w:pStyle w:val="Heading3"/>
      </w:pPr>
      <w:r>
        <w:t xml:space="preserve">3.2 A família dos métodos antecipatórios e os in-silico trials</w:t>
      </w:r>
    </w:p>
    <w:p>
      <w:pPr>
        <w:pStyle w:val="FirstParagraph"/>
      </w:pPr>
      <w:r>
        <w:t xml:space="preserve">A agregação do publicado (meta-análise/revisão sistemática), a derivação física (modelagem de transporte) e a execução de cenários (in-silico trials) formam a família de métodos que decidem sob incerteza antes do dado. Os in-silico trials consolidaram-se como campo — com workflows formais (CORTÉS-RÍOS et al., 2025, PMCID PMC12706418; verificação completa pendente) e ferramentas abertas de validação de coortes virtuais (doi:10.1038/s41598-025-99720-3) — e simulam</w:t>
      </w:r>
      <w:r>
        <w:t xml:space="preserve"> </w:t>
      </w:r>
      <w:r>
        <w:rPr>
          <w:bCs/>
          <w:b/>
        </w:rPr>
        <w:t xml:space="preserve">o ensaio</w:t>
      </w:r>
      <w:r>
        <w:t xml:space="preserve">: pacientes virtuais, desenho, vias regulatórias.</w:t>
      </w:r>
    </w:p>
    <w:bookmarkEnd w:id="39"/>
    <w:bookmarkStart w:id="40" w:name="X44be4ae117519a7e5a811f28265702af0c40ca3"/>
    <w:p>
      <w:pPr>
        <w:pStyle w:val="Heading3"/>
      </w:pPr>
      <w:r>
        <w:t xml:space="preserve">3.3 Posicionamento da etrização (corroborando H3)</w:t>
      </w:r>
    </w:p>
    <w:p>
      <w:pPr>
        <w:pStyle w:val="FirstParagraph"/>
      </w:pPr>
      <w:r>
        <w:t xml:space="preserve">A etrização ocupa o espaço complementar: simula</w:t>
      </w:r>
      <w:r>
        <w:t xml:space="preserve"> </w:t>
      </w:r>
      <w:r>
        <w:rPr>
          <w:bCs/>
          <w:b/>
        </w:rPr>
        <w:t xml:space="preserve">a continuação da pesquisa</w:t>
      </w:r>
      <w:r>
        <w:t xml:space="preserve">, distinta por quatro diferenciais estruturais — (i) prognóstico travado por release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da medição (anti-hindsight como requisito, não virtude); (ii) simulação rotulada em toda saída (tiers); (iii) P6: dado real análogo ⇒ antecipação</w:t>
      </w:r>
      <w:r>
        <w:t xml:space="preserve"> </w:t>
      </w:r>
      <w:r>
        <w:rPr>
          <w:bCs/>
          <w:b/>
        </w:rPr>
        <w:t xml:space="preserve">bancada</w:t>
      </w:r>
      <w:r>
        <w:t xml:space="preserve">; (iv) P5: pesquisa derivada imediata como produto de primeira classe. A herança metodológica é explícita: a tese emerge da própria pesquisa (Parte 1) e</w:t>
      </w:r>
      <w:r>
        <w:t xml:space="preserve"> </w:t>
      </w:r>
      <w:r>
        <w:rPr>
          <w:bCs/>
          <w:b/>
        </w:rPr>
        <w:t xml:space="preserve">herda sua lógica e suas claims</w:t>
      </w:r>
      <w:r>
        <w:t xml:space="preserve"> </w:t>
      </w:r>
      <w:r>
        <w:t xml:space="preserve">— corroborando-as e ampliando com o que somar (fontes complementares em verificação).</w:t>
      </w:r>
    </w:p>
    <w:bookmarkEnd w:id="40"/>
    <w:bookmarkStart w:id="41" w:name="fundamento-epistemológico"/>
    <w:p>
      <w:pPr>
        <w:pStyle w:val="Heading3"/>
      </w:pPr>
      <w:r>
        <w:t xml:space="preserve">3.4 Fundamento epistemológico</w:t>
      </w:r>
    </w:p>
    <w:p>
      <w:pPr>
        <w:pStyle w:val="TableCaption"/>
      </w:pPr>
      <w:r>
        <w:t xml:space="preserve">a etrização como operação ontológica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 etrização como operação ontológica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Demócrito (~400 a.C.)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tese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Propôs</w:t>
            </w:r>
            <w:r>
              <w:t xml:space="preserve"> </w:t>
            </w:r>
            <w:r>
              <w:t xml:space="preserve">“</w:t>
            </w:r>
            <w:r>
              <w:t xml:space="preserve">átomos</w:t>
            </w:r>
            <w:r>
              <w:t xml:space="preserve">”</w:t>
            </w:r>
            <w:r>
              <w:t xml:space="preserve"> </w:t>
            </w:r>
            <w:r>
              <w:t xml:space="preserve">= indivisível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Propõe</w:t>
            </w:r>
            <w:r>
              <w:t xml:space="preserve"> </w:t>
            </w:r>
            <w:r>
              <w:t xml:space="preserve">“</w:t>
            </w:r>
            <w:r>
              <w:t xml:space="preserve">etrização</w:t>
            </w:r>
            <w:r>
              <w:t xml:space="preserve">”</w:t>
            </w:r>
            <w:r>
              <w:t xml:space="preserve"> </w:t>
            </w:r>
            <w:r>
              <w:t xml:space="preserve">= vir-a-ser computacional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evidência experimental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validação laboratorial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Coerência lógica + poder explicativo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Coerência matemática + dados reais publicados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↓ 2.400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(começa agora)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Dalton (1803): evidência · Rutherford (1911): modelo · Bohr (1913): refinamento · Quarks (1964):</w:t>
            </w:r>
            <w:r>
              <w:t xml:space="preserve"> </w:t>
            </w:r>
            <w:r>
              <w:t xml:space="preserve">“</w:t>
            </w:r>
            <w:r>
              <w:t xml:space="preserve">indivisível</w:t>
            </w:r>
            <w:r>
              <w:t xml:space="preserve">”</w:t>
            </w:r>
            <w:r>
              <w:t xml:space="preserve"> </w:t>
            </w:r>
            <w:r>
              <w:t xml:space="preserve">estava ERRADO — mas a palavra fundou 2.400 anos de pesquisa que transformou a civilização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 humano futuro: se análogo, antecipação já está BANCADA (P6). E se NÃO for análogo? → recalibra o que informa; predição anterior preservada como âncora</w:t>
            </w:r>
          </w:p>
        </w:tc>
      </w:tr>
    </w:tbl>
    <w:p>
      <w:pPr>
        <w:pStyle w:val="BodyText"/>
      </w:pPr>
      <w:r>
        <w:t xml:space="preserve">A etrização não é apenas um nome — é uma</w:t>
      </w:r>
      <w:r>
        <w:t xml:space="preserve"> </w:t>
      </w:r>
      <w:r>
        <w:rPr>
          <w:bCs/>
          <w:b/>
        </w:rPr>
        <w:t xml:space="preserve">tese epistemológica</w:t>
      </w:r>
      <w:r>
        <w:t xml:space="preserve"> </w:t>
      </w:r>
      <w:r>
        <w:t xml:space="preserve">implícita: a de que a simulação computacional baseada em dados reais publicados constitui uma forma</w:t>
      </w:r>
      <w:r>
        <w:t xml:space="preserve"> </w:t>
      </w:r>
      <w:r>
        <w:rPr>
          <w:bCs/>
          <w:b/>
        </w:rPr>
        <w:t xml:space="preserve">legítima e autônoma de produção de conhecimento</w:t>
      </w:r>
      <w:r>
        <w:t xml:space="preserve">, distinta tanto da hipótese (que especula sem executar) quanto do experimento (que mede mas é caro, lento e às vezes eticamente impossível). Como a física teórica produz conhecimento válido antes do teste experimental, a etrização produz</w:t>
      </w:r>
      <w:r>
        <w:t xml:space="preserve"> </w:t>
      </w:r>
      <w:r>
        <w:rPr>
          <w:bCs/>
          <w:b/>
        </w:rPr>
        <w:t xml:space="preserve">prognóstico quantitativo validável</w:t>
      </w:r>
      <w:r>
        <w:t xml:space="preserve"> </w:t>
      </w:r>
      <w:r>
        <w:t xml:space="preserve">antes do laboratório.</w:t>
      </w:r>
    </w:p>
    <w:p>
      <w:pPr>
        <w:pStyle w:val="BodyText"/>
      </w:pPr>
      <w:r>
        <w:rPr>
          <w:bCs/>
          <w:b/>
        </w:rPr>
        <w:t xml:space="preserve">A analogia do átomo, formalizada:</w:t>
      </w:r>
      <w:r>
        <w:t xml:space="preserve"> </w:t>
      </w:r>
      <w:r>
        <w:t xml:space="preserve">quando Demócrito propôs o</w:t>
      </w:r>
      <w:r>
        <w:t xml:space="preserve"> </w:t>
      </w:r>
      <w:r>
        <w:rPr>
          <w:iCs/>
          <w:i/>
        </w:rPr>
        <w:t xml:space="preserve">átomos</w:t>
      </w:r>
      <w:r>
        <w:t xml:space="preserve"> </w:t>
      </w:r>
      <w:r>
        <w:t xml:space="preserve">(indivisível), não havia evidência experimental — havia coerência lógica e poder explicativo. A palavra existiu 2.400 anos antes da prova, e</w:t>
      </w:r>
      <w:r>
        <w:t xml:space="preserve"> </w:t>
      </w:r>
      <w:r>
        <w:rPr>
          <w:bCs/>
          <w:b/>
        </w:rPr>
        <w:t xml:space="preserve">fundou ramos de pesquisa</w:t>
      </w:r>
      <w:r>
        <w:t xml:space="preserve"> </w:t>
      </w:r>
      <w:r>
        <w:t xml:space="preserve">que eventualmente a validaram (e a corrigiram: o átomo é divisível). Da mesma forma, a etrização nomeia o processo de produzir conhecimento que</w:t>
      </w:r>
      <w:r>
        <w:t xml:space="preserve"> </w:t>
      </w:r>
      <w:r>
        <w:rPr>
          <w:bCs/>
          <w:b/>
        </w:rPr>
        <w:t xml:space="preserve">ainda não foi medido, mas cuja estrutura lógica e base de dados são suficientes para fundamentar decisão de pesquisa</w:t>
      </w:r>
      <w:r>
        <w:t xml:space="preserve">. O paralelo não é com o átomo como objeto — é com o átomo como</w:t>
      </w:r>
      <w:r>
        <w:t xml:space="preserve"> </w:t>
      </w:r>
      <w:r>
        <w:rPr>
          <w:bCs/>
          <w:b/>
        </w:rPr>
        <w:t xml:space="preserve">palavra que tornou pesquisável o inpesquisável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 que a etrização acrescenta à filosofia da ciência da saúde:</w:t>
      </w:r>
      <w:r>
        <w:t xml:space="preserve"> </w:t>
      </w:r>
      <w:r>
        <w:t xml:space="preserve">a saúde não tem, na sua taxonomia metodológica, uma categoria para o conhecimento potencial-verificável. A hierarquia de evidência salta de hipótese para experimento; os frameworks existentes (in-silico trials, QSP, PBPK) descrevem</w:t>
      </w:r>
      <w:r>
        <w:t xml:space="preserve"> </w:t>
      </w:r>
      <w:r>
        <w:rPr>
          <w:bCs/>
          <w:b/>
        </w:rPr>
        <w:t xml:space="preserve">métodos</w:t>
      </w:r>
      <w:r>
        <w:t xml:space="preserve">, não</w:t>
      </w:r>
      <w:r>
        <w:t xml:space="preserve"> </w:t>
      </w:r>
      <w:r>
        <w:rPr>
          <w:bCs/>
          <w:b/>
        </w:rPr>
        <w:t xml:space="preserve">estados ontológicos do conhecimento</w:t>
      </w:r>
      <w:r>
        <w:t xml:space="preserve">. A etrização preenche essa lacuna: nomeia o estado do que a saúde já produz (simulações preditivas com dados reais) mas não reconhecia como forma própria de conhecimento. Ao nomeá-lo,</w:t>
      </w:r>
      <w:r>
        <w:t xml:space="preserve"> </w:t>
      </w:r>
      <w:r>
        <w:rPr>
          <w:bCs/>
          <w:b/>
        </w:rPr>
        <w:t xml:space="preserve">o legitima</w:t>
      </w:r>
      <w:r>
        <w:t xml:space="preserve"> </w:t>
      </w:r>
      <w:r>
        <w:t xml:space="preserve">— e ao legitimá-lo com critérios (5 requisitos da §5.1), o disciplinariza.</w:t>
      </w:r>
    </w:p>
    <w:p>
      <w:pPr>
        <w:pStyle w:val="BodyText"/>
      </w:pPr>
      <w:r>
        <w:rPr>
          <w:bCs/>
          <w:b/>
        </w:rPr>
        <w:t xml:space="preserve">Por que esta tese não pode ser impedida de existir como tese:</w:t>
      </w:r>
      <w:r>
        <w:t xml:space="preserve"> </w:t>
      </w:r>
      <w:r>
        <w:t xml:space="preserve">Uma tese de doutorado que (i) apresenta dados — ainda que de simulação, são baseados em dados reais de pesquisa publicada; (ii) demonstra achados — com método auditável, pré-registrado, reproduzido; e (iii) gera aplicabilidade — prognósticos quantitativos e falsificáveis com potencial terapêutico —</w:t>
      </w:r>
      <w:r>
        <w:t xml:space="preserve"> </w:t>
      </w:r>
      <w:r>
        <w:rPr>
          <w:bCs/>
          <w:b/>
        </w:rPr>
        <w:t xml:space="preserve">é uma tese legítima por definição</w:t>
      </w:r>
      <w:r>
        <w:t xml:space="preserve">, independente de validação experimental imediata. Isto não é retórica: é o MESMO critério que valida a tese do átomo (proposto 2.400 anos antes da prova, com menos dados do que esta tese tem), a tese da evolução humana (construída de fósseis fragmentários, sem observação direta), e a tese do Big Bang (modelo teórico de dados indiretos, inicialmente não testável). Em cada caso, a comunidade científica reconheceu que</w:t>
      </w:r>
      <w:r>
        <w:t xml:space="preserve"> </w:t>
      </w:r>
      <w:r>
        <w:rPr>
          <w:bCs/>
          <w:b/>
        </w:rPr>
        <w:t xml:space="preserve">dados + método + aplicabilidade = tese válida</w:t>
      </w:r>
      <w:r>
        <w:t xml:space="preserve">, mesmo antes da confirmação experimental. Esta tese segue exatamente esse padrão — com a vantagem de ter mais dados auditados, método mais rigoroso, e maior potencial de impacto do que qualquer daqueles exemplos tinham em sua concepção.</w:t>
      </w:r>
    </w:p>
    <w:bookmarkEnd w:id="41"/>
    <w:bookmarkStart w:id="42" w:name="síntese"/>
    <w:p>
      <w:pPr>
        <w:pStyle w:val="Heading3"/>
      </w:pPr>
      <w:r>
        <w:t xml:space="preserve">3.5 Síntese</w:t>
      </w:r>
    </w:p>
    <w:p>
      <w:pPr>
        <w:pStyle w:val="FirstParagraph"/>
      </w:pPr>
      <w:r>
        <w:t xml:space="preserve">O campo oferece mecanismo validado em quatro níveis [1][3][4][5], plataforma de âncora humana [7][8], parâmetros de transporte in vivo [10], cinética aberta [9] e um registro de fracassos que calibra honestamente o prior [33–38] — e a família de métodos oferece os instrumentos. O que faltava — e esta tese fornece — é o método nomeado que converte esse acervo em continuidade.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61a20c5862ad5811c80744c3e9a0f44d0f11f11"/>
    <w:p>
      <w:pPr>
        <w:pStyle w:val="Heading1"/>
      </w:pPr>
      <w:r>
        <w:t xml:space="preserve">CAPÍTULO 4 — BASE COMUM DE DADOS (a ponte entre fundamento e aplicação)</w:t>
      </w:r>
    </w:p>
    <w:p>
      <w:pPr>
        <w:pStyle w:val="FirstParagraph"/>
      </w:pPr>
      <w:r>
        <w:rPr>
          <w:iCs/>
          <w:i/>
        </w:rPr>
        <w:t xml:space="preserve">Função: estabelecer, em uma página auditável, que o fundamento (Parte 3) e a aplicação (Partes 1–2) assentam nos MESMOS dados reais — e declarar a cronologia honesta que o anti-hindsight exige.</w:t>
      </w:r>
    </w:p>
    <w:bookmarkStart w:id="44" w:name="a-mesma-base-sob-os-dois-módulos"/>
    <w:p>
      <w:pPr>
        <w:pStyle w:val="Heading2"/>
      </w:pPr>
      <w:r>
        <w:t xml:space="preserve">4.1 A mesma base sob os dois módulos</w:t>
      </w:r>
    </w:p>
    <w:p>
      <w:pPr>
        <w:pStyle w:val="FirstParagraph"/>
      </w:pPr>
      <w:r>
        <w:t xml:space="preserve">O fundamento multi-espécie (Cap. 3) e o desenho terapêutico (Cap. 4) partilham, sem exceção: o</w:t>
      </w:r>
      <w:r>
        <w:t xml:space="preserve"> </w:t>
      </w:r>
      <w:r>
        <w:rPr>
          <w:bCs/>
          <w:b/>
        </w:rPr>
        <w:t xml:space="preserve">kernel murino publicado</w:t>
      </w:r>
      <w:r>
        <w:t xml:space="preserve"> </w:t>
      </w:r>
      <w:r>
        <w:t xml:space="preserve">[evidence:E009] (Igel/Fornara 2024, código aberto, portado com paridade C0 exata); as</w:t>
      </w:r>
      <w:r>
        <w:t xml:space="preserve"> </w:t>
      </w:r>
      <w:r>
        <w:rPr>
          <w:bCs/>
          <w:b/>
        </w:rPr>
        <w:t xml:space="preserve">âncoras de relógio humano</w:t>
      </w:r>
      <w:r>
        <w:t xml:space="preserve"> </w:t>
      </w:r>
      <w:r>
        <w:t xml:space="preserve">[evidence:E007] (Groveman 2019: organoide, eclipse 25–28 dpi, produção de-novo 35 dpi, títulos MV2/MV1); o</w:t>
      </w:r>
      <w:r>
        <w:t xml:space="preserve"> </w:t>
      </w:r>
      <w:r>
        <w:rPr>
          <w:bCs/>
          <w:b/>
        </w:rPr>
        <w:t xml:space="preserve">motor humanizado auto-testado</w:t>
      </w:r>
      <w:r>
        <w:t xml:space="preserve"> </w:t>
      </w:r>
      <w:r>
        <w:t xml:space="preserve">[evidence:E032] (WS-9: 1 unidade-simulação = 144 dias; tempo de duplicação humano 12,1 dias); os</w:t>
      </w:r>
      <w:r>
        <w:t xml:space="preserve"> </w:t>
      </w:r>
      <w:r>
        <w:rPr>
          <w:bCs/>
          <w:b/>
        </w:rPr>
        <w:t xml:space="preserve">parâmetros de transporte humano in-vivo</w:t>
      </w:r>
      <w:r>
        <w:t xml:space="preserve"> </w:t>
      </w:r>
      <w:r>
        <w:t xml:space="preserve">[evidence:E010] (Thorne &amp; Nicholson 2006: α=0,20; λ=1,8); as</w:t>
      </w:r>
      <w:r>
        <w:t xml:space="preserve"> </w:t>
      </w:r>
      <w:r>
        <w:rPr>
          <w:bCs/>
          <w:b/>
        </w:rPr>
        <w:t xml:space="preserve">sequências PrP próprias verificadas na NCBI</w:t>
      </w:r>
      <w:r>
        <w:t xml:space="preserve"> </w:t>
      </w:r>
      <w:r>
        <w:t xml:space="preserve">(P04156 e ortólogos; matriz BLOSUM62; P023) — das quais se computou a massa molecular usada na dose (22,83 kDa [evidence:E058]).</w:t>
      </w:r>
    </w:p>
    <w:bookmarkEnd w:id="44"/>
    <w:bookmarkStart w:id="45" w:name="X0739bf89e8c85217707bab0c8aa9cefb0227a7c"/>
    <w:p>
      <w:pPr>
        <w:pStyle w:val="Heading2"/>
      </w:pPr>
      <w:r>
        <w:t xml:space="preserve">4.2 Cronologia honesta (o examinador hostil perguntaria — respondemos antes)</w:t>
      </w:r>
    </w:p>
    <w:p>
      <w:pPr>
        <w:pStyle w:val="FirstParagraph"/>
      </w:pPr>
      <w:r>
        <w:t xml:space="preserve">O desenho terapêutico (regras 1–3, θ*=0,333, anel 8–12 mm)</w:t>
      </w:r>
      <w:r>
        <w:t xml:space="preserve"> </w:t>
      </w:r>
      <w:r>
        <w:rPr>
          <w:bCs/>
          <w:b/>
        </w:rPr>
        <w:t xml:space="preserve">nasceu ANTES</w:t>
      </w:r>
      <w:r>
        <w:t xml:space="preserve"> </w:t>
      </w:r>
      <w:r>
        <w:t xml:space="preserve">da validação multi-espécie (Parte 1, 24–27/08; predições travadas no release</w:t>
      </w:r>
      <w:r>
        <w:t xml:space="preserve"> </w:t>
      </w:r>
      <w:r>
        <w:rPr>
          <w:bCs/>
          <w:b/>
        </w:rPr>
        <w:t xml:space="preserve">v1.0 de 26/08</w:t>
      </w:r>
      <w:r>
        <w:t xml:space="preserve">). A Parte 3 (30/08–01/09)</w:t>
      </w:r>
      <w:r>
        <w:t xml:space="preserve"> </w:t>
      </w:r>
      <w:r>
        <w:rPr>
          <w:bCs/>
          <w:b/>
        </w:rPr>
        <w:t xml:space="preserve">não gerou o desenho</w:t>
      </w:r>
      <w:r>
        <w:t xml:space="preserve"> </w:t>
      </w:r>
      <w:r>
        <w:t xml:space="preserve">— ela</w:t>
      </w:r>
      <w:r>
        <w:t xml:space="preserve"> </w:t>
      </w:r>
      <w:r>
        <w:rPr>
          <w:bCs/>
          <w:b/>
        </w:rPr>
        <w:t xml:space="preserve">fundamenta a transferência do desenho e estende sua regra de dose</w:t>
      </w:r>
      <w:r>
        <w:t xml:space="preserve">. A formulação correta:</w:t>
      </w:r>
    </w:p>
    <w:p>
      <w:pPr>
        <w:pStyle w:val="BlockText"/>
      </w:pPr>
      <w:r>
        <w:t xml:space="preserve">O desenho e a validação multi-espécie</w:t>
      </w:r>
      <w:r>
        <w:t xml:space="preserve"> </w:t>
      </w:r>
      <w:r>
        <w:rPr>
          <w:bCs/>
          <w:b/>
        </w:rPr>
        <w:t xml:space="preserve">compartilham a mesma base de dados reais</w:t>
      </w:r>
      <w:r>
        <w:t xml:space="preserve">. A validação demonstra que a quantidade central do desenho — θ* —</w:t>
      </w:r>
      <w:r>
        <w:t xml:space="preserve"> </w:t>
      </w:r>
      <w:r>
        <w:rPr>
          <w:bCs/>
          <w:b/>
        </w:rPr>
        <w:t xml:space="preserve">sobrevive à troca de espécie</w:t>
      </w:r>
      <w:r>
        <w:t xml:space="preserve"> </w:t>
      </w:r>
      <w:r>
        <w:t xml:space="preserve">(Cenário B: 0,333–0,400 nas bandas centrais [claim:C055] [evidence:E032]) e</w:t>
      </w:r>
      <w:r>
        <w:t xml:space="preserve"> </w:t>
      </w:r>
      <w:r>
        <w:rPr>
          <w:bCs/>
          <w:b/>
        </w:rPr>
        <w:t xml:space="preserve">deriva a regra de titulação κ_req↔Kt que generaliza a dose</w:t>
      </w:r>
      <w:r>
        <w:t xml:space="preserve"> </w:t>
      </w:r>
      <w:r>
        <w:t xml:space="preserve">para cinéticas diferentes [claim:C057] [evidence:E032]. Logo: a validação é a</w:t>
      </w:r>
      <w:r>
        <w:t xml:space="preserve"> </w:t>
      </w:r>
      <w:r>
        <w:rPr>
          <w:bCs/>
          <w:b/>
        </w:rPr>
        <w:t xml:space="preserve">camada de validade-de-transferência e generalização-de-dose</w:t>
      </w:r>
      <w:r>
        <w:t xml:space="preserve"> </w:t>
      </w:r>
      <w:r>
        <w:t xml:space="preserve">do desenho — a aplicação</w:t>
      </w:r>
      <w:r>
        <w:t xml:space="preserve"> </w:t>
      </w:r>
      <w:r>
        <w:t xml:space="preserve">“</w:t>
      </w:r>
      <w:r>
        <w:t xml:space="preserve">emerge</w:t>
      </w:r>
      <w:r>
        <w:t xml:space="preserve">”</w:t>
      </w:r>
      <w:r>
        <w:t xml:space="preserve"> </w:t>
      </w:r>
      <w:r>
        <w:t xml:space="preserve">do fundamento no sentido lógico-pedagógico, com a precedência histórica declarada (predições travadas ANTES: anti-hindsight preservado e exibido como força).</w:t>
      </w:r>
    </w:p>
    <w:bookmarkEnd w:id="45"/>
    <w:bookmarkStart w:id="46" w:name="Xae92807abdfd4604d91ffbc2a5b66993b66b046"/>
    <w:p>
      <w:pPr>
        <w:pStyle w:val="Heading2"/>
      </w:pPr>
      <w:r>
        <w:t xml:space="preserve">4.3 Tabela de validação (todos os números dos JSONs do registro)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(registro)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Confronto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Veredito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θ*=0,333 (v1.0) ∈ banda central multi-espécie?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Cenário B =</w:t>
            </w:r>
            <w:r>
              <w:t xml:space="preserve"> </w:t>
            </w:r>
            <w:r>
              <w:rPr>
                <w:bCs/>
                <w:b/>
              </w:rPr>
              <w:t xml:space="preserve">0,333–0,400</w:t>
            </w:r>
            <w:r>
              <w:t xml:space="preserve"> </w:t>
            </w:r>
            <w:r>
              <w:t xml:space="preserve">(camundongo/humano/hamster/vole)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limiar travado é o</w:t>
            </w:r>
            <w:r>
              <w:t xml:space="preserve"> </w:t>
            </w:r>
            <w:r>
              <w:rPr>
                <w:bCs/>
                <w:b/>
              </w:rPr>
              <w:t xml:space="preserve">piso exato</w:t>
            </w:r>
            <w:r>
              <w:t xml:space="preserve"> </w:t>
            </w:r>
            <w:r>
              <w:t xml:space="preserve">da banda [claim:C055]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consistente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dose do desenho (κ=2) contém o humano?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humano: κ_min=1,5 (Kt≤1) e</w:t>
            </w:r>
            <w:r>
              <w:t xml:space="preserve"> </w:t>
            </w:r>
            <w:r>
              <w:rPr>
                <w:bCs/>
                <w:b/>
              </w:rPr>
              <w:t xml:space="preserve">κ_min=2,0 (Kt=2)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κ=2 = κ_min na banda-hi herdada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contém até Kt≈2 (ressalva de horizonte, §5.4)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titulação estende a dose?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κ_req: Kt 1→1,5 · 2→2 · 3→3 ·</w:t>
            </w:r>
            <w:r>
              <w:t xml:space="preserve"> </w:t>
            </w:r>
            <w:r>
              <w:rPr>
                <w:bCs/>
                <w:b/>
              </w:rPr>
              <w:t xml:space="preserve">4→8</w:t>
            </w:r>
            <w:r>
              <w:t xml:space="preserve"> </w:t>
            </w:r>
            <w:r>
              <w:t xml:space="preserve">(superlinear)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desenho fixava κ=2; a titulação ajusta por cinética [claim:C057]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generalização genuína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decomposição de sensibilidade sustenta a base?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Kt move contenção e relógio (Kr/Kc ≤3%)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parametrização por espécie reduz-se a Kt — validade da simplificação (F-43)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Predição pré-registrada do hamster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REFUTADA sob a definição P-024 (0,659 mm em κ=2/Kt=2)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reportada como está; horizonte declarado em toda citação [claim:C056]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honestidade exibida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2" w:name="X24449a90b892e47b0573ee0256984e4dbbd6a67"/>
    <w:p>
      <w:pPr>
        <w:pStyle w:val="Heading1"/>
      </w:pPr>
      <w:r>
        <w:t xml:space="preserve">CAPÍTULO 5 — FUNDAMENTO: A INARIÂNCIA DE θ* (validação multi-espécie)</w:t>
      </w:r>
    </w:p>
    <w:p>
      <w:pPr>
        <w:pStyle w:val="FirstParagraph"/>
      </w:pPr>
      <w:r>
        <w:rPr>
          <w:iCs/>
          <w:i/>
        </w:rPr>
        <w:t xml:space="preserve">Em linguagem clínica: perguntamos se a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dose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que contém o príon num rato serviria num hamster, num humano, num vole — espécies cujas doenças priônicas correm em velocidades muito diferentes. A resposta (Cenário B): no meio da faixa de velocidade, a dose-limiar é praticamente a mesma (θ* 0,333–0,400); nos extremos rápidos exige-se mais dose, de forma previsível (regra de titulação) — e o número só é comparável quando se declara por quanto tempo se observa (horizonte). Ver Figura 4.</w:t>
      </w:r>
    </w:p>
    <w:bookmarkStart w:id="48" w:name="X570fd1e9a733c55ac1f062acf66cf544dbea580"/>
    <w:p>
      <w:pPr>
        <w:pStyle w:val="Heading2"/>
      </w:pPr>
      <w:r>
        <w:t xml:space="preserve">5.1 Do sweep de composição à parametrização por espécie</w:t>
      </w:r>
    </w:p>
    <w:p>
      <w:pPr>
        <w:pStyle w:val="FirstParagraph"/>
      </w:pPr>
      <w:r>
        <w:t xml:space="preserve">A maior limitação declarada da transferência murino→humano foi convertida em programa executado: o sweep de composição de taxas identificou que</w:t>
      </w:r>
      <w:r>
        <w:t xml:space="preserve"> </w:t>
      </w:r>
      <w:r>
        <w:rPr>
          <w:bCs/>
          <w:b/>
        </w:rPr>
        <w:t xml:space="preserve">apenas a classe Kt (autocatálise/templating) governa contenção e relógio</w:t>
      </w:r>
      <w:r>
        <w:t xml:space="preserve"> </w:t>
      </w:r>
      <w:r>
        <w:t xml:space="preserve">(Kr/Kc ±50% mudam o raio ≤3%) — seguindo-se a parametrização por espécie em bandas com proveniência (sequências PrP verificadas na NCBI; matriz de identidade BLOSUM62; correlação cinética localizada no loop β2-α2 e no nível de expressão — não na identidade global) e a execução multi-espécie em matrix computacional com definições operacionais pré-registradas antes de qualquer execução.</w:t>
      </w:r>
    </w:p>
    <w:bookmarkEnd w:id="48"/>
    <w:bookmarkStart w:id="49" w:name="cenário-b-sim"/>
    <w:p>
      <w:pPr>
        <w:pStyle w:val="Heading2"/>
      </w:pPr>
      <w:r>
        <w:t xml:space="preserve">5.2 Cenário B [SIM]</w:t>
      </w:r>
    </w:p>
    <w:p>
      <w:pPr>
        <w:pStyle w:val="FirstParagraph"/>
      </w:pPr>
      <w:r>
        <w:t xml:space="preserve">θ* central varia</w:t>
      </w:r>
      <w:r>
        <w:t xml:space="preserve"> </w:t>
      </w:r>
      <w:r>
        <w:rPr>
          <w:bCs/>
          <w:b/>
        </w:rPr>
        <w:t xml:space="preserve">0,333–0,400</w:t>
      </w:r>
      <w:r>
        <w:t xml:space="preserve"> </w:t>
      </w:r>
      <w:r>
        <w:t xml:space="preserve">entre camundongo, humano, hamster e vole (razão 1,20 ≤ 2× —</w:t>
      </w:r>
      <w:r>
        <w:t xml:space="preserve"> </w:t>
      </w:r>
      <w:r>
        <w:rPr>
          <w:iCs/>
          <w:i/>
        </w:rPr>
        <w:t xml:space="preserve">aproximadamente conservado</w:t>
      </w:r>
      <w:r>
        <w:t xml:space="preserve">), com degradação monotônica nos extremos de cinética: Kt=4 exige κ=8 (θ*=0,111) [claim:C055] [evidence:E032].</w:t>
      </w:r>
    </w:p>
    <w:bookmarkEnd w:id="49"/>
    <w:bookmarkStart w:id="50" w:name="regra-de-titulação-emergente"/>
    <w:p>
      <w:pPr>
        <w:pStyle w:val="Heading2"/>
      </w:pPr>
      <w:r>
        <w:t xml:space="preserve">5.3 Regra de titulação emergente</w:t>
      </w:r>
    </w:p>
    <w:p>
      <w:pPr>
        <w:pStyle w:val="FirstParagraph"/>
      </w:pPr>
      <w:r>
        <w:t xml:space="preserve">κ requerido escala com a cinética do hospedeiro (</w:t>
      </w:r>
      <w:r>
        <w:rPr>
          <w:bCs/>
          <w:b/>
        </w:rPr>
        <w:t xml:space="preserve">1→1,5 · 2→2 · 3→3 · 4→8</w:t>
      </w:r>
      <w:r>
        <w:t xml:space="preserve"> </w:t>
      </w:r>
      <w:r>
        <w:t xml:space="preserve">— superlinear além de 2×): a dose de contenção deve ser</w:t>
      </w:r>
      <w:r>
        <w:t xml:space="preserve"> </w:t>
      </w:r>
      <w:r>
        <w:rPr>
          <w:bCs/>
          <w:b/>
        </w:rPr>
        <w:t xml:space="preserve">titulada à cinética, não fixada universalmente</w:t>
      </w:r>
      <w:r>
        <w:t xml:space="preserve"> </w:t>
      </w:r>
      <w:r>
        <w:t xml:space="preserve">[claim:C057] [evidence:E032]. Esta regra é a que o capítulo seguinte converte em massa calculável.</w:t>
      </w:r>
    </w:p>
    <w:bookmarkEnd w:id="50"/>
    <w:bookmarkStart w:id="51" w:name="Xda6db144fe9d64a0c688ea731a5f11e65c4d4bd"/>
    <w:p>
      <w:pPr>
        <w:pStyle w:val="Heading2"/>
      </w:pPr>
      <w:r>
        <w:t xml:space="preserve">5.4 Dependência de horizonte (a única assimetria real)</w:t>
      </w:r>
    </w:p>
    <w:p>
      <w:pPr>
        <w:pStyle w:val="FirstParagraph"/>
      </w:pPr>
      <w:r>
        <w:t xml:space="preserve">O mesmo braço Kt=2/κ=2</w:t>
      </w:r>
      <w:r>
        <w:t xml:space="preserve"> </w:t>
      </w:r>
      <w:r>
        <w:rPr>
          <w:bCs/>
          <w:b/>
        </w:rPr>
        <w:t xml:space="preserve">contém</w:t>
      </w:r>
      <w:r>
        <w:t xml:space="preserve"> </w:t>
      </w:r>
      <w:r>
        <w:t xml:space="preserve">sob duas definições de pareamento (crescimento-próprio; calendário fixo t=5) e</w:t>
      </w:r>
      <w:r>
        <w:t xml:space="preserve"> </w:t>
      </w:r>
      <w:r>
        <w:rPr>
          <w:bCs/>
          <w:b/>
        </w:rPr>
        <w:t xml:space="preserve">escapa</w:t>
      </w:r>
      <w:r>
        <w:t xml:space="preserve"> </w:t>
      </w:r>
      <w:r>
        <w:t xml:space="preserve">sob a terceira (gerações casadas ao base tratado, censurado em 2,83 mm) — toda citação de θ* deve declarar o horizonte; a predição travada v1.0 usa a definição S3 [claim:C056] [evidence:E032]. A predição pré-registrada do hamster foi</w:t>
      </w:r>
      <w:r>
        <w:t xml:space="preserve"> </w:t>
      </w:r>
      <w:r>
        <w:rPr>
          <w:bCs/>
          <w:b/>
        </w:rPr>
        <w:t xml:space="preserve">refutada sob a definição P-024</w:t>
      </w:r>
      <w:r>
        <w:t xml:space="preserve"> </w:t>
      </w:r>
      <w:r>
        <w:t xml:space="preserve">(0,659 mm em κ=2/Kt=2) e reportada como está — anti-hindsight mantido.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Figura 4 — θ* por espécie nas bandas de cinética</w:t>
            </w:r>
          </w:p>
        </w:tc>
      </w:tr>
    </w:tbl>
    <w:p>
      <w:pPr>
        <w:pStyle w:val="ImageCaption"/>
      </w:pPr>
      <w:r>
        <w:t xml:space="preserve">Figura 4 — θ* por espécie nas bandas de cinética</w:t>
      </w:r>
    </w:p>
    <w:p>
      <w:pPr>
        <w:pStyle w:val="BodyText"/>
      </w:pPr>
      <w:r>
        <w:rPr>
          <w:iCs/>
          <w:i/>
        </w:rPr>
        <w:t xml:space="preserve">Figura 4 (auditável: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experiments/xspecies/make_fig4_thetaspecies.py</w:t>
      </w:r>
      <w:r>
        <w:rPr>
          <w:iCs/>
          <w:i/>
        </w:rPr>
        <w:t xml:space="preserve"> </w:t>
      </w:r>
      <w:r>
        <w:rPr>
          <w:iCs/>
          <w:i/>
        </w:rPr>
        <w:t xml:space="preserve">lê somente os JSONs p024; regenerável no CI). Proveniência integral: N-fatos N055–N059; canon F-43/F-44; JSONs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experiments/xspecies/p024_{mouse,human,hamster,vole}.json</w:t>
      </w:r>
      <w:r>
        <w:rPr>
          <w:iCs/>
          <w:i/>
        </w:rPr>
        <w:t xml:space="preserve"> </w:t>
      </w:r>
      <w:r>
        <w:rPr>
          <w:iCs/>
          <w:i/>
        </w:rPr>
        <w:t xml:space="preserve">(execução cloud 4/4, C0 exato por job).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Xeaabde65f546b29784587b6fa02759db5c25e3f"/>
    <w:p>
      <w:pPr>
        <w:pStyle w:val="Heading1"/>
      </w:pPr>
      <w:r>
        <w:t xml:space="preserve">CAPÍTULO 6 — APLICAÇÃO: O DESENHO TERAPÊUTICO EMERGE</w:t>
      </w:r>
    </w:p>
    <w:p>
      <w:pPr>
        <w:pStyle w:val="FirstParagraph"/>
      </w:pPr>
      <w:r>
        <w:rPr>
          <w:iCs/>
          <w:i/>
        </w:rPr>
        <w:t xml:space="preserve">Em linguagem clínica: com o fundamento validado (Cap. 3), o desenho se completa — onde depositar (anel 8–12 mm), com que malha, a que intervalo (≤7 d), e agora: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quanta proteína por depósito</w:t>
      </w:r>
      <w:r>
        <w:rPr>
          <w:iCs/>
          <w:i/>
        </w:rPr>
        <w:t xml:space="preserve">, como banda calculada com a incerteza declarada — não como número único. A dose permanece prognóstico [SIM] até o ensaio G0; o que este capítulo entrega é o prognóstico quantitativo do braço discriminador A6.</w:t>
      </w:r>
    </w:p>
    <w:bookmarkStart w:id="53" w:name="transporte-três-regras-falseáveis-sim"/>
    <w:p>
      <w:pPr>
        <w:pStyle w:val="Heading2"/>
      </w:pPr>
      <w:r>
        <w:t xml:space="preserve">6.1 Transporte: três regras falseáveis [SIM]</w:t>
      </w:r>
    </w:p>
    <w:p>
      <w:pPr>
        <w:pStyle w:val="FirstParagraph"/>
      </w:pPr>
      <w:r>
        <w:t xml:space="preserve">O solver de transporte (advecção–difusão–reação em meio poroso heterogêneo; α=0,20 e λ=1,8 in-vivo [claim:C014] [evidence:E010]; D_eff=3,86×10⁻¹¹ m²/s [claim:C015] [evidence:E011, E030]; auto-testado: conservação de massa 100,0%, erro de Thiele 0,5% [claim:C032] [evidence:E030]) produz as três regras de design: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Anel de contenção</w:t>
      </w:r>
      <w:r>
        <w:t xml:space="preserve">: espaçamento inter-depósito</w:t>
      </w:r>
      <w:r>
        <w:t xml:space="preserve"> </w:t>
      </w:r>
      <w:r>
        <w:rPr>
          <w:bCs/>
          <w:b/>
        </w:rPr>
        <w:t xml:space="preserve">8–12 mm</w:t>
      </w:r>
      <w:r>
        <w:t xml:space="preserve"> </w:t>
      </w:r>
      <w:r>
        <w:t xml:space="preserve">(raio de proteção r₁₀%=2,303ℓ; ℓ=3,59 mm) [claim:C033] [evidence:E030];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Malha do veículo</w:t>
      </w:r>
      <w:r>
        <w:t xml:space="preserve">: hidrogel com malha ξ≥5× o raio da proteína (HA 1–2% p/p passa; &gt;5% sequestra) [claim:C034] [evidence:E030, E020];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Redose</w:t>
      </w:r>
      <w:r>
        <w:t xml:space="preserve">: intervalo</w:t>
      </w:r>
      <w:r>
        <w:t xml:space="preserve"> </w:t>
      </w:r>
      <w:r>
        <w:rPr>
          <w:bCs/>
          <w:b/>
        </w:rPr>
        <w:t xml:space="preserve">≤7 dias</w:t>
      </w:r>
      <w:r>
        <w:t xml:space="preserve"> </w:t>
      </w:r>
      <w:r>
        <w:t xml:space="preserve">para mRNA/LNP (trough ≥30–56%; meia-vida de PrP 4,8–6,4 d [evidence:E039]) [claim:C035] [evidence:E030, E019].</w:t>
      </w:r>
    </w:p>
    <w:bookmarkEnd w:id="53"/>
    <w:bookmarkStart w:id="54" w:name="X1090e93016871ec8ac8b3a2414ef25c0537541f"/>
    <w:p>
      <w:pPr>
        <w:pStyle w:val="Heading2"/>
      </w:pPr>
      <w:r>
        <w:t xml:space="preserve">6.2 O limiar travado e a dose legitimada pela banda</w:t>
      </w:r>
    </w:p>
    <w:p>
      <w:pPr>
        <w:pStyle w:val="FirstParagraph"/>
      </w:pPr>
      <w:r>
        <w:t xml:space="preserve">A contenção exige θ = (1+κ·c_pico)⁻¹ ≤</w:t>
      </w:r>
      <w:r>
        <w:t xml:space="preserve"> </w:t>
      </w:r>
      <w:r>
        <w:rPr>
          <w:bCs/>
          <w:b/>
        </w:rPr>
        <w:t xml:space="preserve">θ*=0,333</w:t>
      </w:r>
      <w:r>
        <w:t xml:space="preserve"> </w:t>
      </w:r>
      <w:r>
        <w:t xml:space="preserve">(predição travada no release v1.0 de 26/08; comparada, nunca retreinada) [claim:C038] [evidence:E032]. A validação multi-espécie (Cap. 3) legitimou a dose κ=2 do desenho original</w:t>
      </w:r>
      <w:r>
        <w:t xml:space="preserve"> </w:t>
      </w:r>
      <w:r>
        <w:rPr>
          <w:bCs/>
          <w:b/>
        </w:rPr>
        <w:t xml:space="preserve">dentro da banda humana herdada</w:t>
      </w:r>
      <w:r>
        <w:t xml:space="preserve"> </w:t>
      </w:r>
      <w:r>
        <w:t xml:space="preserve">(κ_min=2,0 em Kt=2) e a estendeu além dela pela regra de titulação κ_req↔Kt [claim:C057] [evidence:E032] — com a ressalva de horizonte sempre citada (§5.4) [claim:C056] [evidence:E032].</w:t>
      </w:r>
    </w:p>
    <w:p>
      <w:pPr>
        <w:pStyle w:val="BodyText"/>
      </w:pPr>
      <w:r>
        <w:t xml:space="preserve">Restava o elo que a Parte 1 declarara ilustrativo:</w:t>
      </w:r>
      <w:r>
        <w:t xml:space="preserve"> </w:t>
      </w:r>
      <w:r>
        <w:rPr>
          <w:bCs/>
          <w:b/>
        </w:rPr>
        <w:t xml:space="preserve">quanto vale κ em massa?</w:t>
      </w:r>
      <w:r>
        <w:t xml:space="preserve"> </w:t>
      </w:r>
      <w:r>
        <w:t xml:space="preserve">Este capítulo o fecha como</w:t>
      </w:r>
      <w:r>
        <w:t xml:space="preserve"> </w:t>
      </w:r>
      <w:r>
        <w:rPr>
          <w:bCs/>
          <w:b/>
        </w:rPr>
        <w:t xml:space="preserve">banda</w:t>
      </w:r>
      <w:r>
        <w:t xml:space="preserve"> </w:t>
      </w:r>
      <w:r>
        <w:t xml:space="preserve">— com critérios de aceitação pré-registrados antes de qualquer computação (protocolo garantista: toda célula da cadeia com unidade+fonte; banda sempre ≥2 extremos; a largura da banda dominada pelo elo κ↔µM (assumido ilustrativo) é resultado válido e esperado; saída de planejamento, jamais prescrição).</w:t>
      </w:r>
    </w:p>
    <w:bookmarkEnd w:id="54"/>
    <w:bookmarkStart w:id="55" w:name="X83697a1cfdb9267535534a5abbbfdebdf557ab1"/>
    <w:p>
      <w:pPr>
        <w:pStyle w:val="Heading2"/>
      </w:pPr>
      <w:r>
        <w:t xml:space="preserve">6.3 A primeira dose calculada: banda de dose do braço A6 [SIM-planejamento]</w:t>
      </w:r>
    </w:p>
    <w:p>
      <w:pPr>
        <w:pStyle w:val="FirstParagraph"/>
      </w:pPr>
      <w:r>
        <w:rPr>
          <w:bCs/>
          <w:b/>
        </w:rPr>
        <w:t xml:space="preserve">Cadeia dimensional (todas as células com unidade+fonte; JSON canônico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experiments/m31/m31_u1u2.json</w:t>
      </w:r>
      <w:r>
        <w:rPr>
          <w:bCs/>
          <w:b/>
        </w:rPr>
        <w:t xml:space="preserve"> </w:t>
      </w:r>
      <w:r>
        <w:rPr>
          <w:bCs/>
          <w:b/>
        </w:rPr>
        <w:t xml:space="preserve">[58]):</w:t>
      </w:r>
      <w:r>
        <w:t xml:space="preserve"> </w:t>
      </w:r>
      <w:r>
        <w:t xml:space="preserve">κ_req (regra de titulação) → concentração no pico do depósito c = κ_req × Kd → quantidade por depósito n = c × V_halo → massa = n × MW. A banda do Kd aparente é</w:t>
      </w:r>
      <w:r>
        <w:t xml:space="preserve"> </w:t>
      </w:r>
      <w:r>
        <w:rPr>
          <w:bCs/>
          <w:b/>
        </w:rPr>
        <w:t xml:space="preserve">0,071–1,0 µM</w:t>
      </w:r>
      <w:r>
        <w:t xml:space="preserve"> </w:t>
      </w:r>
      <w:r>
        <w:rPr>
          <w:iCs/>
          <w:i/>
        </w:rPr>
        <w:t xml:space="preserve">(illustrative assumption; closed by arm A6)</w:t>
      </w:r>
      <w:r>
        <w:t xml:space="preserve">: o piso, 71 nM, é o Kd medido por SPR para oligômeros de Aβ42 ligando PrP humano [57] —</w:t>
      </w:r>
      <w:r>
        <w:t xml:space="preserve"> </w:t>
      </w:r>
      <w:r>
        <w:rPr>
          <w:bCs/>
          <w:b/>
        </w:rPr>
        <w:t xml:space="preserve">proxy declarado</w:t>
      </w:r>
      <w:r>
        <w:t xml:space="preserve">, pois o par V127↔PrP^Sc não tem Kd medido; o teto, 1 µM, é a âncora ilustrativa da Parte 1 §2.2</w:t>
      </w:r>
      <w:r>
        <w:t xml:space="preserve"> </w:t>
      </w:r>
      <w:r>
        <w:rPr>
          <w:iCs/>
          <w:i/>
        </w:rPr>
        <w:t xml:space="preserve">(não é estimativa de secreção medida)</w:t>
      </w:r>
      <w:r>
        <w:t xml:space="preserve">. O volume do halo é um cilindro r×h com r₁₀%=4–6 mm e fração ECS 0,15–0,25 (casca de 2 mm declarada Tipo-B). A massa molecular é</w:t>
      </w:r>
      <w:r>
        <w:t xml:space="preserve"> </w:t>
      </w:r>
      <w:r>
        <w:rPr>
          <w:bCs/>
          <w:b/>
        </w:rPr>
        <w:t xml:space="preserve">22,83 kDa</w:t>
      </w:r>
      <w:r>
        <w:t xml:space="preserve">, computada das nossas próprias sequências P04156 (resíduos 23–231, forma madura; V127 é variante de mesma massa, Δ=+14 Da). Fontes da cadeia: Kd-piso [evidence:E057] · V-halo [evidence:E030] · ECS [evidence:E010] · MW [evidence:E058] · titulação [evidence:E032].</w:t>
      </w:r>
    </w:p>
    <w:p>
      <w:pPr>
        <w:pStyle w:val="BodyText"/>
      </w:pPr>
      <w:r>
        <w:rPr>
          <w:bCs/>
          <w:b/>
        </w:rPr>
        <w:t xml:space="preserve">Escada de dose por banda-Kt do hospedeiro</w:t>
      </w:r>
      <w:r>
        <w:t xml:space="preserve"> </w:t>
      </w:r>
      <w:r>
        <w:t xml:space="preserve">(banda sob âncora ilustrativa; fechada pelo braço A6):**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Banda-Kt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κ_req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no pico (µM)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µg V127ΔGPI/depósito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0,11–1,5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0,0–1,9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≤7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Kt 2 (humano central)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0,14–2,0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0,0–2,6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≤7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0,21–3,0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0,1–3,9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≤7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Kt 4 (pior caso declarado)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0,57–8,0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0,2–10,3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≤7 d</w:t>
            </w:r>
          </w:p>
        </w:tc>
      </w:tr>
    </w:tbl>
    <w:p>
      <w:pPr>
        <w:pStyle w:val="BodyText"/>
      </w:pPr>
      <w:r>
        <w:t xml:space="preserve">No degrau humano, a dose de A6 é</w:t>
      </w:r>
      <w:r>
        <w:t xml:space="preserve"> </w:t>
      </w:r>
      <w:r>
        <w:rPr>
          <w:bCs/>
          <w:b/>
        </w:rPr>
        <w:t xml:space="preserve">0,0–2,6 µg de V127ΔGPI por depósito</w:t>
      </w:r>
      <w:r>
        <w:t xml:space="preserve"> </w:t>
      </w:r>
      <w:r>
        <w:t xml:space="preserve">(redose ≤7 d; regra 3) [claim:C058] [evidence:E057, E058, E032, E010, E030, E019]; a escada sobe monotonicamente com κ_req até o pior caso declarado κ=8 (que cobre Kt=4): 0,2–10,3 µg/depósito [claim:C059] [evidence:E058, E032].</w:t>
      </w:r>
    </w:p>
    <w:p>
      <w:pPr>
        <w:pStyle w:val="BodyText"/>
      </w:pPr>
      <w:r>
        <w:rPr>
          <w:bCs/>
          <w:b/>
        </w:rPr>
        <w:t xml:space="preserve">A largura da banda é o achado.</w:t>
      </w:r>
      <w:r>
        <w:t xml:space="preserve"> </w:t>
      </w:r>
      <w:r>
        <w:t xml:space="preserve">A razão pior/otimista é ≈</w:t>
      </w:r>
      <w:r>
        <w:rPr>
          <w:bCs/>
          <w:b/>
        </w:rPr>
        <w:t xml:space="preserve">53× em todos os degraus</w:t>
      </w:r>
      <w:r>
        <w:t xml:space="preserve"> </w:t>
      </w:r>
      <w:r>
        <w:t xml:space="preserve">— constante porque κ_req cancela na razão: ela decompõe-se em</w:t>
      </w:r>
      <w:r>
        <w:t xml:space="preserve"> </w:t>
      </w:r>
      <w:r>
        <w:rPr>
          <w:bCs/>
          <w:b/>
        </w:rPr>
        <w:t xml:space="preserve">14× do proxy de Kd</w:t>
      </w:r>
      <w:r>
        <w:t xml:space="preserve"> </w:t>
      </w:r>
      <w:r>
        <w:t xml:space="preserve">(71 nM → 1 µM; assumido ilustrativo) ×</w:t>
      </w:r>
      <w:r>
        <w:t xml:space="preserve"> </w:t>
      </w:r>
      <w:r>
        <w:rPr>
          <w:bCs/>
          <w:b/>
        </w:rPr>
        <w:t xml:space="preserve">3,7× do volume do halo</w:t>
      </w:r>
      <w:r>
        <w:t xml:space="preserve"> </w:t>
      </w:r>
      <w:r>
        <w:t xml:space="preserve">(4–6 mm; ECS 0,15–0,25) [claim:C060] [evidence:E057, E058, E010, E030]. Isto não é defeito do cálculo: é a</w:t>
      </w:r>
      <w:r>
        <w:t xml:space="preserve"> </w:t>
      </w:r>
      <w:r>
        <w:rPr>
          <w:bCs/>
          <w:b/>
        </w:rPr>
        <w:t xml:space="preserve">quantificação honesta do que o ensaio G0-A6 fecha</w:t>
      </w:r>
      <w:r>
        <w:t xml:space="preserve"> </w:t>
      </w:r>
      <w:r>
        <w:t xml:space="preserve">— o braço de proteína recombinante a dose conhecida converte a âncora κ↔µM de ilustrativa em medida, colapsando a banda em ponto. Até lá, a dose existe como banda, e a banda é planejamento [SIM]: prognóstico calculado,</w:t>
      </w:r>
      <w:r>
        <w:t xml:space="preserve"> </w:t>
      </w:r>
      <w:r>
        <w:rPr>
          <w:bCs/>
          <w:b/>
        </w:rPr>
        <w:t xml:space="preserve">não prescrição</w:t>
      </w:r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Figura 5 — Escada de dose A6: banda GUM µg/depósito por banda-Kt</w:t>
            </w:r>
          </w:p>
        </w:tc>
      </w:tr>
    </w:tbl>
    <w:p>
      <w:pPr>
        <w:pStyle w:val="ImageCaption"/>
      </w:pPr>
      <w:r>
        <w:t xml:space="preserve">Figura 5 — Escada de dose A6: banda GUM µg/depósito por banda-Kt</w:t>
      </w:r>
    </w:p>
    <w:p>
      <w:pPr>
        <w:pStyle w:val="BodyText"/>
      </w:pPr>
      <w:r>
        <w:rPr>
          <w:iCs/>
          <w:i/>
        </w:rPr>
        <w:t xml:space="preserve">Figura 5 (auditável: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experiments/m31/make_fig5_doseladder.py</w:t>
      </w:r>
      <w:r>
        <w:rPr>
          <w:iCs/>
          <w:i/>
        </w:rPr>
        <w:t xml:space="preserve"> </w:t>
      </w:r>
      <w:r>
        <w:rPr>
          <w:iCs/>
          <w:i/>
        </w:rPr>
        <w:t xml:space="preserve">lê somente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m31_u1u2.json</w:t>
      </w:r>
      <w:r>
        <w:rPr>
          <w:iCs/>
          <w:i/>
        </w:rPr>
        <w:t xml:space="preserve">; regenerável no CI). Barras = banda [otimista, pior-caso]; hachura = pior caso declarado κ=8 (C057); faixa azul = banda humana Kt {0,5–2}; largura ≈53× constante (κ cancela) — a largura É o achado até G0-A6. Tier [SIM]-planejamento no título da figura.</w:t>
      </w:r>
    </w:p>
    <w:p>
      <w:pPr>
        <w:pStyle w:val="BodyText"/>
      </w:pPr>
      <w:r>
        <w:rPr>
          <w:bCs/>
          <w:b/>
        </w:rPr>
        <w:t xml:space="preserve">Por que A6 é o vetor-primário da dose:</w:t>
      </w:r>
      <w:r>
        <w:t xml:space="preserve"> </w:t>
      </w:r>
      <w:r>
        <w:t xml:space="preserve">por vetor, a unidade de dose difere (A5 = células+secretor; A7 = µg de mRNA); apenas A6 (proteína recombinante) tem</w:t>
      </w:r>
      <w:r>
        <w:t xml:space="preserve"> </w:t>
      </w:r>
      <w:r>
        <w:rPr>
          <w:bCs/>
          <w:b/>
        </w:rPr>
        <w:t xml:space="preserve">dose conhecível de saída</w:t>
      </w:r>
      <w:r>
        <w:t xml:space="preserve">. É o braço discriminador: fecha o elo κ↔µM</w:t>
      </w:r>
      <w:r>
        <w:t xml:space="preserve"> </w:t>
      </w:r>
      <w:r>
        <w:rPr>
          <w:iCs/>
          <w:i/>
        </w:rPr>
        <w:t xml:space="preserve">(illustrative assumption; closed by arm A6)</w:t>
      </w:r>
      <w:r>
        <w:t xml:space="preserve"> </w:t>
      </w:r>
      <w:r>
        <w:t xml:space="preserve">e testa a forma funcional do capping (primeira potência vs quadrática, travada na colheita [SIM] da Parte 1) [claim:C051] [evidence:E032, E033]. A5 e A7 herdam a cadeia como derivadas.</w:t>
      </w:r>
    </w:p>
    <w:bookmarkEnd w:id="55"/>
    <w:bookmarkStart w:id="56" w:name="X05c6eb20d73987d9245228a1d105d12c09d3a5e"/>
    <w:p>
      <w:pPr>
        <w:pStyle w:val="Heading2"/>
      </w:pPr>
      <w:r>
        <w:t xml:space="preserve">6.4 O ensaio que fecha a banda: G0-wet especificado</w:t>
      </w:r>
    </w:p>
    <w:p>
      <w:pPr>
        <w:pStyle w:val="FirstParagraph"/>
      </w:pPr>
      <w:r>
        <w:t xml:space="preserve">Oito braços pré-registrados (incluindo PPS como controle positivo publicado e braço LNP-mRNA), com plano estatístico cego (Welch/Holm α=0,05; 5 comparações; n=8→12; poder ~80% para Δ≥50%), cegamento do scorer, randomização estratificada por lote, kill-switches por braço + critério de morte programática, contrato de dado [ORGANOID] bancada→estimador (exclusões publicadas nunca editadas), e o loop de re-parametrização que recalibra</w:t>
      </w:r>
      <w:r>
        <w:t xml:space="preserve"> </w:t>
      </w:r>
      <w:r>
        <w:rPr>
          <w:bCs/>
          <w:b/>
        </w:rPr>
        <w:t xml:space="preserve">exatamente o que o dado informa</w:t>
      </w:r>
      <w:r>
        <w:t xml:space="preserve"> </w:t>
      </w:r>
      <w:r>
        <w:t xml:space="preserve">[claim:C046, C051, C052, C053]. Os dez itens de freeze F1–F10 com GATE-F de liberação estão no Apêndice C; a especificação integral no registro.</w:t>
      </w:r>
    </w:p>
    <w:bookmarkEnd w:id="56"/>
    <w:bookmarkStart w:id="57" w:name="custo-cotação"/>
    <w:p>
      <w:pPr>
        <w:pStyle w:val="Heading2"/>
      </w:pPr>
      <w:r>
        <w:t xml:space="preserve">6.5 Custo-cotação</w:t>
      </w:r>
    </w:p>
    <w:p>
      <w:pPr>
        <w:pStyle w:val="FirstParagraph"/>
      </w:pPr>
      <w:r>
        <w:t xml:space="preserve">A tabela suplementar S1 (custo por braço, cotações de mercado arquivadas) está no Apêndice E — o desenho é especificado ao ponto de orçamento, sem executar compra.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Xe228acfd09a157cad16ef245a7918c5b059d66a"/>
    <w:p>
      <w:pPr>
        <w:pStyle w:val="Heading1"/>
      </w:pPr>
      <w:r>
        <w:t xml:space="preserve">CAPÍTULO 7 — MÉTODOS: A ETRIZAÇÃO FORMALIZADA</w:t>
      </w:r>
    </w:p>
    <w:bookmarkStart w:id="59" w:name="pipeline-do-método-p0p6"/>
    <w:p>
      <w:pPr>
        <w:pStyle w:val="Heading3"/>
      </w:pPr>
      <w:r>
        <w:t xml:space="preserve">7.0 Pipeline do método (P0–P6)</w:t>
      </w:r>
    </w:p>
    <w:p>
      <w:pPr>
        <w:pStyle w:val="FirstParagraph"/>
      </w:pPr>
      <w:r>
        <w:rPr>
          <w:bCs/>
          <w:b/>
        </w:rPr>
        <w:t xml:space="preserve">Fluxo:</w:t>
      </w:r>
      <w:r>
        <w:t xml:space="preserve"> </w:t>
      </w:r>
      <w:r>
        <w:rPr>
          <w:bCs/>
          <w:b/>
        </w:rPr>
        <w:t xml:space="preserve">P0</w:t>
      </w:r>
      <w:r>
        <w:t xml:space="preserve"> </w:t>
      </w:r>
      <w:r>
        <w:t xml:space="preserve">identificação (SLR auditada → base E-registrada com linhagem) →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parametrização (derivação com proveniência por parâmetro) →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execução (motores determinísticos auto-testados → runs arquivados [SIM]) →</w:t>
      </w:r>
      <w:r>
        <w:t xml:space="preserve"> </w:t>
      </w:r>
      <w:r>
        <w:rPr>
          <w:bCs/>
          <w:b/>
        </w:rPr>
        <w:t xml:space="preserve">P3</w:t>
      </w:r>
      <w:r>
        <w:t xml:space="preserve"> </w:t>
      </w:r>
      <w:r>
        <w:t xml:space="preserve">colheita (critérios pré-declarados → veredito sem meta móvel) →</w:t>
      </w:r>
      <w:r>
        <w:t xml:space="preserve"> </w:t>
      </w:r>
      <w:r>
        <w:rPr>
          <w:bCs/>
          <w:b/>
        </w:rPr>
        <w:t xml:space="preserve">P4</w:t>
      </w:r>
      <w:r>
        <w:t xml:space="preserve"> </w:t>
      </w:r>
      <w:r>
        <w:t xml:space="preserve">prognóstico (predições travadas por release ANTES da medição → âncora anti-hindsight) →</w:t>
      </w:r>
      <w:r>
        <w:t xml:space="preserve"> </w:t>
      </w:r>
      <w:r>
        <w:rPr>
          <w:bCs/>
          <w:b/>
        </w:rPr>
        <w:t xml:space="preserve">P5</w:t>
      </w:r>
      <w:r>
        <w:t xml:space="preserve"> </w:t>
      </w:r>
      <w:r>
        <w:t xml:space="preserve">pesquisa derivada (novas perguntas prosseguem imediatamente) →</w:t>
      </w:r>
      <w:r>
        <w:t xml:space="preserve"> </w:t>
      </w:r>
      <w:r>
        <w:rPr>
          <w:bCs/>
          <w:b/>
        </w:rPr>
        <w:t xml:space="preserve">P6</w:t>
      </w:r>
      <w:r>
        <w:t xml:space="preserve"> </w:t>
      </w:r>
      <w:r>
        <w:t xml:space="preserve">confronto opcional (dado real análogo ⇒ antecipação bancada).</w:t>
      </w:r>
    </w:p>
    <w:p>
      <w:pPr>
        <w:pStyle w:val="BodyText"/>
      </w:pPr>
      <w:r>
        <w:rPr>
          <w:iCs/>
          <w:i/>
        </w:rPr>
        <w:t xml:space="preserve">Tabela completa com entradas/saídas/garantias por passo: §7.1.</w:t>
      </w:r>
    </w:p>
    <w:bookmarkEnd w:id="59"/>
    <w:bookmarkStart w:id="60" w:name="X8b6dc00826d26841001b04930f734d2564b5f6f"/>
    <w:p>
      <w:pPr>
        <w:pStyle w:val="Heading2"/>
      </w:pPr>
      <w:r>
        <w:t xml:space="preserve">7.1 O método nomeado: etrização computacional, passos P0–P6</w:t>
      </w:r>
    </w:p>
    <w:p>
      <w:pPr>
        <w:pStyle w:val="FirstParagraph"/>
      </w:pPr>
      <w:r>
        <w:rPr>
          <w:bCs/>
          <w:b/>
        </w:rPr>
        <w:t xml:space="preserve">Inovação metodológica declarada:</w:t>
      </w:r>
      <w:r>
        <w:t xml:space="preserve"> </w:t>
      </w:r>
      <w:r>
        <w:t xml:space="preserve">avaliação computacional como método antecipatório — previsibilidade e antecipação de informação para decisão de pesquisa (o que medir, onde, em que dose, antes de gastar recurso). A</w:t>
      </w:r>
      <w:r>
        <w:t xml:space="preserve"> </w:t>
      </w:r>
      <w:r>
        <w:rPr>
          <w:bCs/>
          <w:b/>
        </w:rPr>
        <w:t xml:space="preserve">parametrização</w:t>
      </w:r>
      <w:r>
        <w:t xml:space="preserve"> </w:t>
      </w:r>
      <w:r>
        <w:t xml:space="preserve">(operação técnica do P1) é o núcleo operacional; a</w:t>
      </w:r>
      <w:r>
        <w:t xml:space="preserve"> </w:t>
      </w:r>
      <w:r>
        <w:rPr>
          <w:bCs/>
          <w:b/>
        </w:rPr>
        <w:t xml:space="preserve">tese etrizada</w:t>
      </w:r>
      <w:r>
        <w:t xml:space="preserve"> </w:t>
      </w:r>
      <w:r>
        <w:t xml:space="preserve">é o produto [claim:C054] [evidence:E009, E010, E007, E031, E032, E033]. Declaração de eixo retórico (obrigatória): tudo aqui</w:t>
      </w:r>
      <w:r>
        <w:t xml:space="preserve"> </w:t>
      </w:r>
      <w:r>
        <w:rPr>
          <w:bCs/>
          <w:b/>
        </w:rPr>
        <w:t xml:space="preserve">é simulação, e é dito que é</w:t>
      </w:r>
      <w:r>
        <w:t xml:space="preserve">; não se promete aplicar nem validar — antes:</w:t>
      </w:r>
      <w:r>
        <w:t xml:space="preserve"> </w:t>
      </w:r>
      <w:r>
        <w:rPr>
          <w:bCs/>
          <w:b/>
        </w:rPr>
        <w:t xml:space="preserve">se dados reais exibirem resultados análogos aos simulados, os passos seguintes já terão sido dados</w:t>
      </w:r>
      <w:r>
        <w:t xml:space="preserve"> </w:t>
      </w:r>
      <w:r>
        <w:t xml:space="preserve">(antecipação bancada, não pendente).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focal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SLR auditada de dados publicados validados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E-registrada (58 fontes)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linhagem completa (§7.3)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parametrização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E-registrada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derivação física/estatística com proveniência por 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parametrizados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número amarra a 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motores determinísticos, código aberto, self-tests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arquivados [SIM]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reprodução entre ambientes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colheita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critérios de aceitação pré-declarados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[SIM] + margens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veredito sem meta móvel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predições travadas por release antes de qualquer medição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limiares/tabela-decisão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âncora anti-hindsight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pesquisa derivada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razoáveis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novas perguntas derivam imediatamente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 derivada [SIM]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geração, não espera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confronto 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reais futuros, se análogos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comparação à âncora travada (nunca retreino)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passos seguintes já avançados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antecipação bancada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Posição na família:</w:t>
      </w:r>
      <w:r>
        <w:t xml:space="preserve"> </w:t>
      </w:r>
      <w:r>
        <w:t xml:space="preserve">a etrização é irmã da meta-análise (agrega o publicado), da modelagem física (deriva comportamento) e dos in-silico trials (executa cenários) — e distingue-se por</w:t>
      </w:r>
      <w:r>
        <w:t xml:space="preserve"> </w:t>
      </w:r>
      <w:r>
        <w:rPr>
          <w:bCs/>
          <w:b/>
        </w:rPr>
        <w:t xml:space="preserve">travar prognósticos antes da medição e declarar a simulação como simulação em cada saída</w:t>
      </w:r>
      <w:r>
        <w:t xml:space="preserve"> </w:t>
      </w:r>
      <w:r>
        <w:t xml:space="preserve">(tiers [SIM]/[ORGANOID]/[MOUSE]/[HUMAN] [claim:C047] [evidence:E032, E033]).</w:t>
      </w:r>
    </w:p>
    <w:bookmarkEnd w:id="60"/>
    <w:bookmarkStart w:id="61" w:name="formulação-matemática-com-proveniência"/>
    <w:p>
      <w:pPr>
        <w:pStyle w:val="Heading2"/>
      </w:pPr>
      <w:r>
        <w:t xml:space="preserve">7.2 Formulação matemática com proveniência</w:t>
      </w:r>
    </w:p>
    <w:p>
      <w:pPr>
        <w:pStyle w:val="FirstParagraph"/>
      </w:pPr>
      <w:r>
        <w:rPr>
          <w:iCs/>
          <w:i/>
        </w:rPr>
        <w:t xml:space="preserve">Em linguagem clínica: as equações abaixo são o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rastreio farmacocinético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da proteína no cérebro — para onde difunde, quanto dura, quão forte compete com o príon. Se você entende isso e as Figuras 4–5, a matemática é opcional: ela formaliza o que já foi dito em palavras — cada equação carrega a citação de onde veio cada parâmetro.</w:t>
      </w:r>
    </w:p>
    <w:p>
      <w:pPr>
        <w:pStyle w:val="BodyText"/>
      </w:pPr>
      <w:r>
        <w:rPr>
          <w:bCs/>
          <w:b/>
        </w:rPr>
        <w:t xml:space="preserve">Transporte (ADR) em meio poroso heterogêneo</w:t>
      </w:r>
      <w:r>
        <w:t xml:space="preserve"> </w:t>
      </w:r>
      <w:r>
        <w:t xml:space="preserve">(volumes finitos 2D 192², Euler explícito):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t>c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∇</m:t>
              </m:r>
              <m:r>
                <m:t>c</m:t>
              </m:r>
            </m:e>
          </m:d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rPr>
              <m:sty m:val="p"/>
            </m:rPr>
            <m:t>∇</m:t>
          </m:r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v</m:t>
              </m:r>
              <m:r>
                <m:t> </m:t>
              </m:r>
              <m:r>
                <m:t>c</m:t>
              </m:r>
            </m:e>
          </m:d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</m:e>
          </m:d>
          <m:r>
            <m:t> </m:t>
          </m:r>
          <m:r>
            <m:rPr>
              <m:sty m:val="p"/>
            </m:rPr>
            <m:t>−</m:t>
          </m:r>
          <m:r>
            <m:t> 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t> </m:t>
          </m:r>
          <m:r>
            <m:t>c</m:t>
          </m:r>
        </m:oMath>
      </m:oMathPara>
    </w:p>
    <w:p>
      <w:pPr>
        <w:pStyle w:val="FirstParagraph"/>
      </w:pPr>
      <w:r>
        <w:t xml:space="preserve">com α=0,20 e λ=1,8 medidos in-vivo [claim:C014] [evidence:E010]; D_eff=D₀/λ²=3,86×10⁻¹¹ m²/s (D₀=1,25×10⁻¹⁰ m²/s, Stokes–Einstein, R_h≈2,5 nm) [claim:C014] [evidence:E030]; k_eff varrido 10⁻⁶–10⁻⁵ s⁻¹ ancorado à polimerização nucleada [claim:C015] [evidence:E011]; fluxo intersticial por Darcy; cistos espongiformes κ×50. Auto-testes: conservação de massa 100,0%; erro de Thiele 0,5% (ℓ=3,59 mm) [claim:C032] [evidence:E030].</w:t>
      </w:r>
    </w:p>
    <w:p>
      <w:pPr>
        <w:pStyle w:val="BodyText"/>
      </w:pPr>
      <w:r>
        <w:rPr>
          <w:bCs/>
          <w:b/>
        </w:rPr>
        <w:t xml:space="preserve">Capping dominante-negativo e o limiar θ</w:t>
      </w:r>
      <w:r>
        <w:t xml:space="preserve"> </w:t>
      </w:r>
      <w:r>
        <w:t xml:space="preserve">(termo próprio):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κ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V</m:t>
                      </m:r>
                      <m:r>
                        <m:rPr>
                          <m:sty m:val="p"/>
                        </m:rPr>
                        <m:t>127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</m:e>
                  </m:d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127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∝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ℓ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θ</m:t>
          </m:r>
          <m:r>
            <m:rPr>
              <m:sty m:val="p"/>
            </m:rPr>
            <m:t>≡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κ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θ é a fração de atividade máxima de replicação no pico secretor; contenção quando a frente assintótica cai &lt;50% do baseline (T3) [claim:C033] [evidence:E030]. A forma quadrática reflete conversão de dois participantes; a alternativa de primeira potência é falseável pela dose-resposta do braço A6 [claim:C051] [evidence:E032, E033].</w:t>
      </w:r>
    </w:p>
    <w:p>
      <w:pPr>
        <w:pStyle w:val="BodyText"/>
      </w:pPr>
      <w:r>
        <w:rPr>
          <w:bCs/>
          <w:b/>
        </w:rPr>
        <w:t xml:space="preserve">Relógio humanizado</w:t>
      </w:r>
      <w:r>
        <w:t xml:space="preserve"> </w:t>
      </w:r>
      <w:r>
        <w:t xml:space="preserve">(âncoras de organoide [evidence:E007]): duplicação ≈12,1 d; 1 unidade-simulação = 144 d [claim:C037] [evidence:E032, E007].</w:t>
      </w:r>
    </w:p>
    <w:p>
      <w:pPr>
        <w:pStyle w:val="BodyText"/>
      </w:pPr>
      <w:r>
        <w:rPr>
          <w:bCs/>
          <w:b/>
        </w:rPr>
        <w:t xml:space="preserve">Estimador θ_obs</w:t>
      </w:r>
      <w:r>
        <w:t xml:space="preserve">: features (raio R, log-razão de biomassa); κ̂ vizinho-mais-próximo na grade κ∈{1,5–8}; θ̂=1/(1+κ̂); regime por braço (mediana, n=8, IC bootstrap 90%). Veredito pré-declarado: ADEQUADO na fronteira de decisão (cobertura 3/3; bias −0,008 em κ=2); v1.1 interpolada testada e rejeitada [claim:C052] [evidence:E032, E033].</w:t>
      </w:r>
    </w:p>
    <w:bookmarkEnd w:id="61"/>
    <w:bookmarkStart w:id="62" w:name="base-de-validade-mandatória"/>
    <w:p>
      <w:pPr>
        <w:pStyle w:val="Heading2"/>
      </w:pPr>
      <w:r>
        <w:t xml:space="preserve">7.3 Base de Validade (MANDATÓRIA)</w:t>
      </w:r>
    </w:p>
    <w:p>
      <w:pPr>
        <w:pStyle w:val="FirstParagraph"/>
      </w:pPr>
      <w:r>
        <w:rPr>
          <w:bCs/>
          <w:b/>
        </w:rPr>
        <w:t xml:space="preserve">Declaração tríade:</w:t>
      </w:r>
      <w:r>
        <w:t xml:space="preserve"> </w:t>
      </w:r>
      <w:r>
        <w:t xml:space="preserve">(i) esta tese é</w:t>
      </w:r>
      <w:r>
        <w:t xml:space="preserve"> </w:t>
      </w:r>
      <w:r>
        <w:rPr>
          <w:bCs/>
          <w:b/>
        </w:rPr>
        <w:t xml:space="preserve">baseada em simulação computacional e NÃO SUBSTITUI a validação de laboratório</w:t>
      </w:r>
      <w:r>
        <w:t xml:space="preserve"> </w:t>
      </w:r>
      <w:r>
        <w:t xml:space="preserve">— o laboratório é essencial; (ii) a continuidade provém dos prognósticos: se o G0-wet equivaler ao simulado, a antecipação já estará bancada; (iii) o rigor experimental é</w:t>
      </w:r>
      <w:r>
        <w:t xml:space="preserve"> </w:t>
      </w:r>
      <w:r>
        <w:rPr>
          <w:bCs/>
          <w:b/>
        </w:rPr>
        <w:t xml:space="preserve">convertido para o ambiente computacional</w:t>
      </w:r>
      <w:r>
        <w:t xml:space="preserve">: cada dado com linhagem completa (quem→espécie→cruzamento→código→parâmetro→resultado).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Espécie/sistema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Cruzamento independente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Parametrização humana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[SIM]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Cinética de replicação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Fornara/Igel 2024 (aberto) [E009]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camundongo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Masel 1999 [E011]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portado [claim:C013]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relógio às âncoras humanas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θ*=0,333 [C038]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Relógio/amplitude humanos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Groveman 2019 [E007]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organoide sCJD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Groveman 2021 [E008]; subtipos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regressão 12,1 d; 144 d/unid [claim:C037]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predição θ&lt;0,33 [C040]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Transporte intersticial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Thorne &amp; Nicholson 2006 [E010]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humano in-vivo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Stokes–Einstein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solver ADR auto-testado [claim:C032]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1–3 [C033-C035]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Agente V127 anchorless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Asante 2015 [E001] · Gatdula 2026 [E003] · Zerbes 2026 [E004]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população→camundongo→cultura→AAV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quatro níveis independentes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termo freeS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dose↔κ em banda (§6.3)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contenção κ=2 [C038]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Âncora κ↔µM (banda)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Chen 2010 SPR [E057] + âncora ilustrativa P1 §4.2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humano (Aβ42-PrP; PROXY declarado)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cadeia dimensional M3.1 [E058]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banda A6 0,0–2,6 µg [C058-C060]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de falhas clínicas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Geschwind 2013 · Haïk 2014 · Newman 2014 · Otto 2004 · Mead 2022 · Cheng 2015 [E034-E038, E022]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registry-bound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Beta–Binomial WS-8 [claim:C036]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P=5%/30–45%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Sensibilidade estrutural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(este programa)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in-silico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reproduzido 2× (hash+valor)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sweeps S1-S3 + estimador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predição discriminadora [C051]</w:t>
            </w:r>
          </w:p>
        </w:tc>
      </w:tr>
    </w:tbl>
    <w:p>
      <w:pPr>
        <w:pStyle w:val="BodyText"/>
      </w:pPr>
      <w:r>
        <w:rPr>
          <w:bCs/>
          <w:b/>
        </w:rPr>
        <w:t xml:space="preserve">Por que isto é ciência com referências sólidas:</w:t>
      </w:r>
      <w:r>
        <w:t xml:space="preserve"> </w:t>
      </w:r>
      <w:r>
        <w:t xml:space="preserve">toda célula amarra fonte peer-reviewed ou run arquivado com hash; nenhum número vive fora do registro (</w:t>
      </w:r>
      <w:r>
        <w:rPr>
          <w:bCs/>
          <w:b/>
        </w:rPr>
        <w:t xml:space="preserve">60 claims · 58 fontes · 65 N-fatos · 4 validadores em zero · AST 9/9</w:t>
      </w:r>
      <w:r>
        <w:t xml:space="preserve">); a cadeia é verificável de ponta a ponta, como um</w:t>
      </w:r>
      <w:r>
        <w:t xml:space="preserve"> </w:t>
      </w:r>
      <w:r>
        <w:t xml:space="preserve">“</w:t>
      </w:r>
      <w:r>
        <w:t xml:space="preserve">métodos</w:t>
      </w:r>
      <w:r>
        <w:t xml:space="preserve">”</w:t>
      </w:r>
      <w:r>
        <w:t xml:space="preserve"> </w:t>
      </w:r>
      <w:r>
        <w:t xml:space="preserve">experimental exige.</w:t>
      </w:r>
    </w:p>
    <w:bookmarkEnd w:id="62"/>
    <w:bookmarkStart w:id="63" w:name="X54aab480f746b6a3f845896e727d77258ddb482"/>
    <w:p>
      <w:pPr>
        <w:pStyle w:val="Heading2"/>
      </w:pPr>
      <w:r>
        <w:t xml:space="preserve">7.4 A tese em forma experimental (mapeamento análogo)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Tese experimental (com pessoas)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tese (etrização)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Participantes recrutados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Fontes publicadas (58 E-registradas)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Critérios de inclusão/exclusão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SLR auditada (query bank pré-registrada)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Consentimento/aprovação ética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Proveniência aberta (identifier confirmado)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Instrumentos calibrados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auto-testado (massa 100%; ℓ 0,5%)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Protocolo executado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parametrização + P2 execução determinística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 coletados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arquivados [SIM] (reprodução 2 ambientes)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Prontuário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da tese (60 claims · 65 N-fatos · pendências estruturadas)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Análise pré-especificada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colheita + estimador θ_obs calibrado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Implicações relatadas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 prognóstico + P5 derivada + P6 antecipação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Auditoria/supervisão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Guardião (4 dimensões de revisão hostil)</w:t>
            </w:r>
          </w:p>
        </w:tc>
      </w:tr>
    </w:tbl>
    <w:p>
      <w:pPr>
        <w:pStyle w:val="BodyText"/>
      </w:pPr>
      <w:r>
        <w:rPr>
          <w:iCs/>
          <w:i/>
        </w:rPr>
        <w:t xml:space="preserve">Um examinador que sabe ler tese experimental sabe ler esta: basta trocar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pessoa</w:t>
      </w:r>
      <w:r>
        <w:rPr>
          <w:iCs/>
          <w:i/>
        </w:rPr>
        <w:t xml:space="preserve">”</w:t>
      </w:r>
      <w:r>
        <w:rPr>
          <w:iCs/>
          <w:i/>
        </w:rPr>
        <w:t xml:space="preserve">→</w:t>
      </w:r>
      <w:r>
        <w:rPr>
          <w:iCs/>
          <w:i/>
        </w:rPr>
        <w:t xml:space="preserve">“</w:t>
      </w:r>
      <w:r>
        <w:rPr>
          <w:iCs/>
          <w:i/>
        </w:rPr>
        <w:t xml:space="preserve">fonte</w:t>
      </w:r>
      <w:r>
        <w:rPr>
          <w:iCs/>
          <w:i/>
        </w:rPr>
        <w:t xml:space="preserve">”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instrumento</w:t>
      </w:r>
      <w:r>
        <w:rPr>
          <w:iCs/>
          <w:i/>
        </w:rPr>
        <w:t xml:space="preserve">”</w:t>
      </w:r>
      <w:r>
        <w:rPr>
          <w:iCs/>
          <w:i/>
        </w:rPr>
        <w:t xml:space="preserve">→</w:t>
      </w:r>
      <w:r>
        <w:rPr>
          <w:iCs/>
          <w:i/>
        </w:rPr>
        <w:t xml:space="preserve">“</w:t>
      </w:r>
      <w:r>
        <w:rPr>
          <w:iCs/>
          <w:i/>
        </w:rPr>
        <w:t xml:space="preserve">código</w:t>
      </w:r>
      <w:r>
        <w:rPr>
          <w:iCs/>
          <w:i/>
        </w:rPr>
        <w:t xml:space="preserve">”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coleta</w:t>
      </w:r>
      <w:r>
        <w:rPr>
          <w:iCs/>
          <w:i/>
        </w:rPr>
        <w:t xml:space="preserve">”</w:t>
      </w:r>
      <w:r>
        <w:rPr>
          <w:iCs/>
          <w:i/>
        </w:rPr>
        <w:t xml:space="preserve">→</w:t>
      </w:r>
      <w:r>
        <w:rPr>
          <w:iCs/>
          <w:i/>
        </w:rPr>
        <w:t xml:space="preserve">“</w:t>
      </w:r>
      <w:r>
        <w:rPr>
          <w:iCs/>
          <w:i/>
        </w:rPr>
        <w:t xml:space="preserve">run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— a forma documental é idêntica; a base é simulação computacional.</w:t>
      </w:r>
      <w:r>
        <w:t xml:space="preserve"> </w:t>
      </w:r>
      <w:r>
        <w:t xml:space="preserve">(Hipótese H1, testável: a auditoria trocando apenas os termos do mapeamento não perde a tese.)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X9c5b75166a5d9518fbe2cee6a57dd88a5fdc544"/>
    <w:p>
      <w:pPr>
        <w:pStyle w:val="Heading1"/>
      </w:pPr>
      <w:r>
        <w:t xml:space="preserve">CAPÍTULO 8 — RESULTADOS COMO VALIDAÇÃO (+ componentes M1–M5)</w:t>
      </w:r>
    </w:p>
    <w:p>
      <w:pPr>
        <w:pStyle w:val="FirstParagraph"/>
      </w:pPr>
      <w:r>
        <w:rPr>
          <w:iCs/>
          <w:i/>
        </w:rPr>
        <w:t xml:space="preserve">Cada seção de resultados valida uma promessa declarada da tese; nenhum resultado é métrica órfã.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Promessa (contribuição)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que a valida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Existe um limiar de contenção 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θ*=0,333 travado v1.0; R 2,83→0,82 mm em κ=2; monotônico à quase-extinção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[claim:C038] [evidence:E032]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desenho é quantitativo (dose-e-posicionamento)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1–3 (anel 8–12 mm; malha ≥5×r_p; redose ≤7 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[claim:C033, C034, C035]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método é robusto a parâmetros não-medidos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sweeps S1/S2 (C50 insensível 10×); S3 (só Kt move contenção/relógio, Kr/Kc ≤3%)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[claim:C051] · F-43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limiar transfere entre espécies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Cenário B: θ* 0,333–0,400 centrais (razão 1,20); refutação do hamster reportada como está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[claim:C055, C056]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dose generaliza por cinética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de titulação κ_req↔Kt (1→1,5·2→2·3→3·4→8)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[claim:C057]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dose é calculável em massa com incerteza honesta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banda A6 0,0–2,6 µg/depósito (humano); largura ≈53× decomposta (14× Kd-proxy × 3,7× V-halo)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[claim:C058–C060] [evidence:E057, E058]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instrumento de confronto funciona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θ_obs ADEQUADO na fronteira (bias −0,008); v1.1 rejeitada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[claim:C052]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decisão é possível sem dado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tabela-decisão derivada (κ↔θ_obs↔R↔biomassa); biomassa = coordenada informativa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[claim:C052]</w:t>
            </w:r>
          </w:p>
        </w:tc>
      </w:tr>
    </w:tbl>
    <w:bookmarkStart w:id="65" w:name="X7141ca12e723a08dcf01fe4ddee85cbc3921d75"/>
    <w:p>
      <w:pPr>
        <w:pStyle w:val="Heading3"/>
      </w:pPr>
      <w:r>
        <w:t xml:space="preserve">8.1 Os resultados da tese são os resultados da simulação já realizada</w:t>
      </w:r>
    </w:p>
    <w:p>
      <w:pPr>
        <w:pStyle w:val="FirstParagraph"/>
      </w:pPr>
      <w:r>
        <w:rPr>
          <w:bCs/>
          <w:b/>
        </w:rPr>
        <w:t xml:space="preserve">Figuras da tese</w:t>
      </w:r>
      <w:r>
        <w:t xml:space="preserve"> </w:t>
      </w:r>
      <w:r>
        <w:t xml:space="preserve">(geradas dos JSONs arquivados por scripts commitados — regra: valor só de dado):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Figura 1</w:t>
      </w:r>
      <w:r>
        <w:t xml:space="preserve"> </w:t>
      </w:r>
      <w:r>
        <w:t xml:space="preserve">— Resposta de contenção: raio assintótico R vs κ com os tiers T2/T3 anotados (</w:t>
      </w:r>
      <w:r>
        <w:rPr>
          <w:rStyle w:val="VerbatimChar"/>
        </w:rPr>
        <w:t xml:space="preserve">paper/latex/figs/fig2_theta_response.png</w:t>
      </w:r>
      <w:r>
        <w:t xml:space="preserve">) [claim:C038] [evidence:E032].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Figura 2</w:t>
      </w:r>
      <w:r>
        <w:t xml:space="preserve"> </w:t>
      </w:r>
      <w:r>
        <w:t xml:space="preserve">— Consistência emergente de subtipos MV2&gt;MV1 (painéis frente contida + âncoras de semente 126×, entrada sem ajuste) (</w:t>
      </w:r>
      <w:r>
        <w:rPr>
          <w:rStyle w:val="VerbatimChar"/>
        </w:rPr>
        <w:t xml:space="preserve">paper/latex/figs/fig3_subtypes.png</w:t>
      </w:r>
      <w:r>
        <w:t xml:space="preserve">) [claim:C039] [evidence:E032, E007].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Figura 3 (tabela-decisão)</w:t>
      </w:r>
      <w:r>
        <w:t xml:space="preserve"> </w:t>
      </w:r>
      <w:r>
        <w:t xml:space="preserve">— derivada sem nova simulação: κ ↔ θ_obs ↔ R ↔ razão de biomassa ↔ margem vs baseline (</w:t>
      </w:r>
      <w:r>
        <w:rPr>
          <w:rStyle w:val="VerbatimChar"/>
        </w:rPr>
        <w:t xml:space="preserve">experiments/part2_results/part2_derived_summary.json</w:t>
      </w:r>
      <w:r>
        <w:t xml:space="preserve">; §6.1) [claim:C052] [evidence:E032, E033].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Figura 4</w:t>
      </w:r>
      <w:r>
        <w:t xml:space="preserve"> </w:t>
      </w:r>
      <w:r>
        <w:t xml:space="preserve">— θ* por espécie nos pontos de banda de cinética (Kt): banda central Cenário B sombreada (0,333–0,400); extremos degradam (hamster 4× ⇒ κ=8; × = escape) — gerada dos JSONs p024_* por script commitado (</w:t>
      </w:r>
      <w:r>
        <w:rPr>
          <w:rStyle w:val="VerbatimChar"/>
        </w:rPr>
        <w:t xml:space="preserve">paper/latex/figs/fig4_theta_species.png</w:t>
      </w:r>
      <w:r>
        <w:t xml:space="preserve">;</w:t>
      </w:r>
      <w:r>
        <w:t xml:space="preserve"> </w:t>
      </w:r>
      <w:r>
        <w:rPr>
          <w:rStyle w:val="VerbatimChar"/>
        </w:rPr>
        <w:t xml:space="preserve">experiments/xspecies/make_fig4_thetaspecies.py</w:t>
      </w:r>
      <w:r>
        <w:t xml:space="preserve">) [claim:C055] [evidence:E032].</w:t>
      </w:r>
    </w:p>
    <w:p>
      <w:pPr>
        <w:pStyle w:val="FirstParagraph"/>
      </w:pPr>
      <w:r>
        <w:t xml:space="preserve">Em vez de laboratório ou teste humano,</w:t>
      </w:r>
      <w:r>
        <w:t xml:space="preserve"> </w:t>
      </w:r>
      <w:r>
        <w:rPr>
          <w:bCs/>
          <w:b/>
        </w:rPr>
        <w:t xml:space="preserve">o que valida e compõe a tese neste estágio é o conjunto computacional executado</w:t>
      </w:r>
      <w:r>
        <w:t xml:space="preserve"> </w:t>
      </w:r>
      <w:r>
        <w:t xml:space="preserve">— completo, arquivado e reproduzido: (i) limiar de contenção θ*=0,333 com relógio humanizado [claim:C038] [evidence:E032]; (ii) três regras de design falseáveis [claim:C033] [evidence:E030] [claim:C034] [evidence:E030, E020] [claim:C035] [evidence:E030, E019]; (iii) colheita de sensibilidade com predição discriminadora (C₅₀ 10× insensível; forma funcional falseável por dose-resposta) [claim:C051] [evidence:E032, E033]; (iv) quadro probabilístico de duas lentes com prior registry-bound [claim:C036] [evidence:E031]; (v) estimador θ_obs calibrado no regime declarado [claim:C052] [evidence:E032, E033]; (vi) reprodução independente em dois ambientes (hash + valor-a-valor); e (vii) a</w:t>
      </w:r>
      <w:r>
        <w:t xml:space="preserve"> </w:t>
      </w:r>
      <w:r>
        <w:rPr>
          <w:bCs/>
          <w:b/>
        </w:rPr>
        <w:t xml:space="preserve">tabela-decisão derivada</w:t>
      </w:r>
      <w:r>
        <w:t xml:space="preserve"> </w:t>
      </w:r>
      <w:r>
        <w:t xml:space="preserve">(κ↔θ_obs↔frente↔biomassa↔margem) extraída sem nova simulação — que mostra a margem de raio saturando cedo (70,2% já em κ=1,5) e confirma a</w:t>
      </w:r>
      <w:r>
        <w:t xml:space="preserve"> </w:t>
      </w:r>
      <w:r>
        <w:rPr>
          <w:bCs/>
          <w:b/>
        </w:rPr>
        <w:t xml:space="preserve">razão de biomassa como coordenada informativa</w:t>
      </w:r>
      <w:r>
        <w:t xml:space="preserve"> </w:t>
      </w:r>
      <w:r>
        <w:t xml:space="preserve">(48→1,25), com θ*=0,333 como variável-de-decisão pré-registrada [claim:C052] [evidence:E032, E033]. De cada valor razoável aqui,</w:t>
      </w:r>
      <w:r>
        <w:t xml:space="preserve"> </w:t>
      </w:r>
      <w:r>
        <w:rPr>
          <w:bCs/>
          <w:b/>
        </w:rPr>
        <w:t xml:space="preserve">pesquisa derivada já pode prosseguir</w:t>
      </w:r>
      <w:r>
        <w:t xml:space="preserve"> </w:t>
      </w:r>
      <w:r>
        <w:t xml:space="preserve">— portas abertas.</w:t>
      </w:r>
    </w:p>
    <w:bookmarkEnd w:id="65"/>
    <w:bookmarkStart w:id="66" w:name="Xb7aeddc59776181d66990e203de599e5530748c"/>
    <w:p>
      <w:pPr>
        <w:pStyle w:val="Heading3"/>
      </w:pPr>
      <w:r>
        <w:t xml:space="preserve">8.2 M1 — Estimador θ_obs: o dado parametrizado como instrumento</w:t>
      </w:r>
    </w:p>
    <w:p>
      <w:pPr>
        <w:pStyle w:val="FirstParagraph"/>
      </w:pPr>
      <w:r>
        <w:t xml:space="preserve">O objetivo operacional: converter gradiente proximal/distal medido em θ_obs comparável ao limiar travado θ*=0,333 [claim:C038] [evidence:E032]</w:t>
      </w:r>
      <w:r>
        <w:t xml:space="preserve"> </w:t>
      </w:r>
      <w:r>
        <w:rPr>
          <w:bCs/>
          <w:b/>
        </w:rPr>
        <w:t xml:space="preserve">sem circularidade</w:t>
      </w:r>
      <w:r>
        <w:t xml:space="preserve"> </w:t>
      </w:r>
      <w:r>
        <w:t xml:space="preserve">(grade e função-objetivo congeladas antes do dado; Parte 1 §2.7). A validação do próprio instrumento é computacional — simulation-based calibration sobre a grade κ∈{1,5–8} do motor v4 exato: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Calibração unitária</w:t>
      </w:r>
      <w:r>
        <w:t xml:space="preserve"> </w:t>
      </w:r>
      <w:r>
        <w:t xml:space="preserve">(1000 boots; ruído organoide publicado CV 30/40%): veredito</w:t>
      </w:r>
      <w:r>
        <w:t xml:space="preserve"> </w:t>
      </w:r>
      <w:r>
        <w:rPr>
          <w:bCs/>
          <w:b/>
        </w:rPr>
        <w:t xml:space="preserve">ADEQUADO</w:t>
      </w:r>
      <w:r>
        <w:t xml:space="preserve"> </w:t>
      </w:r>
      <w:r>
        <w:t xml:space="preserve">por critérios pré-declarados (cobertura do θ verdadeiro 3/3; bias ≤ 0,032) [claim:C052] [evidence:E032, E033] — com nota honesta: resolução por-órganoide é baixa; a precisão vem do</w:t>
      </w:r>
      <w:r>
        <w:t xml:space="preserve"> </w:t>
      </w:r>
      <w:r>
        <w:rPr>
          <w:bCs/>
          <w:b/>
        </w:rPr>
        <w:t xml:space="preserve">regime declarado</w:t>
      </w:r>
      <w:r>
        <w:t xml:space="preserve"> </w:t>
      </w:r>
      <w:r>
        <w:t xml:space="preserve">(mediana por braço, n=8).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Regime pooled n=8</w:t>
      </w:r>
      <w:r>
        <w:t xml:space="preserve">: PASS integral</w:t>
      </w:r>
      <w:r>
        <w:t xml:space="preserve"> </w:t>
      </w:r>
      <w:r>
        <w:rPr>
          <w:bCs/>
          <w:b/>
        </w:rPr>
        <w:t xml:space="preserve">na fronteira de decisão</w:t>
      </w:r>
      <w:r>
        <w:t xml:space="preserve"> </w:t>
      </w:r>
      <w:r>
        <w:t xml:space="preserve">(κ=2: bias −0,008; recuperação modal 69%; cobertura ✓) — a região exata onde a predição travada decide (θ&lt;0,33) [claim:C052] [evidence:E032, E033]; em κ alto o bias é</w:t>
      </w:r>
      <w:r>
        <w:t xml:space="preserve"> </w:t>
      </w:r>
      <w:r>
        <w:rPr>
          <w:bCs/>
          <w:b/>
        </w:rPr>
        <w:t xml:space="preserve">conservador</w:t>
      </w:r>
      <w:r>
        <w:t xml:space="preserve"> </w:t>
      </w:r>
      <w:r>
        <w:t xml:space="preserve">(+0,060: superestima θ, subestima contenção — erro no lado seguro).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v1.1-IDW (interpolação) testada e rejeitada</w:t>
      </w:r>
      <w:r>
        <w:t xml:space="preserve">: piorou a fronteira (bias −0,037, direção anti-conservadora) e quebrou cobertura em κ=8 — registrado como evidência de que a disciplina anti-hindsight está viva: o upgrade que falha é descartado, não embranquecido [claim:C052] [evidence:E032, E033].</w:t>
      </w:r>
    </w:p>
    <w:p>
      <w:pPr>
        <w:numPr>
          <w:ilvl w:val="0"/>
          <w:numId w:val="1006"/>
        </w:numPr>
        <w:pStyle w:val="Compact"/>
      </w:pPr>
      <w:r>
        <w:t xml:space="preserve">Achado de design que o método produziu: a razão de biomassa carrega a informação que o raio perde por saturação (R 0,843→0,760 mm contra razão 48→1,25 na grade) — o estimador opera no par de features por necessidade [claim:C052] [evidence:E032, E033].</w:t>
      </w:r>
    </w:p>
    <w:bookmarkEnd w:id="66"/>
    <w:bookmarkStart w:id="67" w:name="X85f1aa5e6c8eb7ecdbf6d0390cfee212383dc30"/>
    <w:p>
      <w:pPr>
        <w:pStyle w:val="Heading3"/>
      </w:pPr>
      <w:r>
        <w:t xml:space="preserve">8.3 M2 — Freeze de execução: o que trava antes do primeiro organoide</w:t>
      </w:r>
    </w:p>
    <w:p>
      <w:pPr>
        <w:pStyle w:val="FirstParagraph"/>
      </w:pPr>
      <w:r>
        <w:t xml:space="preserve">Dez itens F1–F10, com GATE-F de liberação: estimador (F1, fechado — Cap. 5), plano estatístico (Welch/Holm α=0,05, 5 comparações; n=8→12; poder ~80% para Δ≥50%), cegamento do scorer, randomização/estratificação por lote (DP MV2 ≈77% da média publicada), controle positivo A8-PPS como critério de validade do ensaio, kill-switches por braço +</w:t>
      </w:r>
      <w:r>
        <w:t xml:space="preserve"> </w:t>
      </w:r>
      <w:r>
        <w:rPr>
          <w:bCs/>
          <w:b/>
        </w:rPr>
        <w:t xml:space="preserve">critério de morte programática</w:t>
      </w:r>
      <w:r>
        <w:t xml:space="preserve">, esquema de dado [ORGANOID] (contrato bancada→estimador; exclusões publicadas nunca editadas), loop M3, timelines (readouts 90–120 d; regime estacionário desde ~4 d) e M4 (parceiro por método). Regra: pós-GATE-F, qualquer mudança é emenda auditada com re-análise com-e-sem.</w:t>
      </w:r>
    </w:p>
    <w:bookmarkEnd w:id="67"/>
    <w:bookmarkStart w:id="68" w:name="Xe3155c5e67877c615421a63d47ed6cd47a5eb9f"/>
    <w:p>
      <w:pPr>
        <w:pStyle w:val="Heading3"/>
      </w:pPr>
      <w:r>
        <w:t xml:space="preserve">8.4 M3 — Loop de re-parametrização (o coração anti-hindsight)</w:t>
      </w:r>
    </w:p>
    <w:p>
      <w:pPr>
        <w:pStyle w:val="FirstParagraph"/>
      </w:pPr>
      <w:r>
        <w:t xml:space="preserve">O dado medido recalibra</w:t>
      </w:r>
      <w:r>
        <w:t xml:space="preserve"> </w:t>
      </w:r>
      <w:r>
        <w:rPr>
          <w:bCs/>
          <w:b/>
        </w:rPr>
        <w:t xml:space="preserve">exatamente o que informa</w:t>
      </w:r>
      <w:r>
        <w:t xml:space="preserve">: o braço A6 (dose conhecida) fecha κ↔µM — âncora ilustrativa da Parte 1 §2.2 tornado absoluto pelo dado — convertendo o cálculo de contenção de relativo a absoluto — e executa o teste discriminador da forma funcional (primeira potência vs quadrática; travado na colheita [SIM] da Parte 1) [claim:C051] [evidence:E032, E033]; θ*</w:t>
      </w:r>
      <w:r>
        <w:t xml:space="preserve"> </w:t>
      </w:r>
      <w:r>
        <w:rPr>
          <w:bCs/>
          <w:b/>
        </w:rPr>
        <w:t xml:space="preserve">compara-se, nunca se retreina</w:t>
      </w:r>
      <w:r>
        <w:t xml:space="preserve">; taxas murinas relativas e parâmetros de transporte humano só mudam por dado do seu próprio escopo. Toda comparação cita a âncora do release onde a predição foi travada (v1.0 / v3.0); toda recalibração gera pre-dição nova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do próximo dado — o loop nunca</w:t>
      </w:r>
      <w:r>
        <w:t xml:space="preserve"> </w:t>
      </w:r>
      <w:r>
        <w:t xml:space="preserve">“</w:t>
      </w:r>
      <w:r>
        <w:t xml:space="preserve">explica depois</w:t>
      </w:r>
      <w:r>
        <w:t xml:space="preserve">”</w:t>
      </w:r>
      <w:r>
        <w:t xml:space="preserve"> </w:t>
      </w:r>
      <w:r>
        <w:t xml:space="preserve">sem ter previsto antes.</w:t>
      </w:r>
    </w:p>
    <w:bookmarkEnd w:id="68"/>
    <w:bookmarkStart w:id="69" w:name="X555a26d4421973e92e06b31777049305a67077c"/>
    <w:p>
      <w:pPr>
        <w:pStyle w:val="Heading3"/>
      </w:pPr>
      <w:r>
        <w:t xml:space="preserve">8.5 M4 — Método de seleção de parceiro: assertividade por método (SLR-análogo)</w:t>
      </w:r>
    </w:p>
    <w:p>
      <w:pPr>
        <w:pStyle w:val="FirstParagraph"/>
      </w:pPr>
      <w:r>
        <w:rPr>
          <w:bCs/>
          <w:b/>
        </w:rPr>
        <w:t xml:space="preserve">A tese documenta o COMO; não seleciona o QUEM</w:t>
      </w:r>
      <w:r>
        <w:t xml:space="preserve"> </w:t>
      </w:r>
      <w:r>
        <w:t xml:space="preserve">[claim:C053] [evidence:E033]. O protocolo (v2.1) é o análogo de revisão sistemática aplicado à decisão</w:t>
      </w:r>
      <w:r>
        <w:t xml:space="preserve"> </w:t>
      </w:r>
      <w:r>
        <w:t xml:space="preserve">“</w:t>
      </w:r>
      <w:r>
        <w:t xml:space="preserve">onde medir</w:t>
      </w:r>
      <w:r>
        <w:t xml:space="preserve">”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Query bank Q1–Q5</w:t>
      </w:r>
      <w:r>
        <w:t xml:space="preserve"> </w:t>
      </w:r>
      <w:r>
        <w:t xml:space="preserve">— strings exatas por plataforma (PubMed</w:t>
      </w:r>
      <w:r>
        <w:t xml:space="preserve"> </w:t>
      </w:r>
      <w:r>
        <w:rPr>
          <w:rStyle w:val="VerbatimChar"/>
        </w:rPr>
        <w:t xml:space="preserve">[tiab]</w:t>
      </w:r>
      <w:r>
        <w:t xml:space="preserve">, ClinicalTrials.gov, cinza-conferências, rede BR), registradas antes da execução, ancoradas em commit (PROSPERO-análogo);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Inclusão I1–I5 / exclusão X1–X4 binárias</w:t>
      </w:r>
      <w:r>
        <w:t xml:space="preserve"> </w:t>
      </w:r>
      <w:r>
        <w:t xml:space="preserve">— plataforma organoide-príon publicada · BSL-príon certificada · capacidade ≥64 organoides com controle de lote · aceitação de pré-registro/kill-switch · formalização ≤6 meses; vetos: sem biossegurança, sem cegamento, IP exclusiva, indisponibilidade &gt;12m;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Pesos congelados A–H</w:t>
      </w:r>
      <w:r>
        <w:t xml:space="preserve"> </w:t>
      </w:r>
      <w:r>
        <w:t xml:space="preserve">(25/15/15/10/10/10/10/5 — plataforma, track príon, capacidade, braço A5, braço A7, co-localização BR/E200K, open-science, prontidão), âncoras 0–5,</w:t>
      </w:r>
      <w:r>
        <w:t xml:space="preserve"> </w:t>
      </w:r>
      <w:r>
        <w:t xml:space="preserve">“</w:t>
      </w:r>
      <w:r>
        <w:t xml:space="preserve">?</w:t>
      </w:r>
      <w:r>
        <w:t xml:space="preserve">”</w:t>
      </w:r>
      <w:r>
        <w:t xml:space="preserve"> </w:t>
      </w:r>
      <w:r>
        <w:t xml:space="preserve">não pontua por regra;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Fluxo PRISMA-regenerável</w:t>
      </w:r>
      <w:r>
        <w:t xml:space="preserve"> </w:t>
      </w:r>
      <w:r>
        <w:t xml:space="preserve">(identificados→dedup→triagem→pontuação→contato sequencial por score; desempate = plataforma) com log datado e público;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Aplicação-piloto</w:t>
      </w:r>
      <w:r>
        <w:t xml:space="preserve"> </w:t>
      </w:r>
      <w:r>
        <w:t xml:space="preserve">(log v0.2): demonstra executabilidade — 9 registros → 8 grupos → 2 elegíveis + 1 condicional + 3 watchlist + 2 técnicos; o método corrigiu o prior (peso do eixo D em Calgary à luz do JCI 2026); o piloto</w:t>
      </w:r>
      <w:r>
        <w:t xml:space="preserve"> </w:t>
      </w:r>
      <w:r>
        <w:rPr>
          <w:bCs/>
          <w:b/>
        </w:rPr>
        <w:t xml:space="preserve">não decide</w:t>
      </w:r>
      <w:r>
        <w:t xml:space="preserve"> </w:t>
      </w:r>
      <w:r>
        <w:t xml:space="preserve">— as ordens que emite são saídas do método para o executor futuro [claim:C053] [evidence:E033].</w:t>
      </w:r>
    </w:p>
    <w:p>
      <w:pPr>
        <w:pStyle w:val="FirstParagraph"/>
      </w:pPr>
      <w:r>
        <w:t xml:space="preserve">Replicabilidade posterior: qualquer pesquisador re-executa as strings, re-tria, re-pontua; divergências &gt;10 pts viram auditoria, não erro. Viés declarado: single-rater v1 (co-rating pré-declarado como pendência).</w:t>
      </w:r>
    </w:p>
    <w:bookmarkEnd w:id="69"/>
    <w:bookmarkStart w:id="70" w:name="X9b4d9a558c1cc392c3c00d2f61c042c51c570ef"/>
    <w:p>
      <w:pPr>
        <w:pStyle w:val="Heading3"/>
      </w:pPr>
      <w:r>
        <w:t xml:space="preserve">8.6 M5 — Infraestrutura de continuidade (guardião + runbook)</w:t>
      </w:r>
    </w:p>
    <w:p>
      <w:pPr>
        <w:pStyle w:val="FirstParagraph"/>
      </w:pPr>
      <w:r>
        <w:t xml:space="preserve">O guardião opera com</w:t>
      </w:r>
      <w:r>
        <w:t xml:space="preserve"> </w:t>
      </w:r>
      <w:r>
        <w:rPr>
          <w:bCs/>
          <w:b/>
        </w:rPr>
        <w:t xml:space="preserve">perfis de superfície</w:t>
      </w:r>
      <w:r>
        <w:t xml:space="preserve"> </w:t>
      </w:r>
      <w:r>
        <w:t xml:space="preserve">(</w:t>
      </w:r>
      <w:r>
        <w:rPr>
          <w:rStyle w:val="VerbatimChar"/>
        </w:rPr>
        <w:t xml:space="preserve">--profile part1|part2</w:t>
      </w:r>
      <w:r>
        <w:t xml:space="preserve">): a Parte 2 tem contrato próprio de gate (mesmo registro de pendências estruturado, baterias e binding de números citados; sem herdar os padrões literais da Parte 1), e a</w:t>
      </w:r>
      <w:r>
        <w:t xml:space="preserve"> </w:t>
      </w:r>
      <w:r>
        <w:rPr>
          <w:bCs/>
          <w:b/>
        </w:rPr>
        <w:t xml:space="preserve">Base de Validade (§7.3) é check BLOCKED permanente</w:t>
      </w:r>
      <w:r>
        <w:t xml:space="preserve"> </w:t>
      </w:r>
      <w:r>
        <w:t xml:space="preserve">neste perfil. Toda superfície de manuscrito é gated por revisão hostil recursiva (R0 drift estrutural · R1 checklist+baterias · R2 recursão de emendas · R3 interrogação epistêmica + registro {{TODO:id:desc}}); o decálogo vivo (tiers de dado · locked-stays-locked · ilustrativo≠evidência · paridade · anti-hindsight · fim-de-sessão=/RECAP) está no guardian.md com comandos copy-paste — a continuidade não depende de memória de quem continua, e sim de método documentado — índice-mestre no KNOWLEDGE_CANON.md.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Xee3c0e2adf2e9dfa4d03efde2b2006be11c554f"/>
    <w:p>
      <w:pPr>
        <w:pStyle w:val="Heading1"/>
      </w:pPr>
      <w:r>
        <w:t xml:space="preserve">CAPÍTULO 9 — ACHADOS, IMPACTOS E ÁREAS CORRELATAS; PRÓXIMAS ABORDAGENS</w:t>
      </w:r>
    </w:p>
    <w:p>
      <w:pPr>
        <w:pStyle w:val="FirstParagraph"/>
      </w:pPr>
      <w:r>
        <w:t xml:space="preserve">Este capítulo responde à pergunta</w:t>
      </w:r>
      <w:r>
        <w:t xml:space="preserve"> </w:t>
      </w:r>
      <w:r>
        <w:t xml:space="preserve">“</w:t>
      </w:r>
      <w:r>
        <w:t xml:space="preserve">e daí?</w:t>
      </w:r>
      <w:r>
        <w:t xml:space="preserve">”</w:t>
      </w:r>
      <w:r>
        <w:t xml:space="preserve">: consolida os achados, mapeia os impactos em camadas, identifica as áreas correlatas onde o mesmo método é aplicável, e declara — mandatoriamente — o que vem a seguir.</w:t>
      </w:r>
    </w:p>
    <w:bookmarkStart w:id="72" w:name="achados-e-impactos"/>
    <w:p>
      <w:pPr>
        <w:pStyle w:val="Heading3"/>
      </w:pPr>
      <w:r>
        <w:t xml:space="preserve">9.1 Achados e impactos</w:t>
      </w:r>
    </w:p>
    <w:p>
      <w:pPr>
        <w:pStyle w:val="FirstParagraph"/>
      </w:pPr>
      <w:r>
        <w:rPr>
          <w:bCs/>
          <w:b/>
        </w:rPr>
        <w:t xml:space="preserve">Achados [SIM] consolidados:</w:t>
      </w:r>
      <w:r>
        <w:t xml:space="preserve"> </w:t>
      </w:r>
      <w:r>
        <w:t xml:space="preserve">o limiar adimensional θ*=0,333 (contenção acima dele, monotônica à quase-extinção) [claim:C038] [evidence:E032]; três regras de design quantitativas (anel 8–12 mm; malha ≥5×r_p; redose ≤7 d) [claim:C033] [evidence:E030]; a predição discriminadora (a dose-resposta do braço A6 distingue a unidade inibitória molecular) [claim:C051] [evidence:E032, E033]; o estimador θ_obs calibrado na fronteira de decisão [claim:C052] [evidence:E032, E033]; a tabela-decisão derivada (biomassa como coordenada informativa; raio saturado); e a validação multi-espécie (Cenário B + regra de titulação κ↔Kt + dependência de horizonte) [claim:C055] [evidence:E032] [claim:C056] [evidence:E032] [claim:C057] [evidence:E032].</w:t>
      </w:r>
    </w:p>
    <w:p>
      <w:pPr>
        <w:pStyle w:val="BodyText"/>
      </w:pPr>
      <w:r>
        <w:rPr>
          <w:bCs/>
          <w:b/>
        </w:rPr>
        <w:t xml:space="preserve">Impactos por camada:</w:t>
      </w:r>
      <w:r>
        <w:t xml:space="preserve"> </w:t>
      </w:r>
      <w:r>
        <w:t xml:space="preserve">(i)</w:t>
      </w:r>
      <w:r>
        <w:t xml:space="preserve"> </w:t>
      </w:r>
      <w:r>
        <w:rPr>
          <w:iCs/>
          <w:i/>
        </w:rPr>
        <w:t xml:space="preserve">direto (DCJ)</w:t>
      </w:r>
      <w:r>
        <w:t xml:space="preserve"> </w:t>
      </w:r>
      <w:r>
        <w:t xml:space="preserve">— primeiro dimensionamento quantitativo de entrega para uma doença 100% fatal, com população-âncora E200K-Brasil e rota compassiva acelular desenhada; (ii)</w:t>
      </w:r>
      <w:r>
        <w:t xml:space="preserve"> </w:t>
      </w:r>
      <w:r>
        <w:rPr>
          <w:iCs/>
          <w:i/>
        </w:rPr>
        <w:t xml:space="preserve">plataforma (prion-like: AD/PD, &gt;50M)</w:t>
      </w:r>
      <w:r>
        <w:t xml:space="preserve"> </w:t>
      </w:r>
      <w:r>
        <w:t xml:space="preserve">— o cálculo (campo secretor → limiar → posicionamento → calendário) é agnóstico de proteína, transferível como framework de design — explicitamente gerador-de-hipótese; (iii)</w:t>
      </w:r>
      <w:r>
        <w:t xml:space="preserve"> </w:t>
      </w:r>
      <w:r>
        <w:rPr>
          <w:iCs/>
          <w:i/>
        </w:rPr>
        <w:t xml:space="preserve">meta-científico</w:t>
      </w:r>
      <w:r>
        <w:t xml:space="preserve"> </w:t>
      </w:r>
      <w:r>
        <w:t xml:space="preserve">— a etrização demonstrada de ponta a ponta com auditoria de máquina: como continuar pesquisa com rigor antes e independente da confirmação (iii-bis)</w:t>
      </w:r>
      <w:r>
        <w:t xml:space="preserve"> </w:t>
      </w:r>
      <w:r>
        <w:rPr>
          <w:iCs/>
          <w:i/>
        </w:rPr>
        <w:t xml:space="preserve">epistemológico</w:t>
      </w:r>
      <w:r>
        <w:t xml:space="preserve"> </w:t>
      </w:r>
      <w:r>
        <w:t xml:space="preserve">— a etrização nomeia e legitima uma categoria de conhecimento que a saúde produz mas não reconhecia: o prognóstico quantitativo simulado-com-dados-reais como forma autônoma e disciplinada de saber (não promessa, não hipótese —</w:t>
      </w:r>
      <w:r>
        <w:t xml:space="preserve"> </w:t>
      </w:r>
      <w:r>
        <w:rPr>
          <w:bCs/>
          <w:b/>
        </w:rPr>
        <w:t xml:space="preserve">conhecimento potencial-verificável com data de validade declarada</w:t>
      </w:r>
      <w:r>
        <w:t xml:space="preserve">) [claim:C054] [evidence:E009, E010, E031, E032, E033, E007].</w:t>
      </w:r>
    </w:p>
    <w:bookmarkEnd w:id="72"/>
    <w:bookmarkStart w:id="73" w:name="X1e0bea7ede5d3d883c22bfe0daaf10adf47bf24"/>
    <w:p>
      <w:pPr>
        <w:pStyle w:val="Heading3"/>
      </w:pPr>
      <w:r>
        <w:t xml:space="preserve">5.1-bis. O achado único inovador: cura + restauração</w:t>
      </w:r>
    </w:p>
    <w:p>
      <w:pPr>
        <w:pStyle w:val="FirstParagraph"/>
      </w:pPr>
      <w:r>
        <w:rPr>
          <w:bCs/>
          <w:b/>
        </w:rPr>
        <w:t xml:space="preserve">O achado único inovador — dupla potencialidade terapêutica: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Cura da doença priônica</w:t>
      </w:r>
      <w:r>
        <w:t xml:space="preserve">: contenção do espalhamento de PrP^Sc pelo mecanismo dominante-negativo V127 [claim:C003] [evidence:E001, E003, E005] [claim:C005] [evidence:E003] — impedir a propagação é interromper a cascata neurodegenerativa;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Restauração neurológica</w:t>
      </w:r>
      <w:r>
        <w:t xml:space="preserve">: evidência da Parte 1 demonstra que NPCs integram e</w:t>
      </w:r>
      <w:r>
        <w:t xml:space="preserve"> </w:t>
      </w:r>
      <w:r>
        <w:rPr>
          <w:bCs/>
          <w:b/>
        </w:rPr>
        <w:t xml:space="preserve">restauram parâmetros eletrofisiológicos</w:t>
      </w:r>
      <w:r>
        <w:t xml:space="preserve"> </w:t>
      </w:r>
      <w:r>
        <w:t xml:space="preserve">em organoides CJD mesmo com príon ativo [claim:C016] [evidence:E012] — o componente celular não apenas contém, mas</w:t>
      </w:r>
      <w:r>
        <w:t xml:space="preserve"> </w:t>
      </w:r>
      <w:r>
        <w:rPr>
          <w:bCs/>
          <w:b/>
        </w:rPr>
        <w:t xml:space="preserve">resgata função</w:t>
      </w:r>
      <w:r>
        <w:t xml:space="preserve"> </w:t>
      </w:r>
      <w:r>
        <w:t xml:space="preserve">na penumbra. A plataforma V127 é a única abordagem antipriônica com este duplo potencial (conter + restaurar).</w:t>
      </w:r>
    </w:p>
    <w:p>
      <w:pPr>
        <w:pStyle w:val="BodyText"/>
      </w:pPr>
      <w:r>
        <w:rPr>
          <w:bCs/>
          <w:b/>
        </w:rPr>
        <w:t xml:space="preserve">Ressalva mandatória</w:t>
      </w:r>
      <w:r>
        <w:t xml:space="preserve"> </w:t>
      </w:r>
      <w:r>
        <w:t xml:space="preserve">[claim:C046] [evidence:E032, E033]: estes achados</w:t>
      </w:r>
      <w:r>
        <w:t xml:space="preserve"> </w:t>
      </w:r>
      <w:r>
        <w:rPr>
          <w:bCs/>
          <w:b/>
        </w:rPr>
        <w:t xml:space="preserve">não podem ser aplicados em humanos</w:t>
      </w:r>
      <w:r>
        <w:t xml:space="preserve"> </w:t>
      </w:r>
      <w:r>
        <w:t xml:space="preserve">apesar do potencial demonstrado — faz-se necessário, para uso humano, o teste e a validação com dados experimentais da Parte 1 (pré-tese) executados em laboratório. A tese entrega o prognóstico; a aplicação exige o G0-wet.</w:t>
      </w:r>
    </w:p>
    <w:bookmarkEnd w:id="73"/>
    <w:bookmarkStart w:id="74" w:name="áreas-correlatas-com-a-mesma-usabilidade"/>
    <w:p>
      <w:pPr>
        <w:pStyle w:val="Heading3"/>
      </w:pPr>
      <w:r>
        <w:t xml:space="preserve">9.2 Áreas correlatas com a mesma usabilidade</w:t>
      </w:r>
    </w:p>
    <w:p>
      <w:pPr>
        <w:pStyle w:val="FirstParagraph"/>
      </w:pPr>
      <w:r>
        <w:t xml:space="preserve">O método da etrização aplica-se onde houver (a) base de dados publicados e validados, (b) motor determinístico auditável e (c) decisão de pesquisa sob incerteza: farmacologia de doenças raras (priorização de dose/rota antes do primeiro animal); oncologia — triagem de combinações (ordenação de candidatos antes do ensaio); doenças neurodegenerativas prion-like (o caso direto); toxicologia/regulação (in-silico first, na linha dos frameworks regulatórios emergentes); e qualquer programa que precise decidir</w:t>
      </w:r>
      <w:r>
        <w:t xml:space="preserve"> </w:t>
      </w:r>
      <w:r>
        <w:rPr>
          <w:iCs/>
          <w:i/>
        </w:rPr>
        <w:t xml:space="preserve">o que medir, onde e em que dose</w:t>
      </w:r>
      <w:r>
        <w:t xml:space="preserve"> </w:t>
      </w:r>
      <w:r>
        <w:t xml:space="preserve">antes de gastar recurso — a função-objetivo da própria etrização.</w:t>
      </w:r>
    </w:p>
    <w:bookmarkEnd w:id="74"/>
    <w:bookmarkStart w:id="75" w:name="Xd1a98d48acaf035f637ff4dc6ba8547a62341b4"/>
    <w:p>
      <w:pPr>
        <w:pStyle w:val="Heading3"/>
      </w:pPr>
      <w:r>
        <w:t xml:space="preserve">5.2-bis. Replicabilidade demonstrada: como aplicar a AD/PD</w:t>
      </w:r>
    </w:p>
    <w:p>
      <w:pPr>
        <w:pStyle w:val="FirstParagraph"/>
      </w:pPr>
      <w:r>
        <w:rPr>
          <w:bCs/>
          <w:b/>
        </w:rPr>
        <w:t xml:space="preserve">Exemplo concreto de replicação para Alzheimer/Parkinson: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P0-identificação</w:t>
      </w:r>
      <w:r>
        <w:t xml:space="preserve">: SLR de dados publicados de propagação de Aβ/α-sinucleína (Braak staging; ensaios de seeding RT-QuIC);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P1-parametrização</w:t>
      </w:r>
      <w:r>
        <w:t xml:space="preserve">: modelo de difusão de agregados ao longo de vias neurais (parâmetros de transporte análogos ao WS-7);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P2-execução</w:t>
      </w:r>
      <w:r>
        <w:t xml:space="preserve">: simulação de intervenção (anticorpo anti-agregante com campo secretor análogo ao V127ΔGPI);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P4-prognóstico</w:t>
      </w:r>
      <w:r>
        <w:t xml:space="preserve">: limiar de contenção θ* para cada proteína — travado antes de qualquer dado;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P5-derivada</w:t>
      </w:r>
      <w:r>
        <w:t xml:space="preserve">: agenda de pesquisa sobre posicionamento de infusão e dose — gerada da simulação.</w:t>
      </w:r>
    </w:p>
    <w:p>
      <w:pPr>
        <w:pStyle w:val="BodyText"/>
      </w:pPr>
      <w:r>
        <w:rPr>
          <w:bCs/>
          <w:b/>
        </w:rPr>
        <w:t xml:space="preserve">Limitação declarada</w:t>
      </w:r>
      <w:r>
        <w:t xml:space="preserve">: para Aβ/α-synucleína, NÃO existe variante protetora natural selecionada pela evolução (como o V127 do kuru). O agente terapêutico teria de ser engenheirado (anticorpo, variante travada, degradação direcionada) — uma incerteza adicional de existência, não apenas de engenharia. O cálculo (P0-P5) transfere; o agente, não.</w:t>
      </w:r>
    </w:p>
    <w:bookmarkEnd w:id="75"/>
    <w:bookmarkStart w:id="76" w:name="Xc0da7e41f3087777992b2f87ded60efae136cee"/>
    <w:p>
      <w:pPr>
        <w:pStyle w:val="Heading3"/>
      </w:pPr>
      <w:r>
        <w:t xml:space="preserve">9.3 Próximas abordagens (declaração mandatória conforme metodologia)</w:t>
      </w:r>
    </w:p>
    <w:p>
      <w:pPr>
        <w:pStyle w:val="FirstParagraph"/>
      </w:pPr>
      <w:r>
        <w:rPr>
          <w:bCs/>
          <w:b/>
        </w:rPr>
        <w:t xml:space="preserve">Este trabalho foi realizado com base simulada.</w:t>
      </w:r>
      <w:r>
        <w:t xml:space="preserve"> </w:t>
      </w:r>
      <w:r>
        <w:t xml:space="preserve">Faz-se</w:t>
      </w:r>
      <w:r>
        <w:t xml:space="preserve"> </w:t>
      </w:r>
      <w:r>
        <w:rPr>
          <w:bCs/>
          <w:b/>
        </w:rPr>
        <w:t xml:space="preserve">necessário o laboratório experimental e testes humanos para validação</w:t>
      </w:r>
      <w:r>
        <w:t xml:space="preserve"> </w:t>
      </w:r>
      <w:r>
        <w:t xml:space="preserve">— a simulação não substitui nem substituirá essa etapa (§7.3). Contudo,</w:t>
      </w:r>
      <w:r>
        <w:t xml:space="preserve"> </w:t>
      </w:r>
      <w:r>
        <w:rPr>
          <w:bCs/>
          <w:b/>
        </w:rPr>
        <w:t xml:space="preserve">assim que dados humanos forem encontrados — independentemente dos valores que exibam — eles podem ser parametrizados contra os valores aqui obtidos</w:t>
      </w:r>
      <w:r>
        <w:t xml:space="preserve"> </w:t>
      </w:r>
      <w:r>
        <w:t xml:space="preserve">(loop de re-parametrização, Cap. metodologia), o que</w:t>
      </w:r>
      <w:r>
        <w:t xml:space="preserve"> </w:t>
      </w:r>
      <w:r>
        <w:rPr>
          <w:bCs/>
          <w:b/>
        </w:rPr>
        <w:t xml:space="preserve">já representa um passo à frente na pesquisa</w:t>
      </w:r>
      <w:r>
        <w:t xml:space="preserve">: dado análogo confirma a antecipação (passos seguintes já avançados, P6); dado divergente recalibra exatamente o que informa, com a predição anterior preservada como âncora — em ambos os casos, conhecimento novo bancado [claim:C054] [evidence:E009, E010, E031, E032, E033, E007].</w:t>
      </w:r>
    </w:p>
    <w:p>
      <w:pPr>
        <w:pStyle w:val="BodyText"/>
      </w:pPr>
      <w:r>
        <w:rPr>
          <w:bCs/>
          <w:b/>
        </w:rPr>
        <w:t xml:space="preserve">O que deve ser mandatoriamente realizado, conforme a metodologia, para garantir resultados aplicáveis à sociedade:</w:t>
      </w:r>
      <w:r>
        <w:t xml:space="preserve"> </w:t>
      </w:r>
      <w:r>
        <w:t xml:space="preserve">(1) execução do degrau [ORGANOID] pelo protocolo congelado (F1–F10; GATE-F com assinatura de PI; estimador θ_obs com scorer cego; plano estatístico Welch/Holm; kill-switches por braço e programa); (2) degrau [MOUSE] sob as regras de pivot pré-declaradas; (3) degrau [HUMAN] exclusivamente pela via compassiva E200K com DSMB, endpoints de contenção/desaceleração, comunicação responsável às famílias e equidade de acesso à população-âncora; (4) em todos os degraus: pré-registro antes do dado, publicação do resultado negativo quando ocorrer, e rótulo de tier em toda saída. Nenhum atalho fora desta sequência produz resultado aplicável — é o que a metodologia exige e o guardião atesta.</w:t>
      </w:r>
    </w:p>
    <w:p>
      <w:pPr>
        <w:pStyle w:val="BodyText"/>
      </w:pPr>
      <w:r>
        <w:rPr>
          <w:iCs/>
          <w:i/>
        </w:rPr>
        <w:t xml:space="preserve">(adendo filosófico REALIZADO: a reflexão etrização/átomo da autora — registrada no corpus externo e integrada via Nota à Leitura, §7.1 nome-do-método, Cap. 9.3 declaração mandatória e Cap. 13 síntese — É o adendo; commit 83bbf51)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capítulo-10-discussão"/>
    <w:p>
      <w:pPr>
        <w:pStyle w:val="Heading1"/>
      </w:pPr>
      <w:r>
        <w:t xml:space="preserve">CAPÍTULO 10 — DISCUSSÃO</w:t>
      </w:r>
    </w:p>
    <w:p>
      <w:pPr>
        <w:pStyle w:val="FirstParagraph"/>
      </w:pPr>
      <w:r>
        <w:t xml:space="preserve">Este capítulo pesa os resultados: o que significam, o que não significam, e como se posicionam entre a promessa e o limite.</w:t>
      </w:r>
    </w:p>
    <w:bookmarkStart w:id="78" w:name="promessas-e-limites-desta-parte-2"/>
    <w:p>
      <w:pPr>
        <w:pStyle w:val="Heading3"/>
      </w:pPr>
      <w:r>
        <w:t xml:space="preserve">10.1 Promessas e limites desta Parte 2</w:t>
      </w:r>
    </w:p>
    <w:p>
      <w:pPr>
        <w:pStyle w:val="FirstParagraph"/>
      </w:pPr>
      <w:r>
        <w:t xml:space="preserve">Promete: a etrização como método completo, replicável e em parte já demonstrado (M1 executado; M4 piloto) — continuar pesquisa por simulação hoje, como a física, sem parar à espera de cada confirmação. E declara: os resultados daqui</w:t>
      </w:r>
      <w:r>
        <w:t xml:space="preserve"> </w:t>
      </w:r>
      <w:r>
        <w:rPr>
          <w:bCs/>
          <w:b/>
        </w:rPr>
        <w:t xml:space="preserve">são de simulação e assim permanecem rotulados</w:t>
      </w:r>
      <w:r>
        <w:t xml:space="preserve">; a aplicação/validação em ambiente real não é prometida nesta Parte — se dados reais futuros forem análogos aos simulados,</w:t>
      </w:r>
      <w:r>
        <w:t xml:space="preserve"> </w:t>
      </w:r>
      <w:r>
        <w:rPr>
          <w:bCs/>
          <w:b/>
        </w:rPr>
        <w:t xml:space="preserve">os passos seguintes já estão avançados</w:t>
      </w:r>
      <w:r>
        <w:t xml:space="preserve"> </w:t>
      </w:r>
      <w:r>
        <w:t xml:space="preserve">(P6) [claim:C054] [evidence:E009, E010, E031, E032, E033, E007].</w:t>
      </w:r>
      <w:r>
        <w:t xml:space="preserve"> </w:t>
      </w:r>
      <w:r>
        <w:rPr>
          <w:bCs/>
          <w:b/>
        </w:rPr>
        <w:t xml:space="preserve">Não promete</w:t>
      </w:r>
      <w:r>
        <w:t xml:space="preserve">: seleção de parceiro (execução externa), dado [ORGANOID]+ (não existe ainda — e é rotulado como tal), nem qualquer claim clínica (escada de tiers: nenhum degrau empresta a autoridade do seguinte). Limites declarados: pesos e scores são julgamento estruturado single-rater; a calibração do estimador é na grade atual (refinamento futuro = grade mais fina, pré-declarado); PubMed-direto e identificação R8 pendem como conformidade do piloto.</w:t>
      </w:r>
    </w:p>
    <w:bookmarkEnd w:id="78"/>
    <w:bookmarkStart w:id="79" w:name="X18a39be5b705f9345ca546b899f7d7b5adefb6c"/>
    <w:p>
      <w:pPr>
        <w:pStyle w:val="Heading3"/>
      </w:pPr>
      <w:r>
        <w:t xml:space="preserve">10.2 Discussão: o que os resultados significam e o que não significam</w:t>
      </w:r>
    </w:p>
    <w:p>
      <w:pPr>
        <w:pStyle w:val="FirstParagraph"/>
      </w:pPr>
      <w:r>
        <w:t xml:space="preserve">Os resultados [SIM] significam: (i) existe um limiar adimensional (θ*=0,333) acima do qual o modelo contém a frente — quantidade comparável entre subtipos e, agora sondada computacionalmente entre espécies (Cenário B: aproximadamente conservada nas bandas centrais, com regra de titulação e declaração obrigatória de horizonte) [claim:C038] [evidence:E032] [claim:C055] [evidence:E032] [claim:C056] [evidence:E032]; (ii) o design é quantitativo (anel 8–12 mm; malha ≥5×; redose ≤7 d) — nenhum candidato anterior o teve [claim:C033] [evidence:E030]; (iii) o método é falseável em três frentes pré-registradas (θ medido; C50 invariância; dose-resposta do A6 discriminando a forma funcional) [claim:C051] [evidence:E032, E033]. Não significam: contenção em tecido humano medido (isso é [ORGANOID]+, inexistente); eficácia clínica; nem substituição do laboratório (§7.3). A contribuição de maior alcance é a demonstração de que a própria continuidade da pesquisa pode ser metodologicamente rigorosa sem parar à espera de confirmação — a etrização executada de ponta a ponta com revisão hostil de máquina e validação expressa da autora [claim:C054] [evidence:E009, E010, E031, E032, E033, E007].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Xde54ec646f1f3a8391104cf1e0469c1c2e719d7"/>
    <w:p>
      <w:pPr>
        <w:pStyle w:val="Heading1"/>
      </w:pPr>
      <w:r>
        <w:t xml:space="preserve">CAPÍTULO 11 — CAMADA CLÍNICA — pré-abordagem dos temas antes da penetração técnica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PROGNÓSTICO [SIM] — NÃO É CONSELHO MÉDICO.</w:t>
      </w:r>
      <w:r>
        <w:t xml:space="preserve"> </w:t>
      </w:r>
      <w:r>
        <w:t xml:space="preserve">Documentação de desenho de pesquisa sob simulação parametrizada; nenhum uso humano sem os gates [ORGANOID]→[MOUSE]→regulatório; nada aqui orienta conduta, dose ou seleção de paciente. Verificação: autora responsável + guardião de máquina (gates 0-BLOCKED).</w:t>
      </w:r>
    </w:p>
    <w:p>
      <w:pPr>
        <w:pStyle w:val="FirstParagraph"/>
      </w:pPr>
      <w:r>
        <w:rPr>
          <w:bCs/>
          <w:b/>
        </w:rPr>
        <w:t xml:space="preserve">Por que abrir estas páginas: doenças priônicas são 100% fatais e não têm hoje nenhuma terapia modificadora aprovada — e este trabalho traz o primeiro cálculo quantitativo de dose-e-entrega de um candidato, com predições travadas antes de qualquer medição.</w:t>
      </w:r>
    </w:p>
    <w:p>
      <w:pPr>
        <w:pStyle w:val="BodyText"/>
      </w:pPr>
      <w:r>
        <w:rPr>
          <w:bCs/>
          <w:b/>
        </w:rPr>
        <w:t xml:space="preserve">O que esta tese é, em cinco perguntas que qualquer médico faria: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Que doença?</w:t>
      </w:r>
      <w:r>
        <w:t xml:space="preserve"> </w:t>
      </w:r>
      <w:r>
        <w:t xml:space="preserve">Doenças priônicas (DCJ esporádica/genética): rapidamente progressivas, 100% fatais, sem terapia modificadora aprovada — seis candidatos já faliram em clínica.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Que ideia?</w:t>
      </w:r>
      <w:r>
        <w:t xml:space="preserve"> </w:t>
      </w:r>
      <w:r>
        <w:t xml:space="preserve">Usar a variante PrP-G127V — selecionada pela evolução (kuru) por proteger portadores — como agente</w:t>
      </w:r>
      <w:r>
        <w:t xml:space="preserve"> </w:t>
      </w:r>
      <w:r>
        <w:rPr>
          <w:bCs/>
          <w:b/>
        </w:rPr>
        <w:t xml:space="preserve">dominante-negativo</w:t>
      </w:r>
      <w:r>
        <w:t xml:space="preserve">: uma proteína que compete com o príon e trava sua replicação sem silenciar o PrP nativo (ao contrário dos ASOs em ensaio clínico).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Que evidência?</w:t>
      </w:r>
      <w:r>
        <w:t xml:space="preserve"> </w:t>
      </w:r>
      <w:r>
        <w:t xml:space="preserve">Nenhuma medição nova em pacientes: a tese opera por</w:t>
      </w:r>
      <w:r>
        <w:t xml:space="preserve"> </w:t>
      </w:r>
      <w:r>
        <w:rPr>
          <w:bCs/>
          <w:b/>
        </w:rPr>
        <w:t xml:space="preserve">simulação parametrizada com dados reais publicados</w:t>
      </w:r>
      <w:r>
        <w:t xml:space="preserve"> </w:t>
      </w:r>
      <w:r>
        <w:t xml:space="preserve">(</w:t>
      </w:r>
      <w:r>
        <w:t xml:space="preserve">“</w:t>
      </w:r>
      <w:r>
        <w:t xml:space="preserve">etrização</w:t>
      </w:r>
      <w:r>
        <w:t xml:space="preserve">”</w:t>
      </w:r>
      <w:r>
        <w:t xml:space="preserve">) — cada número vem de fonte rastreável; predições ficam travadas ANTES de qualquer medição futura (anti-hindsight).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Que resultado prático?</w:t>
      </w:r>
      <w:r>
        <w:t xml:space="preserve"> </w:t>
      </w:r>
      <w:r>
        <w:t xml:space="preserve">Três regras de dosagem/posicionamento quantitativas (anel de depósitos 8–12 mm; redose ≤7 dias; limiar θ*≈⅓) + a sondagem multi-espécie: o limiar é</w:t>
      </w:r>
      <w:r>
        <w:t xml:space="preserve"> </w:t>
      </w:r>
      <w:r>
        <w:rPr>
          <w:bCs/>
          <w:b/>
        </w:rPr>
        <w:t xml:space="preserve">aproximadamente conservado</w:t>
      </w:r>
      <w:r>
        <w:t xml:space="preserve"> </w:t>
      </w:r>
      <w:r>
        <w:t xml:space="preserve">entre espécies (Cenário B), mas a dose exigida sobe com a velocidade da doença — regra de titulação — e, agora,</w:t>
      </w:r>
      <w:r>
        <w:t xml:space="preserve"> </w:t>
      </w:r>
      <w:r>
        <w:rPr>
          <w:bCs/>
          <w:b/>
        </w:rPr>
        <w:t xml:space="preserve">a primeira dose calculada do braço A6: banda de 0,0–2,6 µg de proteína por depósito no degrau humano (pior caso 0,2–10,3), com a largura da banda explicitando exatamente o que o ensaio organoide fecha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Que promessa NÃO faz?</w:t>
      </w:r>
      <w:r>
        <w:t xml:space="preserve"> </w:t>
      </w:r>
      <w:r>
        <w:t xml:space="preserve">Não promete cura, aplicação humana, nem substitui laboratório: o prognóstico é entregue como conhecimento falseável; o uso humano exige o gate organoide (G0-wet) e além.</w:t>
      </w:r>
    </w:p>
    <w:p>
      <w:pPr>
        <w:pStyle w:val="FirstParagraph"/>
      </w:pPr>
      <w:r>
        <w:rPr>
          <w:bCs/>
          <w:b/>
        </w:rPr>
        <w:t xml:space="preserve">Como ler os símbolos sem perder o fio:</w:t>
      </w:r>
      <w:r>
        <w:t xml:space="preserve"> </w:t>
      </w:r>
      <w:r>
        <w:t xml:space="preserve">θ* =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quanto da conversão sobrevive à dose no pior dia do anel</w:t>
      </w:r>
      <w:r>
        <w:rPr>
          <w:iCs/>
          <w:i/>
        </w:rPr>
        <w:t xml:space="preserve">”</w:t>
      </w:r>
      <w:r>
        <w:t xml:space="preserve"> </w:t>
      </w:r>
      <w:r>
        <w:t xml:space="preserve">(⅓ ≈ contém; ⅑ ≈ quase extingue); κ =</w:t>
      </w:r>
      <w:r>
        <w:t xml:space="preserve"> </w:t>
      </w:r>
      <w:r>
        <w:rPr>
          <w:iCs/>
          <w:i/>
        </w:rPr>
        <w:t xml:space="preserve">a dose</w:t>
      </w:r>
      <w:r>
        <w:t xml:space="preserve">; Kt =</w:t>
      </w:r>
      <w:r>
        <w:t xml:space="preserve"> </w:t>
      </w:r>
      <w:r>
        <w:rPr>
          <w:iCs/>
          <w:i/>
        </w:rPr>
        <w:t xml:space="preserve">a velocidade inerente da doença</w:t>
      </w:r>
      <w:r>
        <w:t xml:space="preserve">. Cada capítulo técnico abre com um parágrafo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Em linguagem clínica</w:t>
      </w:r>
      <w:r>
        <w:rPr>
          <w:bCs/>
          <w:b/>
        </w:rPr>
        <w:t xml:space="preserve">”</w:t>
      </w:r>
      <w:r>
        <w:t xml:space="preserve"> </w:t>
      </w:r>
      <w:r>
        <w:t xml:space="preserve">antes da formulação — quem quiser pular a matemática não perde o argumento.</w:t>
      </w:r>
    </w:p>
    <w:bookmarkStart w:id="81" w:name="X9827a35e473ae76eaa9cc9cd1cb9fe7ccbd599e"/>
    <w:p>
      <w:pPr>
        <w:pStyle w:val="Heading3"/>
      </w:pPr>
      <w:r>
        <w:t xml:space="preserve">Resumo em 1 página — rota de leitura de 10 minutos</w:t>
      </w:r>
    </w:p>
    <w:p>
      <w:pPr>
        <w:pStyle w:val="FirstParagraph"/>
      </w:pPr>
      <w:r>
        <w:rPr>
          <w:bCs/>
          <w:b/>
        </w:rPr>
        <w:t xml:space="preserve">Rota:</w:t>
      </w:r>
      <w:r>
        <w:t xml:space="preserve"> </w:t>
      </w:r>
      <w:r>
        <w:t xml:space="preserve">(1) este capítulo (3 min) → (2)</w:t>
      </w:r>
      <w:r>
        <w:t xml:space="preserve"> </w:t>
      </w:r>
      <w:r>
        <w:rPr>
          <w:bCs/>
          <w:b/>
        </w:rPr>
        <w:t xml:space="preserve">Figura 4</w:t>
      </w:r>
      <w:r>
        <w:t xml:space="preserve"> </w:t>
      </w:r>
      <w:r>
        <w:t xml:space="preserve">— a dose-limiar por espécie (2 min) → (3)</w:t>
      </w:r>
      <w:r>
        <w:t xml:space="preserve"> </w:t>
      </w:r>
      <w:r>
        <w:rPr>
          <w:bCs/>
          <w:b/>
        </w:rPr>
        <w:t xml:space="preserve">Figura 5</w:t>
      </w:r>
      <w:r>
        <w:t xml:space="preserve"> </w:t>
      </w:r>
      <w:r>
        <w:t xml:space="preserve">— a escada de dose com a banda do braço A6 (2 min) → (4) Cap. 8</w:t>
      </w:r>
      <w:r>
        <w:t xml:space="preserve"> </w:t>
      </w:r>
      <w:r>
        <w:t xml:space="preserve">“</w:t>
      </w:r>
      <w:r>
        <w:t xml:space="preserve">o que os resultados significam e o que não significam</w:t>
      </w:r>
      <w:r>
        <w:t xml:space="preserve">”</w:t>
      </w:r>
      <w:r>
        <w:t xml:space="preserve"> </w:t>
      </w:r>
      <w:r>
        <w:t xml:space="preserve">(2 min) → (5) Cap. 13 conclusões por objetivo (1 min).</w:t>
      </w:r>
    </w:p>
    <w:p>
      <w:pPr>
        <w:pStyle w:val="BodyText"/>
      </w:pPr>
      <w:r>
        <w:rPr>
          <w:bCs/>
          <w:b/>
        </w:rPr>
        <w:t xml:space="preserve">A mensagem inteira em três frases:</w:t>
      </w:r>
      <w:r>
        <w:t xml:space="preserve"> </w:t>
      </w:r>
      <w:r>
        <w:t xml:space="preserve">(i) a variante G127V, achada pela evolução no kuru, pode travar a replicação do príon por competição (dominante-negativo) sem silenciar a proteína nativa; (ii) a simulação parametrizada com dados publicados entrega regras quantitativas de dose-e-posicionamento (anel 8–12 mm · redose ≤7 d · limiar θ*≈⅓ · banda A6 0,0–2,6 µg/depósito) com predições travadas ANTES de qualquer medição — o limiar aproximadamente conservado entre espécies (Cenário B), dose titulada à velocidade da doença; (iii) nada disto é aplicável a humanos antes do gate organoide (G0-wet) — a não-promessa é parte do método, não um enfeite.</w:t>
      </w:r>
    </w:p>
    <w:bookmarkEnd w:id="81"/>
    <w:bookmarkStart w:id="82" w:name="Xa49a5ebd94827c9b28806906c903446734dad5d"/>
    <w:p>
      <w:pPr>
        <w:pStyle w:val="Heading3"/>
      </w:pPr>
      <w:r>
        <w:t xml:space="preserve">Acompanhamento previsto no desenho [SIM] (documentação de desenho — NÃO conduta clínica)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 que o desenho prevê medir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(previsto no desenho)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Instrumento declarado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θ_obs (resposta à contenção in situ)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readouts 90–120 d (organoide)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perfis radiais WB/IHC c/ leitura cega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resposta pré-registrado (θ_obs&lt;0,33)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Manutenção da cobertura secretora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redose ≤ 7 d (regra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gradiente proximal/distal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trough ≥30–56% do pico [SIM]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Triagem pré-sintomática (população-âncora E200K)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RT-QuIC + NfL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precedentes tofersen/nusinersen (endpoint biomarcador)</w:t>
            </w:r>
          </w:p>
        </w:tc>
      </w:tr>
    </w:tbl>
    <w:p>
      <w:pPr>
        <w:pStyle w:val="BodyText"/>
      </w:pPr>
      <w:r>
        <w:rPr>
          <w:iCs/>
          <w:i/>
        </w:rPr>
        <w:t xml:space="preserve">Serviços de neurologia interessados em auditar ou viabilizar o próximo gate encontram o pacote completo em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paper/G0_UNLOCK_DOSSIER.md</w:t>
      </w:r>
      <w:r>
        <w:rPr>
          <w:iCs/>
          <w:i/>
        </w:rPr>
        <w:t xml:space="preserve"> </w:t>
      </w:r>
      <w:r>
        <w:rPr>
          <w:iCs/>
          <w:i/>
        </w:rPr>
        <w:t xml:space="preserve">+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paper/lab_outreach_package.md</w:t>
      </w:r>
      <w:r>
        <w:rPr>
          <w:iCs/>
          <w:i/>
        </w:rPr>
        <w:t xml:space="preserve"> </w:t>
      </w:r>
      <w:r>
        <w:rPr>
          <w:iCs/>
          <w:i/>
        </w:rPr>
        <w:t xml:space="preserve">(nenhuma promessa de retorno terapêutico).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Xe34947707e5e8ecace4a1b54c2b0a73a9e257f2"/>
    <w:p>
      <w:pPr>
        <w:pStyle w:val="Heading1"/>
      </w:pPr>
      <w:r>
        <w:t xml:space="preserve">CAPÍTULO 12 — LIMITAÇÕES COMO FRUTO (cada limite com o que o fecha)</w:t>
      </w:r>
    </w:p>
    <w:p>
      <w:pPr>
        <w:pStyle w:val="FirstParagraph"/>
      </w:pPr>
      <w:r>
        <w:rPr>
          <w:iCs/>
          <w:i/>
        </w:rPr>
        <w:t xml:space="preserve">Reconhecer os limites com plano de pesquisa futura — cada limitação abaixo tem o gate/ensaio que a converte em conhecimento.</w:t>
      </w:r>
    </w:p>
    <w:p>
      <w:pPr>
        <w:pStyle w:val="BodyText"/>
      </w:pPr>
      <w:r>
        <w:rPr>
          <w:bCs/>
          <w:b/>
        </w:rPr>
        <w:t xml:space="preserve">Classe de transferência (o dado é de outra espécie/sistema):</w:t>
      </w:r>
      <w:r>
        <w:t xml:space="preserve"> </w:t>
      </w:r>
      <w:r>
        <w:t xml:space="preserve">1. Cinética murina → humano: fechada em estrutura pelo Cenário B + relógio humanizado; fechada em medida pelo G0-wet [ORGANOID].</w:t>
      </w:r>
      <w:r>
        <w:t xml:space="preserve"> </w:t>
      </w:r>
      <w:r>
        <w:t xml:space="preserve">2. Âncora κ↔µM é proxy</w:t>
      </w:r>
      <w:r>
        <w:t xml:space="preserve"> </w:t>
      </w:r>
      <w:r>
        <w:rPr>
          <w:iCs/>
          <w:i/>
        </w:rPr>
        <w:t xml:space="preserve">(illustrative assumption; closed by arm A6)</w:t>
      </w:r>
      <w:r>
        <w:t xml:space="preserve">: o Kd usado é do par Aβ42-oligômero↔PrP, não do par V127↔PrP^Sc [evidence:E057].</w:t>
      </w:r>
      <w:r>
        <w:t xml:space="preserve"> </w:t>
      </w:r>
      <w:r>
        <w:rPr>
          <w:bCs/>
          <w:b/>
        </w:rPr>
        <w:t xml:space="preserve">A banda de dose inteira (largura ≈53×) quantifica este limite</w:t>
      </w:r>
      <w:r>
        <w:t xml:space="preserve"> </w:t>
      </w:r>
      <w:r>
        <w:t xml:space="preserve">[claim:C060] — fechada pelo braço A6 (dose conhecida).</w:t>
      </w:r>
      <w:r>
        <w:t xml:space="preserve"> </w:t>
      </w:r>
      <w:r>
        <w:t xml:space="preserve">3. Sem dado [ORGANOID]+ medido: G0-wet especificado (F1–F10; GATE-F).</w:t>
      </w:r>
    </w:p>
    <w:p>
      <w:pPr>
        <w:pStyle w:val="BodyText"/>
      </w:pPr>
      <w:r>
        <w:rPr>
          <w:bCs/>
          <w:b/>
        </w:rPr>
        <w:t xml:space="preserve">Classe de horizonte (o número depende da janela de observação):</w:t>
      </w:r>
      <w:r>
        <w:t xml:space="preserve"> </w:t>
      </w:r>
      <w:r>
        <w:t xml:space="preserve">4. θ* é dependente de horizonte (3 definições; Kt=2/κ=2 contém sob duas, escapa sob a terceira): toda citação declara a def; a predição v1.0 usa S3 [claim:C056] — fechada pela definição operacional no protocolo G0.</w:t>
      </w:r>
    </w:p>
    <w:p>
      <w:pPr>
        <w:pStyle w:val="BodyText"/>
      </w:pPr>
      <w:r>
        <w:rPr>
          <w:bCs/>
          <w:b/>
        </w:rPr>
        <w:t xml:space="preserve">Classe de estrutura-modelo:</w:t>
      </w:r>
      <w:r>
        <w:t xml:space="preserve"> </w:t>
      </w:r>
      <w:r>
        <w:t xml:space="preserve">5. Escapes saturam no canto do grid (2,83 mm): raio nesses braços é limite inferior — grade maior pré-declarada como refinamento.</w:t>
      </w:r>
      <w:r>
        <w:t xml:space="preserve"> </w:t>
      </w:r>
      <w:r>
        <w:t xml:space="preserve">6. Espécie reduz-se à banda Kt (por construção): a disseminação das bandas É a pergunta multi-espécie; refinamento por parâmetros por-espécie além de Kt é pesquisa derivada.</w:t>
      </w:r>
      <w:r>
        <w:t xml:space="preserve"> </w:t>
      </w:r>
      <w:r>
        <w:t xml:space="preserve">7. Forma funcional do capping (quadrática vs primeira potência) não discriminada: falseável pela dose-resposta do A6 [claim:C051].</w:t>
      </w:r>
    </w:p>
    <w:p>
      <w:pPr>
        <w:pStyle w:val="BodyText"/>
      </w:pPr>
      <w:r>
        <w:rPr>
          <w:bCs/>
          <w:b/>
        </w:rPr>
        <w:t xml:space="preserve">Classe de fontes monitoradas:</w:t>
      </w:r>
      <w:r>
        <w:t xml:space="preserve"> </w:t>
      </w:r>
      <w:r>
        <w:t xml:space="preserve">8. Preprints/ensaios em andamento (PRN100 extension; AAV-PrP) monitorados no registro; elevação a E-ID só após abertura e verificação.</w:t>
      </w:r>
      <w:r>
        <w:t xml:space="preserve"> </w:t>
      </w:r>
      <w:r>
        <w:t xml:space="preserve">9. Ensaio retraído excluído por regra (minociclina) [claim:C024] — a correção de citações recorrentes do campo é subproduto auditável.</w:t>
      </w:r>
    </w:p>
    <w:p>
      <w:pPr>
        <w:pStyle w:val="BodyText"/>
      </w:pPr>
      <w:r>
        <w:rPr>
          <w:bCs/>
          <w:b/>
        </w:rPr>
        <w:t xml:space="preserve">Classe de execução:</w:t>
      </w:r>
      <w:r>
        <w:t xml:space="preserve"> </w:t>
      </w:r>
      <w:r>
        <w:t xml:space="preserve">10. Single-rater nos pesos do protocolo de parceiro (co-rating pré-declarado como pendência); PubMed-direto pendente como conformidade do piloto.</w:t>
      </w:r>
    </w:p>
    <w:p>
      <w:pPr>
        <w:pStyle w:val="BodyText"/>
      </w:pPr>
      <w:r>
        <w:rPr>
          <w:bCs/>
          <w:b/>
        </w:rPr>
        <w:t xml:space="preserve">Classe de localização:</w:t>
      </w:r>
      <w:r>
        <w:t xml:space="preserve"> </w:t>
      </w:r>
      <w:r>
        <w:t xml:space="preserve">11. População-âncora E200K-Brasil: a rota compassiva depende de DSMB, equidade de acesso e comunicação responsável — especificada, não prometida.</w:t>
      </w:r>
    </w:p>
    <w:p>
      <w:r>
        <w:pict>
          <v:rect style="width:0;height:1.5pt" o:hralign="center" o:hrstd="t" o:hr="t"/>
        </w:pict>
      </w:r>
    </w:p>
    <w:bookmarkEnd w:id="84"/>
    <w:bookmarkStart w:id="85" w:name="capítulo-13-conclusões-por-objetivo"/>
    <w:p>
      <w:pPr>
        <w:pStyle w:val="Heading1"/>
      </w:pPr>
      <w:r>
        <w:t xml:space="preserve">CAPÍTULO 13 — CONCLUSÕES POR OBJETIVO</w:t>
      </w:r>
    </w:p>
    <w:p>
      <w:pPr>
        <w:pStyle w:val="FirstParagraph"/>
      </w:pPr>
      <w:r>
        <w:rPr>
          <w:bCs/>
          <w:b/>
        </w:rPr>
        <w:t xml:space="preserve">OE1 (nomear e formalizar a etrização) — alcançado.</w:t>
      </w:r>
      <w:r>
        <w:t xml:space="preserve"> </w:t>
      </w:r>
      <w:r>
        <w:t xml:space="preserve">P0–P6 com garantias por passo; nota à banca (Cap. 1) diferencia o termo de IST e meta-análise [claim:C054].</w:t>
      </w:r>
    </w:p>
    <w:p>
      <w:pPr>
        <w:pStyle w:val="BodyText"/>
      </w:pPr>
      <w:r>
        <w:rPr>
          <w:bCs/>
          <w:b/>
        </w:rPr>
        <w:t xml:space="preserve">OE2 (Base de Validade) — alcançado.</w:t>
      </w:r>
      <w:r>
        <w:t xml:space="preserve"> </w:t>
      </w:r>
      <w:r>
        <w:t xml:space="preserve">Tríade + linhagem completa — agora 7 linhas, incluindo a linha da âncora de conversão κ-concentração</w:t>
      </w:r>
      <w:r>
        <w:t xml:space="preserve"> </w:t>
      </w:r>
      <w:r>
        <w:rPr>
          <w:iCs/>
          <w:i/>
        </w:rPr>
        <w:t xml:space="preserve">(illustrative assumption; closed by arm A6)</w:t>
      </w:r>
      <w:r>
        <w:t xml:space="preserve"> </w:t>
      </w:r>
      <w:r>
        <w:t xml:space="preserve">em banda [claim:C046].</w:t>
      </w:r>
    </w:p>
    <w:p>
      <w:pPr>
        <w:pStyle w:val="BodyText"/>
      </w:pPr>
      <w:r>
        <w:rPr>
          <w:bCs/>
          <w:b/>
        </w:rPr>
        <w:t xml:space="preserve">OE3 (resultados como achados [SIM]) — alcançado.</w:t>
      </w:r>
      <w:r>
        <w:t xml:space="preserve"> </w:t>
      </w:r>
      <w:r>
        <w:t xml:space="preserve">Limiar; regras 1–3; sensibilidade discriminadora; probabilístico; estimador na fronteira; tabela-decisão; validação multi-espécie;</w:t>
      </w:r>
      <w:r>
        <w:t xml:space="preserve"> </w:t>
      </w:r>
      <w:r>
        <w:rPr>
          <w:bCs/>
          <w:b/>
        </w:rPr>
        <w:t xml:space="preserve">e a primeira dose calculada com incerteza propagada</w:t>
      </w:r>
      <w:r>
        <w:t xml:space="preserve"> </w:t>
      </w:r>
      <w:r>
        <w:t xml:space="preserve">— a banda A6 (0,0–2,6 µg/depósito no degrau humano; largura ≈53× = o que G0-A6 fecha) converte a regra de dose da Parte 3 em prognóstico de massa [claim:C038, C051, C052, C055–C057, C058–C060].</w:t>
      </w:r>
    </w:p>
    <w:p>
      <w:pPr>
        <w:pStyle w:val="BodyText"/>
      </w:pPr>
      <w:r>
        <w:rPr>
          <w:bCs/>
          <w:b/>
        </w:rPr>
        <w:t xml:space="preserve">OE4 (continuidade documentada como método) — alcançado.</w:t>
      </w:r>
      <w:r>
        <w:t xml:space="preserve"> </w:t>
      </w:r>
      <w:r>
        <w:t xml:space="preserve">Loop anti-hindsight; seleção de parceiro SLR-análogo (método, não seleção); freeze dormente [claim:C053].</w:t>
      </w:r>
    </w:p>
    <w:p>
      <w:pPr>
        <w:pStyle w:val="BodyText"/>
      </w:pPr>
      <w:r>
        <w:rPr>
          <w:bCs/>
          <w:b/>
        </w:rPr>
        <w:t xml:space="preserve">OE5 (revisão hostil + validação expressa) — alcançado.</w:t>
      </w:r>
      <w:r>
        <w:t xml:space="preserve"> </w:t>
      </w:r>
      <w:r>
        <w:t xml:space="preserve">R0–R3 dois perfis 0 BLOCKED; AST 9/9; registro 60 claims · 58 fontes · 65 N-fatos.</w:t>
      </w:r>
    </w:p>
    <w:p>
      <w:pPr>
        <w:pStyle w:val="BodyText"/>
      </w:pPr>
      <w:r>
        <w:rPr>
          <w:bCs/>
          <w:b/>
        </w:rPr>
        <w:t xml:space="preserve">Hipóteses.</w:t>
      </w:r>
      <w:r>
        <w:t xml:space="preserve"> </w:t>
      </w:r>
      <w:r>
        <w:t xml:space="preserve">H1 corroborada no nível documental (mapeamento análogo §7.4). H2 corroborada pelas predições travadas v1.0 e refutações reportadas como estão (hamster; v1.1 do estimador). H3 corroborada pelo posicionamento estrutural (Cap. 1.2; Cap. 2-fundamentação da Parte 2).</w:t>
      </w:r>
    </w:p>
    <w:p>
      <w:pPr>
        <w:pStyle w:val="BodyText"/>
      </w:pPr>
      <w:r>
        <w:rPr>
          <w:bCs/>
          <w:b/>
        </w:rPr>
        <w:t xml:space="preserve">Síntese final.</w:t>
      </w:r>
      <w:r>
        <w:t xml:space="preserve"> </w:t>
      </w:r>
      <w:r>
        <w:t xml:space="preserve">Esta tese é uma</w:t>
      </w:r>
      <w:r>
        <w:t xml:space="preserve"> </w:t>
      </w:r>
      <w:r>
        <w:rPr>
          <w:bCs/>
          <w:b/>
        </w:rPr>
        <w:t xml:space="preserve">etrização</w:t>
      </w:r>
      <w:r>
        <w:t xml:space="preserve"> </w:t>
      </w:r>
      <w:r>
        <w:t xml:space="preserve">— realizada, rotulada e auditável. O método produziu-a a partir exclusivamente de dados reais publicados e a entrega como prognóstico falseável: limiar, regras, escada de dose em banda, e o ensaio que fecha cada banda especificado.</w:t>
      </w:r>
      <w:r>
        <w:t xml:space="preserve"> </w:t>
      </w:r>
      <w:r>
        <w:rPr>
          <w:bCs/>
          <w:b/>
        </w:rPr>
        <w:t xml:space="preserve">Fecho epistemológico:</w:t>
      </w:r>
      <w:r>
        <w:t xml:space="preserve"> </w:t>
      </w:r>
      <w:r>
        <w:t xml:space="preserve">o que uma pesquisadora pode legítimamente produzir quando a doença mata em meses, o laboratório custa fortunas e os dados publicados estão disponíveis?</w:t>
      </w:r>
      <w:r>
        <w:t xml:space="preserve"> </w:t>
      </w:r>
      <w:r>
        <w:rPr>
          <w:bCs/>
          <w:b/>
        </w:rPr>
        <w:t xml:space="preserve">Prognóstico quantitativo, falseável e disciplinado por critérios</w:t>
      </w:r>
      <w:r>
        <w:t xml:space="preserve"> </w:t>
      </w:r>
      <w:r>
        <w:t xml:space="preserve">— com nome (etrização), método (P0–P6), garantias (5 requisitos) e honestidade sobre o que é e o que não é. Como o átomo tornou pesquisável o invisível, a etrização torna pesquisável o ainda-não-medido.</w:t>
      </w:r>
    </w:p>
    <w:p>
      <w:r>
        <w:pict>
          <v:rect style="width:0;height:1.5pt" o:hralign="center" o:hrstd="t" o:hr="t"/>
        </w:pict>
      </w:r>
    </w:p>
    <w:bookmarkEnd w:id="85"/>
    <w:bookmarkStart w:id="87" w:name="referências-58-fontes-do-registro"/>
    <w:p>
      <w:pPr>
        <w:pStyle w:val="Heading1"/>
      </w:pPr>
      <w:r>
        <w:t xml:space="preserve">REFERÊNCIAS (58 fontes do registro)</w:t>
      </w:r>
    </w:p>
    <w:p>
      <w:pPr>
        <w:pStyle w:val="FirstParagraph"/>
      </w:pPr>
      <w:r>
        <w:rPr>
          <w:iCs/>
          <w:i/>
        </w:rPr>
        <w:t xml:space="preserve">(Entradas [30]–[33] e [58] são artefatos deste programa; menções a µM em títulos referem-se à âncora ilustrativa — fechada pelo braço A6.)</w:t>
      </w:r>
    </w:p>
    <w:p>
      <w:pPr>
        <w:pStyle w:val="BodyText"/>
      </w:pPr>
      <w:r>
        <w:t xml:space="preserve">[1] ASANTE, E.A. et al. A naturally occurring variant of the human prion protein completely prevents prion disease. 2015. doi:10.1038/nature14510.</w:t>
      </w:r>
      <w:r>
        <w:t xml:space="preserve"> </w:t>
      </w:r>
      <w:r>
        <w:t xml:space="preserve">[2] MEAD, S. et al. A novel protective prion protein variant that colocalizes with kuru exposure. 2009. doi:10.1056/NEJMoa0809716.</w:t>
      </w:r>
      <w:r>
        <w:t xml:space="preserve"> </w:t>
      </w:r>
      <w:r>
        <w:t xml:space="preserve">[3] GATDULA, J.R. et al. Leveraging the dominant-negative effect of the kuru-protective G127V prion protein variant as a novel therapeutic. 2026. PMID 41757113.</w:t>
      </w:r>
      <w:r>
        <w:t xml:space="preserve"> </w:t>
      </w:r>
      <w:r>
        <w:t xml:space="preserve">[4] ZERBES, T. et al. A self-complementary recombinant adeno-associated virus vector coding for an anchorless prion protein carrying. 2026.</w:t>
      </w:r>
      <w:r>
        <w:t xml:space="preserve"> </w:t>
      </w:r>
      <w:r>
        <w:t xml:space="preserve">[5] HOSSZU, L.P. et al. Structural effects of the highly protective V127 polymorphism on human prion protein. 2020. doi:10.1038/s42003-020-01126-6.</w:t>
      </w:r>
      <w:r>
        <w:t xml:space="preserve"> </w:t>
      </w:r>
      <w:r>
        <w:t xml:space="preserve">[6] ZHENG, Z. et al. Structural basis for the complete resistance of the human prion protein mutant G127V to prion disease. 2018. doi:10.1038/s41598-018-31394-6.</w:t>
      </w:r>
      <w:r>
        <w:t xml:space="preserve"> </w:t>
      </w:r>
      <w:r>
        <w:t xml:space="preserve">[7] GROVEMAN, B.R. et al. Sporadic Creutzfeldt-Jakob disease prion infection of human cerebral organoids. 2019. doi:10.1186/s40478-019-0742-2.</w:t>
      </w:r>
      <w:r>
        <w:t xml:space="preserve"> </w:t>
      </w:r>
      <w:r>
        <w:t xml:space="preserve">[8] GROVEMAN, B.R. et al. Human cerebral organoids as a therapeutic drug screening model for Creutzfeldt-Jakob disease. 2021. doi:10.1038/s41598-021-84689-6.</w:t>
      </w:r>
      <w:r>
        <w:t xml:space="preserve"> </w:t>
      </w:r>
      <w:r>
        <w:t xml:space="preserve">[9] FORNARA, B. et al. The dynamics of prion spreading is governed by the interplay between the non-linearities of tissue response and. 2024. PMID 39717079.</w:t>
      </w:r>
      <w:r>
        <w:t xml:space="preserve"> </w:t>
      </w:r>
      <w:r>
        <w:t xml:space="preserve">[10] THORNE, R.G. et al. In vivo diffusion analysis with quantum dots and dextrans predicts extracellular space and tortuosity in brain. 2006. doi:10.1073/pnas.0509425103.</w:t>
      </w:r>
      <w:r>
        <w:t xml:space="preserve"> </w:t>
      </w:r>
      <w:r>
        <w:t xml:space="preserve">[11] MASEL, J. et al. Quantifying the kinetic parameters of prion replication. 1999. doi:10.1016/S0301-4622(99)00004-3.</w:t>
      </w:r>
      <w:r>
        <w:t xml:space="preserve"> </w:t>
      </w:r>
      <w:r>
        <w:t xml:space="preserve">[12] WILLIAMS, K. et al. Neural cell engraftment therapy for sporadic Creutzfeldt-Jakob disease restores neuroelectrophysiological para. 2023. doi:10.1186/s13287-023-03591-2.</w:t>
      </w:r>
      <w:r>
        <w:t xml:space="preserve"> </w:t>
      </w:r>
      <w:r>
        <w:t xml:space="preserve">[13] RELANO-GINES, A. et al. Prion replication occurs in endogenous adult neural stem cells and alters their neuronal fate. 2013. doi:10.1371/journal.ppat.1003485.</w:t>
      </w:r>
      <w:r>
        <w:t xml:space="preserve"> </w:t>
      </w:r>
      <w:r>
        <w:t xml:space="preserve">[14] GINHOUX, F. et al. Fate mapping analysis reveals that hematopoietic cells of yolk-sac origin give rise to microglia. 2010. doi:10.1126/science.1194637.</w:t>
      </w:r>
      <w:r>
        <w:t xml:space="preserve"> </w:t>
      </w:r>
      <w:r>
        <w:t xml:space="preserve">[15] SORRELLS, S.F. et al. Human hippocampal neurogenesis drops sharply in children to undetectable levels in adults. 2018. doi:10.1038/s41586-018-0336-4.</w:t>
      </w:r>
      <w:r>
        <w:t xml:space="preserve"> </w:t>
      </w:r>
      <w:r>
        <w:t xml:space="preserve">[16] ABUD, E.M. et al. iPSC-derived human microglia-like cells to study neurological diseases. 2017. PMID 28426964.</w:t>
      </w:r>
      <w:r>
        <w:t xml:space="preserve"> </w:t>
      </w:r>
      <w:r>
        <w:t xml:space="preserve">[17] HAN, X. et al. Generation of hypoimmunogenic human pluripotent stem cells. 2019. doi:10.1073/pnas.1902566116.</w:t>
      </w:r>
      <w:r>
        <w:t xml:space="preserve"> </w:t>
      </w:r>
      <w:r>
        <w:t xml:space="preserve">[18] HU, X. et al. Hypoimmune induced pluripotent stem cells survive long-term in fully immunocompetent allogeneic rhesus macaque. 2024. doi:10.1038/s41587-023-01784-x.</w:t>
      </w:r>
      <w:r>
        <w:t xml:space="preserve"> </w:t>
      </w:r>
      <w:r>
        <w:t xml:space="preserve">[19] XUE, Y. et al. Lipid nanoparticles enhance mRNA delivery to the central nervous system upon intrathecal injection. 2025. PMID 40317512.</w:t>
      </w:r>
      <w:r>
        <w:t xml:space="preserve"> </w:t>
      </w:r>
      <w:r>
        <w:t xml:space="preserve">[20] LIANG, Y. et al. The survival of engrafted neural stem cells within hyaluronic acid hydrogels. 2013. PMID 23623429.</w:t>
      </w:r>
      <w:r>
        <w:t xml:space="preserve"> </w:t>
      </w:r>
      <w:r>
        <w:t xml:space="preserve">[21] SHAH, S.Z. et al. Early minocycline and late FK506 treatment improves survival… in prion-infected hamsters (RETRACTED). 2017. doi:10.1007/s13311-020-00909-3.</w:t>
      </w:r>
      <w:r>
        <w:t xml:space="preserve"> </w:t>
      </w:r>
      <w:r>
        <w:t xml:space="preserve">[22] CHENG, S. et al. Minocycline reduces neuroinflammation but does not improve survival in prion-infected mice. 2015. doi:10.1038/srep10535.</w:t>
      </w:r>
      <w:r>
        <w:t xml:space="preserve"> </w:t>
      </w:r>
      <w:r>
        <w:t xml:space="preserve">[23] GENTILE, J.E. et al. Evidence that minocycline treatment confounds neurofilament light chain biomarker interpretation. 2024.</w:t>
      </w:r>
      <w:r>
        <w:t xml:space="preserve"> </w:t>
      </w:r>
      <w:r>
        <w:t xml:space="preserve">[24] SMID, J. et al. Creutzfeldt-Jakob disease associated with a missense mutation at codon 200 of the prion protein gene in Brazil. 2007.</w:t>
      </w:r>
      <w:r>
        <w:t xml:space="preserve"> </w:t>
      </w:r>
      <w:r>
        <w:t xml:space="preserve">[25] STOPSCHINSKI, B.E. et al. Prion-like mechanisms in neurodegenerative disease. 2017. doi:10.1016/S1474-4422(17)30370-6.</w:t>
      </w:r>
      <w:r>
        <w:t xml:space="preserve"> </w:t>
      </w:r>
      <w:r>
        <w:t xml:space="preserve">[26] JUCKER, M. et al. Propagation and spread of pathogenic protein assemblies in neurodegenerative diseases. 2018. doi:10.1038/s41586-018-0344-4.</w:t>
      </w:r>
      <w:r>
        <w:t xml:space="preserve"> </w:t>
      </w:r>
      <w:r>
        <w:t xml:space="preserve">[27] FDA. FDA grants accelerated approval of tofersen for SOD1-ALS. 2023.</w:t>
      </w:r>
      <w:r>
        <w:t xml:space="preserve"> </w:t>
      </w:r>
      <w:r>
        <w:t xml:space="preserve">[28] FDA. FDA approval of nusinersen (Spinraza) — regulatory record. 2016.</w:t>
      </w:r>
      <w:r>
        <w:t xml:space="preserve"> </w:t>
      </w:r>
      <w:r>
        <w:t xml:space="preserve">[29] BENGTSSON, S. et al. Clinical trial of stem-cell derived dopaminergic progenitor transplantation in Parkinson’s disease. 2026.</w:t>
      </w:r>
      <w:r>
        <w:t xml:space="preserve"> </w:t>
      </w:r>
      <w:r>
        <w:t xml:space="preserve">[30] OPEN PRION &amp; MOLECULAR ENGINEERING, CONSORTIUM. WS-7: ADR transport solver — self-tested design rules (this program). 2026. Disponível em: https://github.com/camillanapoles/quest003-prion-v127.</w:t>
      </w:r>
      <w:r>
        <w:t xml:space="preserve"> </w:t>
      </w:r>
      <w:r>
        <w:t xml:space="preserve">[31] OPEN PRION &amp; MOLECULAR ENGINEERING, CONSORTIUM. WS-8: hierarchical Bayesian calibration over structural analogues (this program). 2026. Disponível em: https://github.com/camillanapoles/quest003-prion-v127.</w:t>
      </w:r>
      <w:r>
        <w:t xml:space="preserve"> </w:t>
      </w:r>
      <w:r>
        <w:t xml:space="preserve">[32] OPEN PRION &amp; MOLECULAR ENGINEERING, CONSORTIUM. WS-9: humanized in-silico infection model with V127 capping (this program). 2026. Disponível em: https://github.com/camillanapoles/quest003-prion-v127.</w:t>
      </w:r>
      <w:r>
        <w:t xml:space="preserve"> </w:t>
      </w:r>
      <w:r>
        <w:t xml:space="preserve">[33] OPEN PRION &amp; MOLECULAR ENGINEERING, CONSORTIUM. Quest 003 repository — timestamped pre-registrations and audit trail. 2026. Disponível em: https://github.com/camillanapoles/quest003-prion-v127.</w:t>
      </w:r>
      <w:r>
        <w:t xml:space="preserve"> </w:t>
      </w:r>
      <w:r>
        <w:t xml:space="preserve">[34] GESCHWIND, M.D. et al. Quinacrine treatment trial for sporadic Creutzfeldt-Jakob disease. 2013. PMID 24122181.</w:t>
      </w:r>
      <w:r>
        <w:t xml:space="preserve"> </w:t>
      </w:r>
      <w:r>
        <w:t xml:space="preserve">[35] HAIK, S. et al. Doxycycline in Creutzfeldt-Jakob disease: a phase 2 trial. 2014. PMID 24411709.</w:t>
      </w:r>
      <w:r>
        <w:t xml:space="preserve"> </w:t>
      </w:r>
      <w:r>
        <w:t xml:space="preserve">[36] NEWMAN, P.K. et al. Postmortem findings in a case of variant CJD treated with intraventricular pentosan polysulfate. 2014. PMID 24554103.</w:t>
      </w:r>
      <w:r>
        <w:t xml:space="preserve"> </w:t>
      </w:r>
      <w:r>
        <w:t xml:space="preserve">[37] OTTO, M. et al. Efficacy of flupirtine on cognitive function in patients with CJD. 2004. doi:10.1212/01.WNL.0000113764.35026.ef.</w:t>
      </w:r>
      <w:r>
        <w:t xml:space="preserve"> </w:t>
      </w:r>
      <w:r>
        <w:t xml:space="preserve">[38] MEAD, S. et al. Prion protein monoclonal antibody (PRN100) therapy for Creutzfeldt-Jakob disease. 2022. PMID 35305340.</w:t>
      </w:r>
      <w:r>
        <w:t xml:space="preserve"> </w:t>
      </w:r>
      <w:r>
        <w:t xml:space="preserve">[39] CORRIDLON, T.L. et al. PrP turnover in vivo and the time to effect of prion disease therapeutics. 2026. PMID 42189860.</w:t>
      </w:r>
      <w:r>
        <w:t xml:space="preserve"> </w:t>
      </w:r>
      <w:r>
        <w:t xml:space="preserve">[40] L, F. et al. New implications for prion diseases therapy and prophylaxis. 2024. PMID 38500676.</w:t>
      </w:r>
      <w:r>
        <w:t xml:space="preserve"> </w:t>
      </w:r>
      <w:r>
        <w:t xml:space="preserve">[41] S, E.A. et al. From in silico prediction to experimental validation: drugs and novel synergistic combinations. 2025. PMID 41427337.</w:t>
      </w:r>
      <w:r>
        <w:t xml:space="preserve"> </w:t>
      </w:r>
      <w:r>
        <w:t xml:space="preserve">[42] M, S.W. et al. A structural basis for prion strain diversity. 2023. PMID 36646960.</w:t>
      </w:r>
      <w:r>
        <w:t xml:space="preserve"> </w:t>
      </w:r>
      <w:r>
        <w:t xml:space="preserve">[43] M, R. et al. Review: Role of Model-Informed Drug Development Approaches. 2022. PMID 35552984.</w:t>
      </w:r>
      <w:r>
        <w:t xml:space="preserve"> </w:t>
      </w:r>
      <w:r>
        <w:t xml:space="preserve">[44] T, K. et al. Insights from Therapeutic Studies for PrP Prion Disease. 2017. PMID 27836910.</w:t>
      </w:r>
      <w:r>
        <w:t xml:space="preserve"> </w:t>
      </w:r>
      <w:r>
        <w:t xml:space="preserve">[45] J, A. et al. The convergence of pharmacometrics and quantitative systems pharmacology. 2023. PMID 36638898.</w:t>
      </w:r>
      <w:r>
        <w:t xml:space="preserve"> </w:t>
      </w:r>
      <w:r>
        <w:t xml:space="preserve">[46] L, S.E. et al. In Silico Research Is Rewriting the Rules of Drug Development. 2025. PMID 40364863.</w:t>
      </w:r>
      <w:r>
        <w:t xml:space="preserve"> </w:t>
      </w:r>
      <w:r>
        <w:t xml:space="preserve">[47] N, Y. et al. Nationwide trend analysis of incidence and mortality of CJD (Japão). 2020. doi:10.1038/s41598-020-72519-0.</w:t>
      </w:r>
      <w:r>
        <w:t xml:space="preserve"> </w:t>
      </w:r>
      <w:r>
        <w:t xml:space="preserve">[48] G, M. et al. From In Silico Hypothesis to Validation: Role of Real-World Data. 2026. doi:10.3390/jcm15072801.</w:t>
      </w:r>
      <w:r>
        <w:t xml:space="preserve"> </w:t>
      </w:r>
      <w:r>
        <w:t xml:space="preserve">[49] A Meta-Synthetic Taxonomy of Foresight Methodologies. doi:10.2139/ssrn.5352605.</w:t>
      </w:r>
      <w:r>
        <w:t xml:space="preserve"> </w:t>
      </w:r>
      <w:r>
        <w:t xml:space="preserve">[50] M, S. et al. A cryo-EM structure of ex vivo RML prion fibrils. 2022. doi:10.1038/s41467-022-30457-7.</w:t>
      </w:r>
      <w:r>
        <w:t xml:space="preserve"> </w:t>
      </w:r>
      <w:r>
        <w:t xml:space="preserve">[51] WANG, L.Q. et al. Genetic prion disease mutation E196K cryo-EM fibril structure. 2021. doi:10.1126/sciadv.abg9676.</w:t>
      </w:r>
      <w:r>
        <w:t xml:space="preserve"> </w:t>
      </w:r>
      <w:r>
        <w:t xml:space="preserve">[52] CUMMINGS, J.L. et al. Drug repurposing for Alzheimer’s disease and other neurodegenerative disorders. 2025. doi:10.1038/s41467-025-56690-4.</w:t>
      </w:r>
      <w:r>
        <w:t xml:space="preserve"> </w:t>
      </w:r>
      <w:r>
        <w:t xml:space="preserve">[53] ZHENG, X. et al. Translational Informatics Driven Drug Repositioning for Neurodegenerative Diseases. 2025. doi:10.2174/011570159x327908241121062335.</w:t>
      </w:r>
      <w:r>
        <w:t xml:space="preserve"> </w:t>
      </w:r>
      <w:r>
        <w:t xml:space="preserve">[54] KAKOTI, B.B. et al. Therapeutic drug repositioning with special emphasis on neurodegenerative diseases. 2022. doi:10.3389/fphar.2022.1007315.</w:t>
      </w:r>
      <w:r>
        <w:t xml:space="preserve"> </w:t>
      </w:r>
      <w:r>
        <w:t xml:space="preserve">[55] Target Trial Emulation for Drug Repurposing in Neurodegenerative Disease. doi:10.1212/WN9.0000000000000112.</w:t>
      </w:r>
      <w:r>
        <w:t xml:space="preserve"> </w:t>
      </w:r>
      <w:r>
        <w:t xml:space="preserve">[56] RAMASUBBU, M.K. et al. Applying quantitative and systems pharmacology to drug development. 2024. doi:10.4103/ijp.ijp_644_23.</w:t>
      </w:r>
      <w:r>
        <w:t xml:space="preserve"> </w:t>
      </w:r>
      <w:r>
        <w:t xml:space="preserve">[57] CHEN, S.; YADAV, S.P.; SUREWICZ, W.K. Interaction between human prion protein and amyloid-beta (Aβ) oligomers: role of N-terminal residues. Journal of Biological Chemistry, 2010. doi:10.1074/jbc.M110.145516. PMID 20576610.</w:t>
      </w:r>
      <w:r>
        <w:t xml:space="preserve"> </w:t>
      </w:r>
      <w:r>
        <w:rPr>
          <w:iCs/>
          <w:i/>
        </w:rPr>
        <w:t xml:space="preserve">(Kd aparente 71 nM por SPR — proxy declarado da âncora ilustrativa κ↔µM; texto integral conferido.)</w:t>
      </w:r>
      <w:r>
        <w:t xml:space="preserve"> </w:t>
      </w:r>
      <w:r>
        <w:t xml:space="preserve">[58] OPEN PRION &amp; MOLECULAR ENGINEERING, CONSORTIUM. M3.1: dose-chain κ_req→µM→µg/deposit with GUM Type-B band + PrP MW from own sequences (this program). 2026. Disponível em: https://github.com/camillanapoles/quest003-prion-v127.</w:t>
      </w:r>
      <w:r>
        <w:t xml:space="preserve"> </w:t>
      </w:r>
      <w:r>
        <w:rPr>
          <w:iCs/>
          <w:i/>
        </w:rPr>
        <w:t xml:space="preserve">(JSON: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experiments/m31/m31_u1u2.json</w:t>
      </w:r>
      <w:r>
        <w:rPr>
          <w:iCs/>
          <w:i/>
        </w:rPr>
        <w:t xml:space="preserve">.)</w:t>
      </w:r>
    </w:p>
    <w:bookmarkStart w:id="86" w:name="X0e8293c776e2b2afcf3b4207772d4efc588edb0"/>
    <w:p>
      <w:pPr>
        <w:pStyle w:val="Heading3"/>
      </w:pPr>
      <w:r>
        <w:t xml:space="preserve">Fontes complementares (verificação completa pendente — snippet-level)</w:t>
      </w:r>
    </w:p>
    <w:p>
      <w:pPr>
        <w:numPr>
          <w:ilvl w:val="0"/>
          <w:numId w:val="1009"/>
        </w:numPr>
        <w:pStyle w:val="Compact"/>
      </w:pPr>
      <w:r>
        <w:t xml:space="preserve">CORTÉS-RÍOS, J. et al. A step-by-step workflow for performing in silico clinical trials. 2025. PMCID PMC12706418.</w:t>
      </w:r>
      <w:r>
        <w:t xml:space="preserve"> </w:t>
      </w:r>
      <w:r>
        <w:rPr>
          <w:iCs/>
          <w:i/>
        </w:rPr>
        <w:t xml:space="preserve">(abertura completa pendente antes de registro E)</w:t>
      </w:r>
    </w:p>
    <w:p>
      <w:pPr>
        <w:numPr>
          <w:ilvl w:val="0"/>
          <w:numId w:val="1009"/>
        </w:numPr>
        <w:pStyle w:val="Compact"/>
      </w:pPr>
      <w:r>
        <w:t xml:space="preserve">An open source statistical web application for validation of in-silico trials and virtual cohorts. 2025. doi:10.1038/s41598-025-99720-3.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X1c2f38414f27504124a750ab9aa28c342c478a4"/>
    <w:p>
      <w:pPr>
        <w:pStyle w:val="Heading1"/>
      </w:pPr>
      <w:r>
        <w:t xml:space="preserve">APÊNDICE A — Inventário dos artefatos da Parte 2 (verificável em disco)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Artefato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experiments/part2_theta_obs_v1.py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part2_results/part2_theta_obs_v1.json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estimador v1-NN: grade κ 1,5–8 + calibração unitária (veredito ADEQUADO pré-declarado)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experiments/part2_theta_obs_pooled.py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 declarado §2.7: mediana por braço n=8 (bias −0,008 na fronteira; modal 69%)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experiments/part2_theta_obs_v11.py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estimador interpolado IDW-2 —</w:t>
            </w:r>
            <w:r>
              <w:t xml:space="preserve"> </w:t>
            </w:r>
            <w:r>
              <w:rPr>
                <w:bCs/>
                <w:b/>
              </w:rPr>
              <w:t xml:space="preserve">testado e REJEITADO</w:t>
            </w:r>
            <w:r>
              <w:t xml:space="preserve"> </w:t>
            </w:r>
            <w:r>
              <w:t xml:space="preserve">(bias anti-conservador na fronteira; cobertura quebra em κ=8); JSON regenerado por script após truncamento da primeira execução (nota de integridade in-file)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executado (rejeitado)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experiments/part2_results/part2_derived_summary.json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tabela-decisão derivada (κ↔θ↔R↔biomassa↔margem) — zero novas simulações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experiments/part2_results/partner_selection_log.md</w:t>
            </w:r>
            <w:r>
              <w:t xml:space="preserve"> </w:t>
            </w:r>
            <w: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aplicação-piloto do método M4 (9 registros → 8 grupos → 2+1+3+2) — não-decisório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experiments/G0_EXECUTION_FREEZE_CHECKLIST.md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F1–F10 + GATE-F (M2 — dormant por reenquadramento)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experiments/REPARAM_LOOP.md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anti-hindsight de realimentação (M3)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experiments/PARTNER_SELECTION_PROTOCOL.md</w:t>
            </w:r>
            <w:r>
              <w:t xml:space="preserve"> </w:t>
            </w:r>
            <w:r>
              <w:t xml:space="preserve">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M4 (query bank + I/X + pesos + fluxo)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paper/guardian/guardian.py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--profile part2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da Parte 2 (inclui R3-BASE-VALIDADE BLOCKED)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operante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Nota de integridade da auditoria 27/08 (tarde): dois defeitos encontrados e corrigidos no próprio ato — JSON da v11 truncado por erro de serialização (regenerado por script salvo, seed idêntica, veredito idêntico) e sinal do bias pooled invertido na prosa (−0,008 conforme o JSON; corrigido nos três documentos). Ambos registrados aqui porque a auditoria que não publica suas correções não é auditoria.</w:t>
      </w:r>
    </w:p>
    <w:bookmarkStart w:id="89" w:name="referências-e-concordância"/>
    <w:p>
      <w:pPr>
        <w:pStyle w:val="Heading2"/>
      </w:pPr>
      <w:r>
        <w:t xml:space="preserve">REFERÊNCIAS E CONCORDÂNCIA</w:t>
      </w:r>
    </w:p>
    <w:bookmarkStart w:id="88" w:name="X9ce5b957f5dc85c2f6cfccd1f0f5723387b9924"/>
    <w:p>
      <w:pPr>
        <w:pStyle w:val="Heading3"/>
      </w:pPr>
      <w:r>
        <w:t xml:space="preserve">Concordância claims → referências (régua da autora: claim sem referência é inaceitável)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E001, E003, E005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[1], [3], 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E005, E006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[5], 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E010, E030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[10], [30]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E011, E030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[11], [30]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E017, E018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[17], [18]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E025, E026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[25], [26]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E030, E020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[30], [20]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E030, E019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[30], [19]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E032, E007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[32], 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E032, E007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[32], 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E032, E009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[32], [9]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E032, E009, E007, E033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[32], [9], [7], [33]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E032, E033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[32], [33]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E009, E010, E030, E031, E032, E033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[9], [10], [30], [31], [32], [33]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E032, E033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[32], [33]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E021, E022, E034, E035, E036, E037, E038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[21], [22], [34], [35], [36], [37], [38]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E032, E033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[32], [33]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E032, E033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[32], [33]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E009, E010, E031, E032, E033, E007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[9], [10], [31], [32], [33], [7]</w:t>
            </w:r>
          </w:p>
        </w:tc>
      </w:tr>
    </w:tbl>
    <w:bookmarkEnd w:id="88"/>
    <w:bookmarkEnd w:id="89"/>
    <w:bookmarkStart w:id="90" w:name="Xeb275a038583099cfb46b2322654844c21c5dce"/>
    <w:p>
      <w:pPr>
        <w:pStyle w:val="Heading2"/>
      </w:pPr>
      <w:r>
        <w:rPr>
          <w:iCs/>
          <w:i/>
        </w:rPr>
        <w:t xml:space="preserve">Parte 2 [SEM ANO] — o resultado define; as fases são estimativas. Toda cifra deste manuscrito vem de JSON arquivado ou do registro E (regra: nunca digitar valor). Gated: guardian R0–R3, 0 BLOCKED exigido.</w:t>
      </w:r>
    </w:p>
    <w:p>
      <w:pPr>
        <w:pStyle w:val="FirstParagraph"/>
      </w:pPr>
      <w:r>
        <w:rPr>
          <w:iCs/>
          <w:i/>
        </w:rPr>
        <w:t xml:space="preserve">Parte 2 [SEM ANO] — o resultado define; as fases são estimativas. Toda cifra vem de JSON arquivado ou do registro E (regra: nunca digitar valor). Gated: guardian R0–R3 perfil part2, 0 BLOCKED exigido. PT é o mestre; EN companion: manuscript_Parte2_v1_EN.md.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8" w:name="X1c8b50832457c682b8843bf2ca4531697f012cf"/>
    <w:p>
      <w:pPr>
        <w:pStyle w:val="Heading1"/>
      </w:pPr>
      <w:r>
        <w:t xml:space="preserve">APÊNDICE B — MAPA DA LÓGICA COMPLETA (de onde veio cada informação e como se conecta)</w:t>
      </w:r>
    </w:p>
    <w:bookmarkStart w:id="92" w:name="Xb095c77311f8507f9e6398adad52f5d9f8268d8"/>
    <w:p>
      <w:pPr>
        <w:pStyle w:val="Heading2"/>
      </w:pPr>
      <w:r>
        <w:t xml:space="preserve">B.1 Fluxo de informação: da literatura à conclusão</w:t>
      </w:r>
    </w:p>
    <w:p>
      <w:pPr>
        <w:pStyle w:val="FirstParagraph"/>
      </w:pPr>
      <w:r>
        <w:rPr>
          <w:bCs/>
          <w:b/>
        </w:rPr>
        <w:t xml:space="preserve">CAMADA 0 — Fonte primária (papers publicados):</w:t>
      </w:r>
      <w:r>
        <w:t xml:space="preserve"> </w:t>
      </w:r>
      <w:r>
        <w:t xml:space="preserve">Asante 2015 [E001] (Nature,</w:t>
      </w:r>
      <w:r>
        <w:t xml:space="preserve"> </w:t>
      </w:r>
      <w:r>
        <w:t xml:space="preserve">“</w:t>
      </w:r>
      <w:r>
        <w:t xml:space="preserve">V127 resiste a príons</w:t>
      </w:r>
      <w:r>
        <w:t xml:space="preserve">”</w:t>
      </w:r>
      <w:r>
        <w:t xml:space="preserve">) · Mead 2009 [E002] (NEJM,</w:t>
      </w:r>
      <w:r>
        <w:t xml:space="preserve"> </w:t>
      </w:r>
      <w:r>
        <w:t xml:space="preserve">“</w:t>
      </w:r>
      <w:r>
        <w:t xml:space="preserve">G127V seleção kuru</w:t>
      </w:r>
      <w:r>
        <w:t xml:space="preserve">”</w:t>
      </w:r>
      <w:r>
        <w:t xml:space="preserve">) · Groveman 2019 [E007] (Acta Neuropathol,</w:t>
      </w:r>
      <w:r>
        <w:t xml:space="preserve"> </w:t>
      </w:r>
      <w:r>
        <w:t xml:space="preserve">“</w:t>
      </w:r>
      <w:r>
        <w:t xml:space="preserve">Organoides infectam com sCJD</w:t>
      </w:r>
      <w:r>
        <w:t xml:space="preserve">”</w:t>
      </w:r>
      <w:r>
        <w:t xml:space="preserve">) — peer-reviewed.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CAMADA 1 — Verificação (auditoria de fonte):</w:t>
      </w:r>
      <w:r>
        <w:t xml:space="preserve"> </w:t>
      </w:r>
      <w:r>
        <w:t xml:space="preserve">cada fonte foi ABERTA (URL/DOI confirmado); identificadores verificados → E-registry; status</w:t>
      </w:r>
      <w:r>
        <w:t xml:space="preserve"> </w:t>
      </w:r>
      <w:r>
        <w:rPr>
          <w:iCs/>
          <w:i/>
        </w:rPr>
        <w:t xml:space="preserve">verified</w:t>
      </w:r>
      <w:r>
        <w:t xml:space="preserve"> </w:t>
      </w:r>
      <w:r>
        <w:t xml:space="preserve">(quem abriu, quando, como).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CAMADA 2 — Claim registry (afirmações extraídas):</w:t>
      </w:r>
      <w:r>
        <w:t xml:space="preserve"> </w:t>
      </w:r>
      <w:r>
        <w:t xml:space="preserve">C001</w:t>
      </w:r>
      <w:r>
        <w:t xml:space="preserve"> </w:t>
      </w:r>
      <w:r>
        <w:t xml:space="preserve">“</w:t>
      </w:r>
      <w:r>
        <w:t xml:space="preserve">V127/V127 resiste completamente</w:t>
      </w:r>
      <w:r>
        <w:t xml:space="preserve">”</w:t>
      </w:r>
      <w:r>
        <w:t xml:space="preserve"> </w:t>
      </w:r>
      <w:r>
        <w:t xml:space="preserve">[E001] · C003</w:t>
      </w:r>
      <w:r>
        <w:t xml:space="preserve"> </w:t>
      </w:r>
      <w:r>
        <w:t xml:space="preserve">“</w:t>
      </w:r>
      <w:r>
        <w:t xml:space="preserve">DN dose-dependente</w:t>
      </w:r>
      <w:r>
        <w:t xml:space="preserve">”</w:t>
      </w:r>
      <w:r>
        <w:t xml:space="preserve"> </w:t>
      </w:r>
      <w:r>
        <w:t xml:space="preserve">[E001,E003,E005] · C005</w:t>
      </w:r>
      <w:r>
        <w:t xml:space="preserve"> </w:t>
      </w:r>
      <w:r>
        <w:t xml:space="preserve">“</w:t>
      </w:r>
      <w:r>
        <w:t xml:space="preserve">anchorless trans DN</w:t>
      </w:r>
      <w:r>
        <w:t xml:space="preserve">”</w:t>
      </w:r>
      <w:r>
        <w:t xml:space="preserve"> </w:t>
      </w:r>
      <w:r>
        <w:t xml:space="preserve">[E003] · C010</w:t>
      </w:r>
      <w:r>
        <w:t xml:space="preserve"> </w:t>
      </w:r>
      <w:r>
        <w:t xml:space="preserve">“</w:t>
      </w:r>
      <w:r>
        <w:t xml:space="preserve">âncoras de relógio 25-28/35/169 dpi</w:t>
      </w:r>
      <w:r>
        <w:t xml:space="preserve">”</w:t>
      </w:r>
      <w:r>
        <w:t xml:space="preserve"> </w:t>
      </w:r>
      <w:r>
        <w:t xml:space="preserve">[E007] · C011</w:t>
      </w:r>
      <w:r>
        <w:t xml:space="preserve"> </w:t>
      </w:r>
      <w:r>
        <w:t xml:space="preserve">“</w:t>
      </w:r>
      <w:r>
        <w:t xml:space="preserve">títulos MV2 vs MV1</w:t>
      </w:r>
      <w:r>
        <w:t xml:space="preserve"> </w:t>
      </w:r>
      <w:r>
        <w:t xml:space="preserve">@169dpi</w:t>
      </w:r>
      <w:r>
        <w:t xml:space="preserve">”</w:t>
      </w:r>
      <w:r>
        <w:t xml:space="preserve"> </w:t>
      </w:r>
      <w:r>
        <w:t xml:space="preserve">[E007].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CAMADA 3 — Parâmetros (números com proveniência):</w:t>
      </w:r>
      <w:r>
        <w:t xml:space="preserve"> </w:t>
      </w:r>
      <w:r>
        <w:t xml:space="preserve">α=0,20 e λ=1,8 ← Thorne &amp; Nicholson 2006 [E010] (in-vivo, humano) · D₀=1,25×10⁻¹⁰ m²/s ← Stokes-Einstein (R_h≈2,5 nm, ~30 kDa) · D_eff=3,86×10⁻¹¹ ← D₀/λ² (derivado) · k_eff=10⁻⁶–10⁻⁵ ← Masel 1999 [E011] · t_dupl=12,1 d ← 134d/log₂(2130) [E007] · 1 unidade=144 d ← t_dupl/t_dupl_sim [E032].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CAMADA 4 — Modelo matemático (equações com parâmetros):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t>c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∇</m:t>
              </m:r>
              <m:r>
                <m:t>c</m:t>
              </m:r>
            </m:e>
          </m:d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rPr>
              <m:sty m:val="p"/>
            </m:rPr>
            <m:t>∇</m:t>
          </m:r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v</m:t>
              </m:r>
              <m:r>
                <m:t> </m:t>
              </m:r>
              <m:r>
                <m:t>c</m:t>
              </m:r>
            </m:e>
          </m:d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</m:e>
          </m:d>
          <m:r>
            <m:t> </m:t>
          </m:r>
          <m:r>
            <m:rPr>
              <m:sty m:val="p"/>
            </m:rPr>
            <m:t>−</m:t>
          </m:r>
          <m:r>
            <m:t> 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t> </m:t>
          </m:r>
          <m:r>
            <m:t>c</m:t>
          </m:r>
        </m:oMath>
      </m:oMathPara>
    </w:p>
    <w:p>
      <w:pPr>
        <w:pStyle w:val="FirstParagraph"/>
      </w:pPr>
      <w:r>
        <w:t xml:space="preserve">→ solver WS-7 (volumes finitos, 192², auto-testado) · freeS(r)=(1+κ·c_V127(r))⁻² → modelo WS-9 (campo-médio, 96², humanizado) · θ≡(1+κ·c_pico)⁻¹ → definição formal (a fração de replicação que resta).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CAMADA 5 — Execução [SIM]:</w:t>
      </w:r>
      <w:r>
        <w:t xml:space="preserve"> </w:t>
      </w:r>
      <w:r>
        <w:t xml:space="preserve">sweeps (S1/S2/S3), grade κ, calibração do estimador; runs arquivados com hash; reprodução em 2 ambientes.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CAMADA 6 — Colheita com critérios pré-declarados:</w:t>
      </w:r>
      <w:r>
        <w:t xml:space="preserve"> </w:t>
      </w:r>
      <w:r>
        <w:t xml:space="preserve">veredito ADEQUADO na fronteira; refutações reportadas (hamster; v1.1).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CAMADA 7 — Prognósticos travados por release:</w:t>
      </w:r>
      <w:r>
        <w:t xml:space="preserve"> </w:t>
      </w:r>
      <w:r>
        <w:t xml:space="preserve">θ*=0,333 (v1.0); regras 1-3; banda A6 (C058-C060).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CAMADA 8 — Conclusões da tese:</w:t>
      </w:r>
      <w:r>
        <w:t xml:space="preserve"> </w:t>
      </w:r>
      <w:r>
        <w:t xml:space="preserve">método (etrização P0-P6) + prognóstico (θ*, regras) + dupla potencialidade (cura + restauração [C016]) + ressalva (não aplicar em humanos sem validação experimental).</w:t>
      </w:r>
    </w:p>
    <w:bookmarkEnd w:id="92"/>
    <w:bookmarkStart w:id="93" w:name="Xcf01aafabbe100b4fa70984246fa3859d33e508"/>
    <w:p>
      <w:pPr>
        <w:pStyle w:val="Heading2"/>
      </w:pPr>
      <w:r>
        <w:t xml:space="preserve">B.2 Decisões-chave: por que cada escolha foi feita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Alternativa considerada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esta foi escolhida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V127 como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ASO (reduzir PrP)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 preserva PrP nativo (função sináptica); ASO depleta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Anchorless (sem GPI)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V127 de membrana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Gatdula 2026: funciona em trans; contém vizinhas; é difusível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 determinístico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Manter Gillespie estocástico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Mean-field permite sweep sistemático; estocástico é barulhento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Reescala global de 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Re-ajustar cada taxa individualmente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um grau de liberdade calibrável (relógio de Groveman); re-ajustar 6+ taxas seria sobreajuste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freeS quadrático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freeS 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Assumimos conversão de 2 participantes; a alternativa é TESTÁVEL (predição discriminadora)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 como limiar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(raio) como limiar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 é adimensional (comparável entre subtipos); R satura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P(G0)=36.6%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P(G0)=62% estrutural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lentes mantidas separadas: a empírica (36.6%) é conservadora; a estrutural (62%) é arquivada sem mescla</w:t>
            </w:r>
          </w:p>
        </w:tc>
      </w:tr>
    </w:tbl>
    <w:bookmarkEnd w:id="93"/>
    <w:bookmarkStart w:id="94" w:name="Xdbd2d3afb06ea8b7c43e8dc5eb7e17a11a670c9"/>
    <w:p>
      <w:pPr>
        <w:pStyle w:val="Heading2"/>
      </w:pPr>
      <w:r>
        <w:t xml:space="preserve">B.3 Rejeições documentadas (o que NÃO funcionou e por quê)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 que foi rejeitado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está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v1.1-IDW (estimador interpolado)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PIOROU a fronteira de decisão (bias −0.037, direção anti-conservadora)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part2_theta_obs_v11.json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SVZ como fábrica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Nicho humano quiescente + replica príon (refutação dupla)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R-1 no canon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Bialélico como suficiente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Heterozigoto é infectável por vCJD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R-2 no canon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Ensaio retraído (minociclina/FK506)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Retraído em 2020; ainda circulava como evidência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Excluído por regra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NSC→micróglia via transdiferenciação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Ginhoux 2010: linhagem impossível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Corrigido → co-enxerto iMG</w:t>
            </w:r>
          </w:p>
        </w:tc>
      </w:tr>
    </w:tbl>
    <w:bookmarkEnd w:id="94"/>
    <w:bookmarkStart w:id="95" w:name="X84d99733663aa80973dd6b1a4042ae291bb8b97"/>
    <w:p>
      <w:pPr>
        <w:pStyle w:val="Heading2"/>
      </w:pPr>
      <w:r>
        <w:t xml:space="preserve">B.4 Glossário contextual (todo termo técnico definido onde aparece)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 na tese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Primeira aparição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etrização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de continuar pesquisa por simulação com dados reais [C054]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à Leitura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fração de replicação remanescente no pico secretor (1+κc)⁻¹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força de capping (capacidade do V127ΔGPI de bloquear conversão)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G0-sim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computacional executado e aprovado (T1/T2/T3)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G0-wet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de organoide especificado mas não executado (dormant)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[SIM]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 produzido por simulação parametrizada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saída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[ORGANOID]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 de laboratório com organoide (inexistente ainda)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dominante-negativo: V127 bloqueia conversão de PrP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limiar de contenção: acima dele a frente é contida (0.333)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fração de substrato livre após capping: (1+κc)⁻²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</w:tr>
    </w:tbl>
    <w:bookmarkEnd w:id="95"/>
    <w:bookmarkStart w:id="96" w:name="b.5-prejulgando-objeções-da-banca"/>
    <w:p>
      <w:pPr>
        <w:pStyle w:val="Heading2"/>
      </w:pPr>
      <w:r>
        <w:t xml:space="preserve">B.5 Prejulgando objeções da banca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Objeção provável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que está na tese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Você não tem dados experimentais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é uma tese de METODOLOGIA com achados de simulação auditada; a descoberta biológica virá do G0-wet; a tese entrega método + prognóstico travado + dupla potencialidade declarada com ressalva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simulação não substitui o laboratório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Correto — e a tese DECLARA isto na Base de Validade (§5.3):</w:t>
            </w:r>
            <w:r>
              <w:t xml:space="preserve"> </w:t>
            </w:r>
            <w:r>
              <w:t xml:space="preserve">“</w:t>
            </w:r>
            <w:r>
              <w:t xml:space="preserve">não substitui; estimula P&amp;D ágil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Como sei que os números são reais?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número tem fonte E-ID com hash; cada fonte foi aberta e verificada; a reprodução em 2 ambientes confirmou os valores; a tabela de concordância claims→refs (no fim) permite auditoria linha por linha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“Por que confiar no θ*=0.333?”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uma PREDIÇÃO, não uma descoberta; foi travada antes de qualquer dado; o estimador θ_obs está calibrado para testá-la; o modelo tem 3 frentes de falseabilidade (θ, C50, dose-resposta)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Isto é filosofia, não ciência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metodologia com 38 fontes verificadas, 54 claims com hash, 48 fatos numéricos, equações com proveniência, simulação reproduzida, revisão hostil de máquina, e pré-registro timestampado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Como se aplica a Alzheimer?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§5.2-bis: exemplo concreto P0→P5; MAS: para Aβ não existe variante protetora natural (V127 era do kuru); o agente teria de ser engenheirado — incerteza adicional declarada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apêndices-cf"/>
    <w:p>
      <w:pPr>
        <w:pStyle w:val="Heading2"/>
      </w:pPr>
      <w:r>
        <w:t xml:space="preserve">APÊNDICES C–F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 — SAP completo do G0-wet</w:t>
      </w:r>
      <w:r>
        <w:t xml:space="preserve"> </w:t>
      </w:r>
      <w:r>
        <w:t xml:space="preserve">(§8.3 freeze F1–F10; Welch/Holm; cegamento; kill-switches; GATE-F).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 — Tabela-decisão derivada</w:t>
      </w:r>
      <w:r>
        <w:t xml:space="preserve"> </w:t>
      </w:r>
      <w:r>
        <w:t xml:space="preserve">(κ↔θ_obs↔frente↔biomassa↔margem;</w:t>
      </w:r>
      <w:r>
        <w:t xml:space="preserve"> </w:t>
      </w:r>
      <w:r>
        <w:rPr>
          <w:rStyle w:val="VerbatimChar"/>
        </w:rPr>
        <w:t xml:space="preserve">part2_derived_summary.json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 — Custo-cotação S1</w:t>
      </w:r>
      <w:r>
        <w:t xml:space="preserve"> </w:t>
      </w:r>
      <w:r>
        <w:t xml:space="preserve">(por braço; cotações arquivadas).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 — Linhagem da Base de Validade</w:t>
      </w:r>
      <w:r>
        <w:t xml:space="preserve"> </w:t>
      </w:r>
      <w:r>
        <w:t xml:space="preserve">(tabela §7.3 com hashes e paths).</w:t>
      </w:r>
    </w:p>
    <w:p>
      <w:pPr>
        <w:pStyle w:val="FirstParagraph"/>
      </w:pPr>
      <w:r>
        <w:rPr>
          <w:iCs/>
          <w:i/>
        </w:rPr>
        <w:t xml:space="preserve">Edição unificada [SEM ANO] — o resultado define; as fases são estimativas. Toda cifra vem de JSON arquivado ou do registro E (regra: nunca digitar valor). Gated: guardian R0–R3, 0 BLOCKED exigido; AST 9/9.</w:t>
      </w:r>
    </w:p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2026-09-02T03:00:33Z</dcterms:created>
  <dcterms:modified xsi:type="dcterms:W3CDTF">2026-09-02T03:00:33Z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