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color w:val="666666"/>
          <w:sz w:val="16"/>
          <w:szCs w:val="16"/>
        </w:rPr>
        <w:t xml:space="preserve">OCDE – Étude de cas France – Proposition à la DGE</w:t>
      </w:r>
    </w:p>
    <w:p>
      <w:pPr>
        <w:spacing w:after="100"/>
      </w:pPr>
      <w:r>
        <w:rPr>
          <w:b/>
          <w:bCs/>
          <w:color w:val="1A1A1A"/>
          <w:sz w:val="32"/>
          <w:szCs w:val="32"/>
        </w:rPr>
        <w:t xml:space="preserve">Proposition de missions d'entretiens dans les villes ACV</w:t>
      </w:r>
    </w:p>
    <w:p>
      <w:pPr>
        <w:pBdr>
          <w:bottom w:val="single" w:color="1A1A1A" w:sz="6"/>
        </w:pBdr>
        <w:spacing w:after="200"/>
      </w:pPr>
      <w:r>
        <w:rPr>
          <w:color w:val="666666"/>
          <w:sz w:val="18"/>
          <w:szCs w:val="18"/>
        </w:rPr>
        <w:t xml:space="preserve">Huit villes Action Cœur de Ville qui se démarquent · octobre 2026 · Document de travail</w:t>
      </w:r>
    </w:p>
    <w:p>
      <w:pPr>
        <w:spacing w:after="160" w:line="264"/>
      </w:pPr>
      <w:r>
        <w:rPr>
          <w:color w:val="666666"/>
          <w:sz w:val="17"/>
          <w:szCs w:val="17"/>
        </w:rPr>
        <w:t xml:space="preserve">« Commerces employeurs » : commerces de détail en magasin employant au moins un salarié, dans un rayon de 300 à 700 m autour de la mairie (calculs de l'auteur à partir d'Insee, Sirene). Ces éléments montrent des évolutions favorables, sans prouver l'effet du programme : c'est l'objet des entretiens.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6338"/>
      </w:tblGrid>
      <w:tr>
        <w:trPr>
          <w:tblHeader/>
        </w:trPr>
        <w:tc>
          <w:tcPr>
            <w:tcW w:type="dxa" w:w="1800"/>
            <w:tcBorders>
              <w:top w:val="single" w:color="1A1A1A" w:sz="8"/>
              <w:left w:val="none" w:color="FFFFFF" w:sz="0"/>
              <w:bottom w:val="single" w:color="1A1A1A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A1A1A"/>
                <w:sz w:val="18"/>
                <w:szCs w:val="18"/>
              </w:rPr>
              <w:t xml:space="preserve">Ville</w:t>
            </w:r>
          </w:p>
        </w:tc>
        <w:tc>
          <w:tcPr>
            <w:tcW w:type="dxa" w:w="1500"/>
            <w:tcBorders>
              <w:top w:val="single" w:color="1A1A1A" w:sz="8"/>
              <w:left w:val="none" w:color="FFFFFF" w:sz="0"/>
              <w:bottom w:val="single" w:color="1A1A1A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A1A1A"/>
                <w:sz w:val="18"/>
                <w:szCs w:val="18"/>
              </w:rPr>
              <w:t xml:space="preserve">Région</w:t>
            </w:r>
          </w:p>
        </w:tc>
        <w:tc>
          <w:tcPr>
            <w:tcW w:type="dxa" w:w="6338"/>
            <w:tcBorders>
              <w:top w:val="single" w:color="1A1A1A" w:sz="8"/>
              <w:left w:val="none" w:color="FFFFFF" w:sz="0"/>
              <w:bottom w:val="single" w:color="1A1A1A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A1A1A"/>
                <w:sz w:val="18"/>
                <w:szCs w:val="18"/>
              </w:rPr>
              <w:t xml:space="preserve">Pourquoi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Bressuire</w:t>
            </w:r>
          </w:p>
          <w:p>
            <w:r>
              <w:rPr>
                <w:color w:val="666666"/>
                <w:sz w:val="16"/>
                <w:szCs w:val="16"/>
              </w:rPr>
              <w:t xml:space="preserve">19 900 hab.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Nouvelle-Aquitaine</w:t>
            </w:r>
          </w:p>
        </w:tc>
        <w:tc>
          <w:tcPr>
            <w:tcW w:type="dxa" w:w="6338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La plus forte baisse durable de vacance commerciale mesurée parmi les villes du programme.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sz w:val="17"/>
                <w:szCs w:val="17"/>
              </w:rPr>
              <w:t xml:space="preserve">Vacance commerciale du centre-ville divisée par deux : </w:t>
            </w:r>
            <w:r>
              <w:rPr>
                <w:b/>
                <w:bCs/>
                <w:sz w:val="17"/>
                <w:szCs w:val="17"/>
              </w:rPr>
              <w:t xml:space="preserve">17,9 % en 2019, 8,6 % en 2025</w:t>
            </w:r>
            <w:r>
              <w:rPr>
                <w:sz w:val="17"/>
                <w:szCs w:val="17"/>
              </w:rPr>
              <w:t xml:space="preserve"> (−9,3 points), avec une baisse presque chaque année (baromètre Codata 2026). La moyenne des communes Action Cœur de Ville est de 14,5 % en 2025 (atlas ANCT).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sz w:val="17"/>
                <w:szCs w:val="17"/>
              </w:rPr>
              <w:t xml:space="preserve">Le recul des commerces employeurs s'est presque arrêté : 50 en 2012, 43 en 2019, 42 en 2025.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sz w:val="17"/>
                <w:szCs w:val="17"/>
              </w:rPr>
              <w:t xml:space="preserve">Habitat attractif : moins de 3 % de logements vides depuis deux ans ou plus, ventes immobilières en hausse depuis 2018.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sz w:val="17"/>
                <w:szCs w:val="17"/>
              </w:rPr>
              <w:t xml:space="preserve">Démarches du programme : accompagnement en transition écologique (Cerema et ANCT), design actif.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Sète et Frontignan</w:t>
            </w:r>
          </w:p>
          <w:p>
            <w:r>
              <w:rPr>
                <w:color w:val="666666"/>
                <w:sz w:val="16"/>
                <w:szCs w:val="16"/>
              </w:rPr>
              <w:t xml:space="preserve">44 700 et 23 800 hab.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Occitanie</w:t>
            </w:r>
          </w:p>
        </w:tc>
        <w:tc>
          <w:tcPr>
            <w:tcW w:type="dxa" w:w="6338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La réussite la plus solide : le commerce de centre-ville repart et la vacance est basse, à l'échelle du bassin de Thau.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sz w:val="17"/>
                <w:szCs w:val="17"/>
              </w:rPr>
              <w:t xml:space="preserve">Sète : </w:t>
            </w:r>
            <w:r>
              <w:rPr>
                <w:b/>
                <w:bCs/>
                <w:sz w:val="17"/>
                <w:szCs w:val="17"/>
              </w:rPr>
              <w:t xml:space="preserve">180 commerces employeurs en 2012, 153 en 2019, 174 en 2025</w:t>
            </w:r>
            <w:r>
              <w:rPr>
                <w:sz w:val="17"/>
                <w:szCs w:val="17"/>
              </w:rPr>
              <w:t xml:space="preserve"> (+14 % depuis 2019). L'ensemble des établissements progresse aussi (+3 %).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sz w:val="17"/>
                <w:szCs w:val="17"/>
              </w:rPr>
              <w:t xml:space="preserve">Vacance commerciale en baisse de 4,4 points entre 2018 et 2022 (FACT et Codata), entre 5 et 10 % en 2025.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sz w:val="17"/>
                <w:szCs w:val="17"/>
              </w:rPr>
              <w:t xml:space="preserve">Habitat : 3 à 4 % de logements vides depuis deux ans ou plus, ventes en hausse.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sz w:val="17"/>
                <w:szCs w:val="17"/>
              </w:rPr>
              <w:t xml:space="preserve">L'agglomération Sète Agglopôle Méditerranée est </w:t>
            </w:r>
            <w:r>
              <w:rPr>
                <w:b/>
                <w:bCs/>
                <w:sz w:val="17"/>
                <w:szCs w:val="17"/>
              </w:rPr>
              <w:t xml:space="preserve">territoire pilote de sobriété foncière depuis 2020</w:t>
            </w:r>
            <w:r>
              <w:rPr>
                <w:sz w:val="17"/>
                <w:szCs w:val="17"/>
              </w:rPr>
              <w:t xml:space="preserve"> : elle cherche à limiter l'étalement urbain.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sz w:val="17"/>
                <w:szCs w:val="17"/>
              </w:rPr>
              <w:t xml:space="preserve">Frontignan, voisine : </w:t>
            </w:r>
            <w:r>
              <w:rPr>
                <w:b/>
                <w:bCs/>
                <w:sz w:val="17"/>
                <w:szCs w:val="17"/>
              </w:rPr>
              <w:t xml:space="preserve">vacance commerciale sous 5 %</w:t>
            </w:r>
            <w:r>
              <w:rPr>
                <w:sz w:val="17"/>
                <w:szCs w:val="17"/>
              </w:rPr>
              <w:t xml:space="preserve">, moins de 3 % de logements vides, ventes en hausse, commerces en légère hausse (30 → 33).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Creil</w:t>
            </w:r>
          </w:p>
          <w:p>
            <w:r>
              <w:rPr>
                <w:color w:val="666666"/>
                <w:sz w:val="16"/>
                <w:szCs w:val="16"/>
              </w:rPr>
              <w:t xml:space="preserve">36 100 hab.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Hauts-de-France</w:t>
            </w:r>
          </w:p>
        </w:tc>
        <w:tc>
          <w:tcPr>
            <w:tcW w:type="dxa" w:w="6338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Le plus fort rebond du commerce de centre-ville parmi les 228 villes du programme.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sz w:val="17"/>
                <w:szCs w:val="17"/>
              </w:rPr>
              <w:t xml:space="preserve">Commerces employeurs : 59 en 2012, 40 en 2019 (−32 %), </w:t>
            </w:r>
            <w:r>
              <w:rPr>
                <w:b/>
                <w:bCs/>
                <w:sz w:val="17"/>
                <w:szCs w:val="17"/>
              </w:rPr>
              <w:t xml:space="preserve">55 en 2025 (+38 %)</w:t>
            </w:r>
            <w:r>
              <w:rPr>
                <w:sz w:val="17"/>
                <w:szCs w:val="17"/>
              </w:rPr>
              <w:t xml:space="preserve">. L'ensemble des établissements progresse de 13 %.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sz w:val="17"/>
                <w:szCs w:val="17"/>
              </w:rPr>
              <w:t xml:space="preserve">Vacance commerciale entre 10 et 15 % en 2025.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sz w:val="17"/>
                <w:szCs w:val="17"/>
              </w:rPr>
              <w:t xml:space="preserve">Population en hausse (+3 % entre 2014 et 2020), ventes immobilières en hausse.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sz w:val="17"/>
                <w:szCs w:val="17"/>
              </w:rPr>
              <w:t xml:space="preserve">Démarches du programme : transition écologique, design actif.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Draguignan</w:t>
            </w:r>
          </w:p>
          <w:p>
            <w:r>
              <w:rPr>
                <w:color w:val="666666"/>
                <w:sz w:val="16"/>
                <w:szCs w:val="16"/>
              </w:rPr>
              <w:t xml:space="preserve">39 700 hab.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Provence-Alpes-Côte d'Azur</w:t>
            </w:r>
          </w:p>
        </w:tc>
        <w:tc>
          <w:tcPr>
            <w:tcW w:type="dxa" w:w="6338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Un déclin enrayé par une stratégie sur plusieurs axes : patrimoine, foncier, commerce.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sz w:val="17"/>
                <w:szCs w:val="17"/>
              </w:rPr>
              <w:t xml:space="preserve">Commerces employeurs : 138 en 2012, 95 en 2019 (−31 %), </w:t>
            </w:r>
            <w:r>
              <w:rPr>
                <w:b/>
                <w:bCs/>
                <w:sz w:val="17"/>
                <w:szCs w:val="17"/>
              </w:rPr>
              <w:t xml:space="preserve">91 en 2025 (−4 %)</w:t>
            </w:r>
            <w:r>
              <w:rPr>
                <w:sz w:val="17"/>
                <w:szCs w:val="17"/>
              </w:rPr>
              <w:t xml:space="preserve"> : le recul s'est presque arrêté, et l'ensemble des établissements est stable.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sz w:val="17"/>
                <w:szCs w:val="17"/>
              </w:rPr>
              <w:t xml:space="preserve">Vacance commerciale entre 10 et 15 % en 2025.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sz w:val="17"/>
                <w:szCs w:val="17"/>
              </w:rPr>
              <w:t xml:space="preserve">Habitat : 3 à 4 % de logements vides, ventes en hausse.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b/>
                <w:bCs/>
                <w:sz w:val="17"/>
                <w:szCs w:val="17"/>
              </w:rPr>
              <w:t xml:space="preserve">Lauréat de « Réinventons nos cœurs de ville »</w:t>
            </w:r>
            <w:r>
              <w:rPr>
                <w:sz w:val="17"/>
                <w:szCs w:val="17"/>
              </w:rPr>
              <w:t xml:space="preserve"> (reconversion d'un site patrimonial vacant) et </w:t>
            </w:r>
            <w:r>
              <w:rPr>
                <w:b/>
                <w:bCs/>
                <w:sz w:val="17"/>
                <w:szCs w:val="17"/>
              </w:rPr>
              <w:t xml:space="preserve">territoire pilote de sobriété foncière depuis 2020</w:t>
            </w:r>
            <w:r>
              <w:rPr>
                <w:sz w:val="17"/>
                <w:szCs w:val="17"/>
              </w:rPr>
              <w:t xml:space="preserve"> (Dracénie Provence Verdon Agglomération).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Vitry-le-François</w:t>
            </w:r>
          </w:p>
          <w:p>
            <w:r>
              <w:rPr>
                <w:color w:val="666666"/>
                <w:sz w:val="16"/>
                <w:szCs w:val="16"/>
              </w:rPr>
              <w:t xml:space="preserve">11 500 hab.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Grand Est</w:t>
            </w:r>
          </w:p>
        </w:tc>
        <w:tc>
          <w:tcPr>
            <w:tcW w:type="dxa" w:w="6338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Le commerce repart alors que la ville perd des habitants.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sz w:val="17"/>
                <w:szCs w:val="17"/>
              </w:rPr>
              <w:t xml:space="preserve">Commerces employeurs : 56 en 2012, 41 en 2019 (−27 %), </w:t>
            </w:r>
            <w:r>
              <w:rPr>
                <w:b/>
                <w:bCs/>
                <w:sz w:val="17"/>
                <w:szCs w:val="17"/>
              </w:rPr>
              <w:t xml:space="preserve">50 en 2025 (+22 %)</w:t>
            </w:r>
            <w:r>
              <w:rPr>
                <w:sz w:val="17"/>
                <w:szCs w:val="17"/>
              </w:rPr>
              <w:t xml:space="preserve">. L'ensemble des établissements progresse aussi (+9 %).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sz w:val="17"/>
                <w:szCs w:val="17"/>
              </w:rPr>
              <w:t xml:space="preserve">Vacance commerciale entre 5 et 10 % en 2025.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sz w:val="17"/>
                <w:szCs w:val="17"/>
              </w:rPr>
              <w:t xml:space="preserve">Contexte défavorable : population en forte baisse (−12,8 % entre 2014 et 2020) et vacance des logements élevée (plus de 7 %).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Vitré</w:t>
            </w:r>
          </w:p>
          <w:p>
            <w:r>
              <w:rPr>
                <w:color w:val="666666"/>
                <w:sz w:val="16"/>
                <w:szCs w:val="16"/>
              </w:rPr>
              <w:t xml:space="preserve">19 000 hab.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Bretagne</w:t>
            </w:r>
          </w:p>
        </w:tc>
        <w:tc>
          <w:tcPr>
            <w:tcW w:type="dxa" w:w="6338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Un centre qui tient, porté par une population en hausse.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sz w:val="17"/>
                <w:szCs w:val="17"/>
              </w:rPr>
              <w:t xml:space="preserve">Commerces employeurs : 55 en 2012, 48 en 2019, 46 en 2025 : le recul a nettement ralenti (−13 % avant 2019, </w:t>
            </w:r>
            <w:r>
              <w:rPr>
                <w:b/>
                <w:bCs/>
                <w:sz w:val="17"/>
                <w:szCs w:val="17"/>
              </w:rPr>
              <w:t xml:space="preserve">−4 % depuis</w:t>
            </w:r>
            <w:r>
              <w:rPr>
                <w:sz w:val="17"/>
                <w:szCs w:val="17"/>
              </w:rPr>
              <w:t xml:space="preserve">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b/>
                <w:bCs/>
                <w:sz w:val="17"/>
                <w:szCs w:val="17"/>
              </w:rPr>
              <w:t xml:space="preserve">Moins de 3 % de logements vides</w:t>
            </w:r>
            <w:r>
              <w:rPr>
                <w:sz w:val="17"/>
                <w:szCs w:val="17"/>
              </w:rPr>
              <w:t xml:space="preserve"> et population en hausse (+5,9 % entre 2014 et 2020).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sz w:val="17"/>
                <w:szCs w:val="17"/>
              </w:rPr>
              <w:t xml:space="preserve">Vacance commerciale entre 10 et 15 % en 2025.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sz w:val="17"/>
                <w:szCs w:val="17"/>
              </w:rPr>
              <w:t xml:space="preserve">Démarches du programme : transition écologique, design actif.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Poissy</w:t>
            </w:r>
          </w:p>
          <w:p>
            <w:r>
              <w:rPr>
                <w:color w:val="666666"/>
                <w:sz w:val="16"/>
                <w:szCs w:val="16"/>
              </w:rPr>
              <w:t xml:space="preserve">40 000 hab.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Île-de-France</w:t>
            </w:r>
          </w:p>
        </w:tc>
        <w:tc>
          <w:tcPr>
            <w:tcW w:type="dxa" w:w="6338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Un centre-ville qui gagne des commerces depuis 2012 et compte parmi les plus fréquentés du programme.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sz w:val="17"/>
                <w:szCs w:val="17"/>
              </w:rPr>
              <w:t xml:space="preserve">Commerces employeurs : 79 en 2012, 81 en 2019, </w:t>
            </w:r>
            <w:r>
              <w:rPr>
                <w:b/>
                <w:bCs/>
                <w:sz w:val="17"/>
                <w:szCs w:val="17"/>
              </w:rPr>
              <w:t xml:space="preserve">85 en 2025</w:t>
            </w:r>
            <w:r>
              <w:rPr>
                <w:sz w:val="17"/>
                <w:szCs w:val="17"/>
              </w:rPr>
              <w:t xml:space="preserve"> : hausse continue.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b/>
                <w:bCs/>
                <w:sz w:val="17"/>
                <w:szCs w:val="17"/>
              </w:rPr>
              <w:t xml:space="preserve">Environ 2,55 millions de visites par mois</w:t>
            </w:r>
            <w:r>
              <w:rPr>
                <w:sz w:val="17"/>
                <w:szCs w:val="17"/>
              </w:rPr>
              <w:t xml:space="preserve"> en 2022-2023 (MyTraffic), 5e centre le plus fréquenté des villes ACV.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sz w:val="17"/>
                <w:szCs w:val="17"/>
              </w:rPr>
              <w:t xml:space="preserve">Vacance commerciale entre 5 et 10 % en 2025, moins de 3 % de logements vides.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sz w:val="17"/>
                <w:szCs w:val="17"/>
              </w:rPr>
              <w:t xml:space="preserve">Population en forte hausse : +7,4 % entre 2014 et 2020. Démarche du programme : transition écologique.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1A1A1A" w:sz="8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Lorient</w:t>
            </w:r>
          </w:p>
          <w:p>
            <w:r>
              <w:rPr>
                <w:color w:val="666666"/>
                <w:sz w:val="16"/>
                <w:szCs w:val="16"/>
              </w:rPr>
              <w:t xml:space="preserve">57 800 hab.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1A1A1A" w:sz="8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Bretagne</w:t>
            </w:r>
          </w:p>
        </w:tc>
        <w:tc>
          <w:tcPr>
            <w:tcW w:type="dxa" w:w="6338"/>
            <w:tcBorders>
              <w:top w:val="none" w:color="FFFFFF" w:sz="0"/>
              <w:left w:val="none" w:color="FFFFFF" w:sz="0"/>
              <w:bottom w:val="single" w:color="1A1A1A" w:sz="8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Une ville qui mise sur l'habitat et la sobriété foncière, avec un centre qui résiste mieux que la moyenne.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sz w:val="17"/>
                <w:szCs w:val="17"/>
              </w:rPr>
              <w:t xml:space="preserve">Commerces employeurs : 272 en 2012, 258 en 2019, 243 en 2025. Le recul est modéré (−6 % depuis 2019, contre −9 % en moyenne dans les villes du programme).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sz w:val="17"/>
                <w:szCs w:val="17"/>
              </w:rPr>
              <w:t xml:space="preserve">Vacance commerciale entre 10 et 15 % en 2025 ; </w:t>
            </w:r>
            <w:r>
              <w:rPr>
                <w:b/>
                <w:bCs/>
                <w:sz w:val="17"/>
                <w:szCs w:val="17"/>
              </w:rPr>
              <w:t xml:space="preserve">moins de 3 % de logements vides</w:t>
            </w:r>
            <w:r>
              <w:rPr>
                <w:sz w:val="17"/>
                <w:szCs w:val="17"/>
              </w:rPr>
              <w:t xml:space="preserve">, ventes immobilières en hausse.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b/>
                <w:bCs/>
                <w:sz w:val="17"/>
                <w:szCs w:val="17"/>
              </w:rPr>
              <w:t xml:space="preserve">Territoire pilote de sobriété foncière depuis 2022</w:t>
            </w:r>
            <w:r>
              <w:rPr>
                <w:sz w:val="17"/>
                <w:szCs w:val="17"/>
              </w:rPr>
              <w:t xml:space="preserve"> (l'un des 11 en France) ; accompagnée en transition écologique.</w:t>
            </w:r>
          </w:p>
        </w:tc>
      </w:tr>
    </w:tbl>
    <w:p>
      <w:pPr>
        <w:sectPr>
          <w:headerReference w:type="default" r:id="rId6"/>
          <w:footerReference w:type="default" r:id="rId7"/>
          <w:pgSz w:w="11906" w:h="16838" w:orient="portrait"/>
          <w:pgMar w:top="1000" w:right="1134" w:bottom="1000" w:left="1134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Comparaison des huit villes</w:t>
      </w:r>
    </w:p>
    <w:p>
      <w:pPr>
        <w:spacing w:after="140"/>
      </w:pPr>
      <w:r>
        <w:rPr>
          <w:color w:val="666666"/>
          <w:sz w:val="17"/>
          <w:szCs w:val="17"/>
        </w:rPr>
        <w:t xml:space="preserve">La meilleure valeur de chaque ligne est en gras. La dernière colonne donne la moyenne des villes Action Cœur de Ville quand elle est connue. Pour Sète, Frontignan (voisine) a une vacance commerciale sous 5 % et moins de 3 % de logements vides.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37"/>
        <w:gridCol w:w="1300"/>
        <w:gridCol w:w="1300"/>
        <w:gridCol w:w="1300"/>
        <w:gridCol w:w="1400"/>
        <w:gridCol w:w="1300"/>
        <w:gridCol w:w="1300"/>
        <w:gridCol w:w="1300"/>
        <w:gridCol w:w="1300"/>
        <w:gridCol w:w="1400"/>
      </w:tblGrid>
      <w:tr>
        <w:trPr>
          <w:tblHeader/>
        </w:trPr>
        <w:tc>
          <w:tcPr>
            <w:tcW w:type="dxa" w:w="2737"/>
            <w:tcBorders>
              <w:top w:val="single" w:color="1A1A1A" w:sz="8"/>
              <w:left w:val="none" w:color="FFFFFF" w:sz="0"/>
              <w:bottom w:val="single" w:color="1A1A1A" w:sz="4"/>
              <w:right w:val="none" w:color="FFFFFF" w:sz="0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1A1A"/>
                <w:sz w:val="16"/>
                <w:szCs w:val="16"/>
              </w:rPr>
              <w:t xml:space="preserve">Indicateur</w:t>
            </w:r>
          </w:p>
        </w:tc>
        <w:tc>
          <w:tcPr>
            <w:tcW w:type="dxa" w:w="1300"/>
            <w:tcBorders>
              <w:top w:val="single" w:color="1A1A1A" w:sz="8"/>
              <w:left w:val="none" w:color="FFFFFF" w:sz="0"/>
              <w:bottom w:val="single" w:color="1A1A1A" w:sz="4"/>
              <w:right w:val="none" w:color="FFFFFF" w:sz="0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  <w:sz w:val="16"/>
                <w:szCs w:val="16"/>
              </w:rPr>
              <w:t xml:space="preserve">Bressuire</w:t>
            </w:r>
          </w:p>
        </w:tc>
        <w:tc>
          <w:tcPr>
            <w:tcW w:type="dxa" w:w="1300"/>
            <w:tcBorders>
              <w:top w:val="single" w:color="1A1A1A" w:sz="8"/>
              <w:left w:val="none" w:color="FFFFFF" w:sz="0"/>
              <w:bottom w:val="single" w:color="1A1A1A" w:sz="4"/>
              <w:right w:val="none" w:color="FFFFFF" w:sz="0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  <w:sz w:val="16"/>
                <w:szCs w:val="16"/>
              </w:rPr>
              <w:t xml:space="preserve">Sète</w:t>
            </w:r>
          </w:p>
        </w:tc>
        <w:tc>
          <w:tcPr>
            <w:tcW w:type="dxa" w:w="1300"/>
            <w:tcBorders>
              <w:top w:val="single" w:color="1A1A1A" w:sz="8"/>
              <w:left w:val="none" w:color="FFFFFF" w:sz="0"/>
              <w:bottom w:val="single" w:color="1A1A1A" w:sz="4"/>
              <w:right w:val="none" w:color="FFFFFF" w:sz="0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  <w:sz w:val="16"/>
                <w:szCs w:val="16"/>
              </w:rPr>
              <w:t xml:space="preserve">Creil</w:t>
            </w:r>
          </w:p>
        </w:tc>
        <w:tc>
          <w:tcPr>
            <w:tcW w:type="dxa" w:w="1400"/>
            <w:tcBorders>
              <w:top w:val="single" w:color="1A1A1A" w:sz="8"/>
              <w:left w:val="none" w:color="FFFFFF" w:sz="0"/>
              <w:bottom w:val="single" w:color="1A1A1A" w:sz="4"/>
              <w:right w:val="none" w:color="FFFFFF" w:sz="0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  <w:sz w:val="16"/>
                <w:szCs w:val="16"/>
              </w:rPr>
              <w:t xml:space="preserve">Draguignan</w:t>
            </w:r>
          </w:p>
        </w:tc>
        <w:tc>
          <w:tcPr>
            <w:tcW w:type="dxa" w:w="1300"/>
            <w:tcBorders>
              <w:top w:val="single" w:color="1A1A1A" w:sz="8"/>
              <w:left w:val="none" w:color="FFFFFF" w:sz="0"/>
              <w:bottom w:val="single" w:color="1A1A1A" w:sz="4"/>
              <w:right w:val="none" w:color="FFFFFF" w:sz="0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  <w:sz w:val="16"/>
                <w:szCs w:val="16"/>
              </w:rPr>
              <w:t xml:space="preserve">Vitry-le-F.</w:t>
            </w:r>
          </w:p>
        </w:tc>
        <w:tc>
          <w:tcPr>
            <w:tcW w:type="dxa" w:w="1300"/>
            <w:tcBorders>
              <w:top w:val="single" w:color="1A1A1A" w:sz="8"/>
              <w:left w:val="none" w:color="FFFFFF" w:sz="0"/>
              <w:bottom w:val="single" w:color="1A1A1A" w:sz="4"/>
              <w:right w:val="none" w:color="FFFFFF" w:sz="0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  <w:sz w:val="16"/>
                <w:szCs w:val="16"/>
              </w:rPr>
              <w:t xml:space="preserve">Vitré</w:t>
            </w:r>
          </w:p>
        </w:tc>
        <w:tc>
          <w:tcPr>
            <w:tcW w:type="dxa" w:w="1300"/>
            <w:tcBorders>
              <w:top w:val="single" w:color="1A1A1A" w:sz="8"/>
              <w:left w:val="none" w:color="FFFFFF" w:sz="0"/>
              <w:bottom w:val="single" w:color="1A1A1A" w:sz="4"/>
              <w:right w:val="none" w:color="FFFFFF" w:sz="0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  <w:sz w:val="16"/>
                <w:szCs w:val="16"/>
              </w:rPr>
              <w:t xml:space="preserve">Poissy</w:t>
            </w:r>
          </w:p>
        </w:tc>
        <w:tc>
          <w:tcPr>
            <w:tcW w:type="dxa" w:w="1300"/>
            <w:tcBorders>
              <w:top w:val="single" w:color="1A1A1A" w:sz="8"/>
              <w:left w:val="none" w:color="FFFFFF" w:sz="0"/>
              <w:bottom w:val="single" w:color="1A1A1A" w:sz="4"/>
              <w:right w:val="none" w:color="FFFFFF" w:sz="0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  <w:sz w:val="16"/>
                <w:szCs w:val="16"/>
              </w:rPr>
              <w:t xml:space="preserve">Lorient</w:t>
            </w:r>
          </w:p>
        </w:tc>
        <w:tc>
          <w:tcPr>
            <w:tcW w:type="dxa" w:w="1400"/>
            <w:tcBorders>
              <w:top w:val="single" w:color="1A1A1A" w:sz="8"/>
              <w:left w:val="none" w:color="FFFFFF" w:sz="0"/>
              <w:bottom w:val="single" w:color="1A1A1A" w:sz="4"/>
              <w:right w:val="none" w:color="FFFFFF" w:sz="0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  <w:sz w:val="16"/>
                <w:szCs w:val="16"/>
              </w:rPr>
              <w:t xml:space="preserve">Moyenne ACV</w:t>
            </w:r>
          </w:p>
        </w:tc>
      </w:tr>
      <w:tr>
        <w:trPr>
          <w:cantSplit/>
        </w:trPr>
        <w:tc>
          <w:tcPr>
            <w:tcW w:type="dxa" w:w="2737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1A1A"/>
                <w:sz w:val="16"/>
                <w:szCs w:val="16"/>
              </w:rPr>
              <w:t xml:space="preserve">Population (habitants)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6"/>
                <w:szCs w:val="16"/>
              </w:rPr>
              <w:t xml:space="preserve">19 900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6"/>
                <w:szCs w:val="16"/>
              </w:rPr>
              <w:t xml:space="preserve">44 700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6"/>
                <w:szCs w:val="16"/>
              </w:rPr>
              <w:t xml:space="preserve">36 100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6"/>
                <w:szCs w:val="16"/>
              </w:rPr>
              <w:t xml:space="preserve">39 700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6"/>
                <w:szCs w:val="16"/>
              </w:rPr>
              <w:t xml:space="preserve">11 500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6"/>
                <w:szCs w:val="16"/>
              </w:rPr>
              <w:t xml:space="preserve">19 000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6"/>
                <w:szCs w:val="16"/>
              </w:rPr>
              <w:t xml:space="preserve">40 000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6"/>
                <w:szCs w:val="16"/>
              </w:rPr>
              <w:t xml:space="preserve">57 800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shd w:fill="F2F2F2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6"/>
                <w:szCs w:val="16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2737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1A1A"/>
                <w:sz w:val="16"/>
                <w:szCs w:val="16"/>
              </w:rPr>
              <w:t xml:space="preserve">Commerces employeurs 2012-2019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6"/>
                <w:szCs w:val="16"/>
              </w:rPr>
              <w:t xml:space="preserve">−14 %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6"/>
                <w:szCs w:val="16"/>
              </w:rPr>
              <w:t xml:space="preserve">−15 %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6"/>
                <w:szCs w:val="16"/>
              </w:rPr>
              <w:t xml:space="preserve">−32 %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6"/>
                <w:szCs w:val="16"/>
              </w:rPr>
              <w:t xml:space="preserve">−31 %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6"/>
                <w:szCs w:val="16"/>
              </w:rPr>
              <w:t xml:space="preserve">−27 %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6"/>
                <w:szCs w:val="16"/>
              </w:rPr>
              <w:t xml:space="preserve">−13 %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6"/>
                <w:szCs w:val="16"/>
              </w:rPr>
              <w:t xml:space="preserve">+3 %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6"/>
                <w:szCs w:val="16"/>
              </w:rPr>
              <w:t xml:space="preserve">−5 %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shd w:fill="F2F2F2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6"/>
                <w:szCs w:val="16"/>
              </w:rPr>
              <w:t xml:space="preserve">−12 %</w:t>
            </w:r>
          </w:p>
        </w:tc>
      </w:tr>
      <w:tr>
        <w:trPr>
          <w:cantSplit/>
        </w:trPr>
        <w:tc>
          <w:tcPr>
            <w:tcW w:type="dxa" w:w="2737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1A1A"/>
                <w:sz w:val="16"/>
                <w:szCs w:val="16"/>
              </w:rPr>
              <w:t xml:space="preserve">Commerces employeurs 2019-2025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6"/>
                <w:szCs w:val="16"/>
              </w:rPr>
              <w:t xml:space="preserve">−2 %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6"/>
                <w:szCs w:val="16"/>
              </w:rPr>
              <w:t xml:space="preserve">+14 %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6"/>
                <w:szCs w:val="16"/>
              </w:rPr>
              <w:t xml:space="preserve">+38 %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6"/>
                <w:szCs w:val="16"/>
              </w:rPr>
              <w:t xml:space="preserve">−4 %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6"/>
                <w:szCs w:val="16"/>
              </w:rPr>
              <w:t xml:space="preserve">+22 %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6"/>
                <w:szCs w:val="16"/>
              </w:rPr>
              <w:t xml:space="preserve">−4 %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6"/>
                <w:szCs w:val="16"/>
              </w:rPr>
              <w:t xml:space="preserve">+5 %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6"/>
                <w:szCs w:val="16"/>
              </w:rPr>
              <w:t xml:space="preserve">−6 %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shd w:fill="F2F2F2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6"/>
                <w:szCs w:val="16"/>
              </w:rPr>
              <w:t xml:space="preserve">−9 %</w:t>
            </w:r>
          </w:p>
        </w:tc>
      </w:tr>
      <w:tr>
        <w:trPr>
          <w:cantSplit/>
        </w:trPr>
        <w:tc>
          <w:tcPr>
            <w:tcW w:type="dxa" w:w="2737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1A1A"/>
                <w:sz w:val="16"/>
                <w:szCs w:val="16"/>
              </w:rPr>
              <w:t xml:space="preserve">Ensemble des établissements 2019-2025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6"/>
                <w:szCs w:val="16"/>
              </w:rPr>
              <w:t xml:space="preserve">−5 %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6"/>
                <w:szCs w:val="16"/>
              </w:rPr>
              <w:t xml:space="preserve">+3 %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6"/>
                <w:szCs w:val="16"/>
              </w:rPr>
              <w:t xml:space="preserve">+13 %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6"/>
                <w:szCs w:val="16"/>
              </w:rPr>
              <w:t xml:space="preserve">stable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6"/>
                <w:szCs w:val="16"/>
              </w:rPr>
              <w:t xml:space="preserve">+9 %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6"/>
                <w:szCs w:val="16"/>
              </w:rPr>
              <w:t xml:space="preserve">−5 %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6"/>
                <w:szCs w:val="16"/>
              </w:rPr>
              <w:t xml:space="preserve">−2 %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6"/>
                <w:szCs w:val="16"/>
              </w:rPr>
              <w:t xml:space="preserve">−5 %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shd w:fill="F2F2F2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6"/>
                <w:szCs w:val="16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2737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1A1A"/>
                <w:sz w:val="16"/>
                <w:szCs w:val="16"/>
              </w:rPr>
              <w:t xml:space="preserve">Vacance commerciale 2025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6"/>
                <w:szCs w:val="16"/>
              </w:rPr>
              <w:t xml:space="preserve">8,6 %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6"/>
                <w:szCs w:val="16"/>
              </w:rPr>
              <w:t xml:space="preserve">5-10 %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6"/>
                <w:szCs w:val="16"/>
              </w:rPr>
              <w:t xml:space="preserve">10-15 %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6"/>
                <w:szCs w:val="16"/>
              </w:rPr>
              <w:t xml:space="preserve">10-15 %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6"/>
                <w:szCs w:val="16"/>
              </w:rPr>
              <w:t xml:space="preserve">5-10 %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6"/>
                <w:szCs w:val="16"/>
              </w:rPr>
              <w:t xml:space="preserve">10-15 %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6"/>
                <w:szCs w:val="16"/>
              </w:rPr>
              <w:t xml:space="preserve">5-10 %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6"/>
                <w:szCs w:val="16"/>
              </w:rPr>
              <w:t xml:space="preserve">10-15 %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shd w:fill="F2F2F2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6"/>
                <w:szCs w:val="16"/>
              </w:rPr>
              <w:t xml:space="preserve">14,5 %</w:t>
            </w:r>
          </w:p>
        </w:tc>
      </w:tr>
      <w:tr>
        <w:trPr>
          <w:cantSplit/>
        </w:trPr>
        <w:tc>
          <w:tcPr>
            <w:tcW w:type="dxa" w:w="2737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1A1A"/>
                <w:sz w:val="16"/>
                <w:szCs w:val="16"/>
              </w:rPr>
              <w:t xml:space="preserve">Baisse de vacance mesurée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6"/>
                <w:szCs w:val="16"/>
              </w:rPr>
              <w:t xml:space="preserve">−9,3 pts</w:t>
            </w:r>
            <w:r>
              <w:rPr>
                <w:color w:val="1A1A1A"/>
                <w:sz w:val="16"/>
                <w:szCs w:val="16"/>
              </w:rPr>
              <w:t xml:space="preserve"> (2019-2025)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6"/>
                <w:szCs w:val="16"/>
              </w:rPr>
              <w:t xml:space="preserve">−4,4 pts (2018-2022)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6"/>
                <w:szCs w:val="16"/>
              </w:rPr>
              <w:t xml:space="preserve">–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6"/>
                <w:szCs w:val="16"/>
              </w:rPr>
              <w:t xml:space="preserve">–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6"/>
                <w:szCs w:val="16"/>
              </w:rPr>
              <w:t xml:space="preserve">–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6"/>
                <w:szCs w:val="16"/>
              </w:rPr>
              <w:t xml:space="preserve">–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6"/>
                <w:szCs w:val="16"/>
              </w:rPr>
              <w:t xml:space="preserve">–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6"/>
                <w:szCs w:val="16"/>
              </w:rPr>
              <w:t xml:space="preserve">–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shd w:fill="F2F2F2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6"/>
                <w:szCs w:val="16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2737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1A1A"/>
                <w:sz w:val="16"/>
                <w:szCs w:val="16"/>
              </w:rPr>
              <w:t xml:space="preserve">Logements vides depuis 2 ans ou plus (2025)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6"/>
                <w:szCs w:val="16"/>
              </w:rPr>
              <w:t xml:space="preserve">&lt; 3 %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6"/>
                <w:szCs w:val="16"/>
              </w:rPr>
              <w:t xml:space="preserve">3-4 %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6"/>
                <w:szCs w:val="16"/>
              </w:rPr>
              <w:t xml:space="preserve">5-7 %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6"/>
                <w:szCs w:val="16"/>
              </w:rPr>
              <w:t xml:space="preserve">3-4 %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6"/>
                <w:szCs w:val="16"/>
              </w:rPr>
              <w:t xml:space="preserve">&gt; 7 %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6"/>
                <w:szCs w:val="16"/>
              </w:rPr>
              <w:t xml:space="preserve">&lt; 3 %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6"/>
                <w:szCs w:val="16"/>
              </w:rPr>
              <w:t xml:space="preserve">&lt; 3 %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6"/>
                <w:szCs w:val="16"/>
              </w:rPr>
              <w:t xml:space="preserve">&lt; 3 %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shd w:fill="F2F2F2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6"/>
                <w:szCs w:val="16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2737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1A1A"/>
                <w:sz w:val="16"/>
                <w:szCs w:val="16"/>
              </w:rPr>
              <w:t xml:space="preserve">Ventes immobilières depuis 2018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6"/>
                <w:szCs w:val="16"/>
              </w:rPr>
              <w:t xml:space="preserve">Hausse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6"/>
                <w:szCs w:val="16"/>
              </w:rPr>
              <w:t xml:space="preserve">Hausse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6"/>
                <w:szCs w:val="16"/>
              </w:rPr>
              <w:t xml:space="preserve">Hausse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6"/>
                <w:szCs w:val="16"/>
              </w:rPr>
              <w:t xml:space="preserve">Hausse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6"/>
                <w:szCs w:val="16"/>
              </w:rPr>
              <w:t xml:space="preserve">Baisse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6"/>
                <w:szCs w:val="16"/>
              </w:rPr>
              <w:t xml:space="preserve">Baisse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6"/>
                <w:szCs w:val="16"/>
              </w:rPr>
              <w:t xml:space="preserve">n.d.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6"/>
                <w:szCs w:val="16"/>
              </w:rPr>
              <w:t xml:space="preserve">Hausse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shd w:fill="F2F2F2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6"/>
                <w:szCs w:val="16"/>
              </w:rPr>
              <w:t xml:space="preserve">54 % en hausse</w:t>
            </w:r>
          </w:p>
        </w:tc>
      </w:tr>
      <w:tr>
        <w:trPr>
          <w:cantSplit/>
        </w:trPr>
        <w:tc>
          <w:tcPr>
            <w:tcW w:type="dxa" w:w="2737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1A1A"/>
                <w:sz w:val="16"/>
                <w:szCs w:val="16"/>
              </w:rPr>
              <w:t xml:space="preserve">Population 2014-2020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6"/>
                <w:szCs w:val="16"/>
              </w:rPr>
              <w:t xml:space="preserve">+2,9 %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6"/>
                <w:szCs w:val="16"/>
              </w:rPr>
              <w:t xml:space="preserve">+1,0 %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6"/>
                <w:szCs w:val="16"/>
              </w:rPr>
              <w:t xml:space="preserve">+3,0 %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6"/>
                <w:szCs w:val="16"/>
              </w:rPr>
              <w:t xml:space="preserve">−1,5 %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6"/>
                <w:szCs w:val="16"/>
              </w:rPr>
              <w:t xml:space="preserve">−12,8 %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6"/>
                <w:szCs w:val="16"/>
              </w:rPr>
              <w:t xml:space="preserve">+5,9 %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6"/>
                <w:szCs w:val="16"/>
              </w:rPr>
              <w:t xml:space="preserve">+7,4 %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6"/>
                <w:szCs w:val="16"/>
              </w:rPr>
              <w:t xml:space="preserve">−0,4 %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shd w:fill="F2F2F2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6"/>
                <w:szCs w:val="16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2737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1A1A"/>
                <w:sz w:val="16"/>
                <w:szCs w:val="16"/>
              </w:rPr>
              <w:t xml:space="preserve">Démarches du programme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6"/>
                <w:szCs w:val="16"/>
              </w:rPr>
              <w:t xml:space="preserve">Transition, design actif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6"/>
                <w:szCs w:val="16"/>
              </w:rPr>
              <w:t xml:space="preserve">Sobriété foncière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6"/>
                <w:szCs w:val="16"/>
              </w:rPr>
              <w:t xml:space="preserve">Transition, design actif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6"/>
                <w:szCs w:val="16"/>
              </w:rPr>
              <w:t xml:space="preserve">Réinventons, sobriété foncière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6"/>
                <w:szCs w:val="16"/>
              </w:rPr>
              <w:t xml:space="preserve">Aucune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6"/>
                <w:szCs w:val="16"/>
              </w:rPr>
              <w:t xml:space="preserve">Transition, design actif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6"/>
                <w:szCs w:val="16"/>
              </w:rPr>
              <w:t xml:space="preserve">Transition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6"/>
                <w:szCs w:val="16"/>
              </w:rPr>
              <w:t xml:space="preserve">Sobriété foncière, transition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shd w:fill="F2F2F2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6"/>
                <w:szCs w:val="16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2737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1A1A"/>
                <w:sz w:val="16"/>
                <w:szCs w:val="16"/>
              </w:rPr>
              <w:t xml:space="preserve">Fréquentation (MyTraffic)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6"/>
                <w:szCs w:val="16"/>
              </w:rPr>
              <w:t xml:space="preserve">–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6"/>
                <w:szCs w:val="16"/>
              </w:rPr>
              <w:t xml:space="preserve">–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6"/>
                <w:szCs w:val="16"/>
              </w:rPr>
              <w:t xml:space="preserve">–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6"/>
                <w:szCs w:val="16"/>
              </w:rPr>
              <w:t xml:space="preserve">–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6"/>
                <w:szCs w:val="16"/>
              </w:rPr>
              <w:t xml:space="preserve">–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6"/>
                <w:szCs w:val="16"/>
              </w:rPr>
              <w:t xml:space="preserve">–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6"/>
                <w:szCs w:val="16"/>
              </w:rPr>
              <w:t xml:space="preserve">2,55 M visites/mois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6"/>
                <w:szCs w:val="16"/>
              </w:rPr>
              <w:t xml:space="preserve">–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shd w:fill="F2F2F2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6"/>
                <w:szCs w:val="16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2737"/>
            <w:tcBorders>
              <w:top w:val="none" w:color="FFFFFF" w:sz="0"/>
              <w:left w:val="none" w:color="FFFFFF" w:sz="0"/>
              <w:bottom w:val="single" w:color="1A1A1A" w:sz="8"/>
              <w:right w:val="none" w:color="FFFFFF" w:sz="0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1A1A"/>
                <w:sz w:val="16"/>
                <w:szCs w:val="16"/>
              </w:rPr>
              <w:t xml:space="preserve">Score final (sur 12,5)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1A1A1A" w:sz="8"/>
              <w:right w:val="none" w:color="FFFFFF" w:sz="0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6"/>
                <w:szCs w:val="16"/>
              </w:rPr>
              <w:t xml:space="preserve">8,5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1A1A1A" w:sz="8"/>
              <w:right w:val="none" w:color="FFFFFF" w:sz="0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6"/>
                <w:szCs w:val="16"/>
              </w:rPr>
              <w:t xml:space="preserve">8,0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1A1A1A" w:sz="8"/>
              <w:right w:val="none" w:color="FFFFFF" w:sz="0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6"/>
                <w:szCs w:val="16"/>
              </w:rPr>
              <w:t xml:space="preserve">6,0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1A1A1A" w:sz="8"/>
              <w:right w:val="none" w:color="FFFFFF" w:sz="0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6"/>
                <w:szCs w:val="16"/>
              </w:rPr>
              <w:t xml:space="preserve">5,5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1A1A1A" w:sz="8"/>
              <w:right w:val="none" w:color="FFFFFF" w:sz="0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6"/>
                <w:szCs w:val="16"/>
              </w:rPr>
              <w:t xml:space="preserve">5,5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1A1A1A" w:sz="8"/>
              <w:right w:val="none" w:color="FFFFFF" w:sz="0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6"/>
                <w:szCs w:val="16"/>
              </w:rPr>
              <w:t xml:space="preserve">5,0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1A1A1A" w:sz="8"/>
              <w:right w:val="none" w:color="FFFFFF" w:sz="0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6"/>
                <w:szCs w:val="16"/>
              </w:rPr>
              <w:t xml:space="preserve">5,0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1A1A1A" w:sz="8"/>
              <w:right w:val="none" w:color="FFFFFF" w:sz="0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6"/>
                <w:szCs w:val="16"/>
              </w:rPr>
              <w:t xml:space="preserve">3,5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1A1A1A" w:sz="8"/>
              <w:right w:val="none" w:color="FFFFFF" w:sz="0"/>
            </w:tcBorders>
            <w:shd w:fill="F2F2F2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6"/>
                <w:szCs w:val="16"/>
              </w:rPr>
              <w:t xml:space="preserve">–</w:t>
            </w:r>
          </w:p>
        </w:tc>
      </w:tr>
    </w:tbl>
    <w:p>
      <w:pPr>
        <w:spacing w:after="60" w:before="80" w:line="252"/>
      </w:pPr>
      <w:r>
        <w:rPr>
          <w:color w:val="666666"/>
          <w:sz w:val="15"/>
          <w:szCs w:val="15"/>
        </w:rPr>
        <w:t xml:space="preserve">Lecture : vacance commerciale en tranches de 5 points (atlas ANCT), sauf Bressuire (taux exact, baromètre Codata 2026). « Transition » : accompagnement Cerema et ANCT en transition écologique ; « Réinventons » : lauréat de « Réinventons nos cœurs de ville ». Score final : classement composite de l'auteur sur 12,5 points (commerce, vacance, habitat, démarches, fréquentation).</w:t>
      </w:r>
    </w:p>
    <w:p>
      <w:pPr>
        <w:pStyle w:val="Heading1"/>
      </w:pPr>
      <w:r>
        <w:t xml:space="preserve">Sources</w:t>
      </w:r>
    </w:p>
    <w:p>
      <w:pPr>
        <w:pStyle w:val="ListParagraph"/>
        <w:numPr>
          <w:ilvl w:val="0"/>
          <w:numId w:val="3"/>
        </w:numPr>
        <w:spacing w:after="40"/>
      </w:pPr>
      <w:hyperlink w:history="1" r:id="rIdav-d6gv6lz_pxxgy9sfsq">
        <w:r>
          <w:rPr>
            <w:rStyle w:val="Hyperlink"/>
            <w:sz w:val="16"/>
            <w:szCs w:val="16"/>
          </w:rPr>
          <w:t xml:space="preserve">Insee, Base Sirene des entreprises et de leurs établissements</w:t>
        </w:r>
      </w:hyperlink>
      <w:r>
        <w:rPr>
          <w:sz w:val="16"/>
          <w:szCs w:val="16"/>
        </w:rPr>
        <w:t xml:space="preserve"> et géolocalisation des établissements, 2012-2025 ; calculs de l'auteur</w:t>
      </w:r>
    </w:p>
    <w:p>
      <w:pPr>
        <w:pStyle w:val="ListParagraph"/>
        <w:numPr>
          <w:ilvl w:val="0"/>
          <w:numId w:val="3"/>
        </w:numPr>
        <w:spacing w:after="40"/>
      </w:pPr>
      <w:hyperlink w:history="1" r:id="rId60_gu_rt5tos0m2zckuj7">
        <w:r>
          <w:rPr>
            <w:rStyle w:val="Hyperlink"/>
            <w:sz w:val="16"/>
            <w:szCs w:val="16"/>
          </w:rPr>
          <w:t xml:space="preserve">Insee, Évolution et structure de la population en 2020</w:t>
        </w:r>
      </w:hyperlink>
    </w:p>
    <w:p>
      <w:pPr>
        <w:pStyle w:val="ListParagraph"/>
        <w:numPr>
          <w:ilvl w:val="0"/>
          <w:numId w:val="3"/>
        </w:numPr>
        <w:spacing w:after="40"/>
      </w:pPr>
      <w:hyperlink w:history="1" r:id="rIdyhtd7gnw8vlkfho40zz6b">
        <w:r>
          <w:rPr>
            <w:rStyle w:val="Hyperlink"/>
            <w:sz w:val="16"/>
            <w:szCs w:val="16"/>
          </w:rPr>
          <w:t xml:space="preserve">ANCT, Atlas national Action cœur de ville, T4 2025</w:t>
        </w:r>
      </w:hyperlink>
      <w:r>
        <w:rPr>
          <w:sz w:val="16"/>
          <w:szCs w:val="16"/>
        </w:rPr>
        <w:t xml:space="preserve"> : vacance commerciale (p. 23, Codata 2025), logements vacants (p. 22, LOVAC 2025), ventes immobilières (p. 24, notaires de France), démarches du programme (p. 14, 28 à 32)</w:t>
      </w:r>
    </w:p>
    <w:p>
      <w:pPr>
        <w:pStyle w:val="ListParagraph"/>
        <w:numPr>
          <w:ilvl w:val="0"/>
          <w:numId w:val="3"/>
        </w:numPr>
        <w:spacing w:after="40"/>
      </w:pPr>
      <w:hyperlink w:history="1" r:id="rIdhd6lrxzv-bfqpodreceox">
        <w:r>
          <w:rPr>
            <w:rStyle w:val="Hyperlink"/>
            <w:sz w:val="16"/>
            <w:szCs w:val="16"/>
          </w:rPr>
          <w:t xml:space="preserve">Codata et FACT, Baromètre de l'offre commerciale dans les centres-villes 2026</w:t>
        </w:r>
      </w:hyperlink>
    </w:p>
    <w:p>
      <w:pPr>
        <w:pStyle w:val="ListParagraph"/>
        <w:numPr>
          <w:ilvl w:val="0"/>
          <w:numId w:val="3"/>
        </w:numPr>
        <w:spacing w:after="40"/>
      </w:pPr>
      <w:hyperlink w:history="1" r:id="rIdtjxo0zdbok4qd7hkqdiuw">
        <w:r>
          <w:rPr>
            <w:rStyle w:val="Hyperlink"/>
            <w:sz w:val="16"/>
            <w:szCs w:val="16"/>
          </w:rPr>
          <w:t xml:space="preserve">Banque des Territoires, « Action cœur de ville : des résultats sur la vacance commerciale », 21 septembre 2023</w:t>
        </w:r>
      </w:hyperlink>
      <w:r>
        <w:rPr>
          <w:sz w:val="16"/>
          <w:szCs w:val="16"/>
        </w:rPr>
        <w:t xml:space="preserve"> (FACT et Codata 2018-2022)</w:t>
      </w:r>
    </w:p>
    <w:p>
      <w:pPr>
        <w:pStyle w:val="ListParagraph"/>
        <w:numPr>
          <w:ilvl w:val="0"/>
          <w:numId w:val="3"/>
        </w:numPr>
        <w:spacing w:after="40"/>
      </w:pPr>
      <w:hyperlink w:history="1" r:id="rId9yyauvi78qhxamcxb7c-u">
        <w:r>
          <w:rPr>
            <w:rStyle w:val="Hyperlink"/>
            <w:sz w:val="16"/>
            <w:szCs w:val="16"/>
          </w:rPr>
          <w:t xml:space="preserve">ANCT, Villes de France et MyTraffic, L'observatoire des mobilités dans les villes ACV, mars 2024</w:t>
        </w:r>
      </w:hyperlink>
    </w:p>
    <w:sectPr>
      <w:headerReference w:type="default" r:id="rId8"/>
      <w:footerReference w:type="default" r:id="rId9"/>
      <w:pgSz w:w="16838" w:h="11906" w:orient="landscape"/>
      <w:pgMar w:top="850" w:right="850" w:bottom="850" w:left="85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5"/>
        <w:szCs w:val="15"/>
      </w:rPr>
      <w:t xml:space="preserve">Missions d'entretiens dans les villes ACV · Document de travail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5"/>
        <w:szCs w:val="15"/>
      </w:rPr>
      <w:t xml:space="preserve">Missions d'entretiens dans les villes ACV · Document de travail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240" w:hanging="220"/>
      </w:pPr>
      <w:rPr>
        <w:color w:val="666666"/>
        <w:sz w:val="17"/>
        <w:szCs w:val="17"/>
      </w:r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300" w:hanging="220"/>
      </w:pPr>
      <w:rPr>
        <w:color w:val="666666"/>
        <w:sz w:val="16"/>
        <w:szCs w:val="1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00" w:before="120"/>
      <w:outlineLvl w:val="0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av-d6gv6lz_pxxgy9sfsq" Type="http://schemas.openxmlformats.org/officeDocument/2006/relationships/hyperlink" Target="https://www.data.gouv.fr/fr/datasets/base-sirene-des-entreprises-et-de-leurs-etablissements-siren-siret/" TargetMode="External"/><Relationship Id="rId60_gu_rt5tos0m2zckuj7" Type="http://schemas.openxmlformats.org/officeDocument/2006/relationships/hyperlink" Target="https://www.insee.fr/fr/statistiques/7632446?sommaire=7632456" TargetMode="External"/><Relationship Id="rIdyhtd7gnw8vlkfho40zz6b" Type="http://schemas.openxmlformats.org/officeDocument/2006/relationships/hyperlink" Target="https://media.anct.gouv.fr/ressources/2026-10/atlas-national-acv-t4-2025_0.pdf" TargetMode="External"/><Relationship Id="rIdhd6lrxzv-bfqpodreceox" Type="http://schemas.openxmlformats.org/officeDocument/2006/relationships/hyperlink" Target="https://8646969.fs1.hubspotusercontent-na1.net/hubfs/8646969/CODATA/Codata-Barom%C3%A8tre-offre-commerciale-dans-les-centres-villes-2026.pdf" TargetMode="External"/><Relationship Id="rIdtjxo0zdbok4qd7hkqdiuw" Type="http://schemas.openxmlformats.org/officeDocument/2006/relationships/hyperlink" Target="https://www.banquedesterritoires.fr/action-coeur-de-ville-des-resultats-sur-la-vacance-commerciale" TargetMode="External"/><Relationship Id="rId9yyauvi78qhxamcxb7c-u" Type="http://schemas.openxmlformats.org/officeDocument/2006/relationships/hyperlink" Target="https://agence-cohesion-territoires.gouv.fr/sites/default/files/2024-04/Observatoire%20des%20mobilit%C3%A9s%202023%20%2817%29.pdf" TargetMode="External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Proposition de missions d'entretiens dans les villes ACV</dc:title>
  <dc:creator>OCDE – étude de cas France</dc:creator>
  <cp:lastModifiedBy>Un-named</cp:lastModifiedBy>
  <cp:revision>1</cp:revision>
  <dcterms:created xsi:type="dcterms:W3CDTF">2026-10-09T07:45:18.964Z</dcterms:created>
  <dcterms:modified xsi:type="dcterms:W3CDTF">2026-10-09T07:45:18.978Z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