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Proposed structure: Country case study – France (revised)</w:t>
      </w:r>
    </w:p>
    <w:p>
      <w:pPr>
        <w:pBdr>
          <w:bottom w:val="single" w:color="1F3864" w:sz="12"/>
        </w:pBdr>
        <w:spacing w:after="240"/>
      </w:pPr>
      <w:r>
        <w:rPr>
          <w:color w:val="595959"/>
          <w:sz w:val="24"/>
          <w:szCs w:val="24"/>
        </w:rPr>
        <w:t xml:space="preserve">The twin transition and the future of retail SMEs in urban, peripheral, rural and cross-border areas</w:t>
      </w:r>
    </w:p>
    <w:p>
      <w:pPr>
        <w:spacing w:after="100" w:line="276"/>
      </w:pPr>
      <w:r>
        <w:t xml:space="preserve">This revision keeps the format and chapter template of the initial proposed structure and adds what the French case requires: a chapter on retail geography (peripheral zones, town centres, rural areas, priority neighbourhoods), a chapter on cross-border regions, the macroeconomic and financing context, a spatial lens drawn from the online observatory, the eight research questions, the interviews and the four case-study cities. Target length: </w:t>
      </w:r>
      <w:r>
        <w:rPr>
          <w:b/>
          <w:bCs/>
        </w:rPr>
        <w:t xml:space="preserve">about 96 pages</w:t>
      </w:r>
      <w:r>
        <w:t xml:space="preserve"> including annexes.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900"/>
        <w:gridCol w:w="4138"/>
      </w:tblGrid>
      <w:tr>
        <w:trPr>
          <w:tblHeader/>
        </w:trPr>
        <w:tc>
          <w:tcPr>
            <w:tcW w:type="dxa" w:w="46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Section</w:t>
            </w:r>
          </w:p>
        </w:tc>
        <w:tc>
          <w:tcPr>
            <w:tcW w:type="dxa" w:w="9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Pages</w:t>
            </w:r>
          </w:p>
        </w:tc>
        <w:tc>
          <w:tcPr>
            <w:tcW w:type="dxa" w:w="41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Change from initial structure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Foreword and executive summary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Executive summary adds territorial insights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1: Assessment and Recommendations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One section per chapter (six)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2: Retail SME Economic and Entrepreneurial Dynamics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Adds macro context, finance, scale-up and transmission, territorial distribution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3: Digitalisation of Retail SMEs in France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Adds micro-firms, platforms, AI, skills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4: The Greening of Retail SMEs in France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Adds buildings, land use, circular and social economy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5: Retail Geography – Peripheral Zones, Town Centres, Rural Areas and QPV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20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6: Retail SMEs in Cross-Border Regions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Chapter 7: Programmes and Policies (portfolio chapter)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Extended to territorial and cross-border programmes and the EU dimension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Annexes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New</w:t>
            </w:r>
          </w:p>
        </w:tc>
      </w:tr>
      <w:tr>
        <w:trPr>
          <w:cantSplit/>
        </w:trPr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96</w:t>
            </w:r>
          </w:p>
        </w:tc>
        <w:tc>
          <w:tcPr>
            <w:tcW w:type="dxa" w:w="4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</w:p>
        </w:tc>
      </w:tr>
    </w:tbl>
    <w:p>
      <w:pPr>
        <w:pStyle w:val="Heading1"/>
        <w:spacing w:after="160" w:before="320"/>
      </w:pPr>
      <w:r>
        <w:t xml:space="preserve">Synthesised version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Foreword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Executive summary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Brief description of French context for retail SMEs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Key insights by theme (in bullet points)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1: Assessment and Recommendations (synthesis chapter)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Sections by chapter (following roughly this structure):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General description of the issue tackled in chapter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Application to French case: main insights found in chapter (e.g. trends, barriers)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What is being done: brief recap of existing initiatives and policies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Concise policy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Box of main policy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2: Retail SME Economic and Entrepreneurial Dynamics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Key definitions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Context: macroeconomic and consumption trends</w:t>
      </w:r>
    </w:p>
    <w:p>
      <w:pPr>
        <w:pStyle w:val="ListParagraph"/>
        <w:keepNext/>
        <w:numPr>
          <w:ilvl w:val="2"/>
          <w:numId w:val="2"/>
        </w:numPr>
        <w:spacing w:after="40" w:line="264"/>
      </w:pPr>
      <w:r>
        <w:t xml:space="preserve">Methodology: describe approach (indicators, data)</w:t>
      </w:r>
    </w:p>
    <w:p>
      <w:pPr>
        <w:pStyle w:val="ListParagraph"/>
        <w:keepNext w:val="false"/>
        <w:numPr>
          <w:ilvl w:val="3"/>
          <w:numId w:val="2"/>
        </w:numPr>
        <w:spacing w:after="40" w:line="264"/>
      </w:pPr>
      <w:r>
        <w:t xml:space="preserve">Optional: box with methodological specifications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Box: key takeaways from chapter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Subsections: production and performance trends; structure by firm size; entry/exit dynamics; birth, death and churn rates; scale-up and transmission; share of turnover; share of employment; labour productivity; access to finance; exports and import values; territorial distribution of retail; regulatory environment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3: Digitalisation of Retail SMEs in France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Key definitions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Context of digital adoption in France</w:t>
      </w:r>
    </w:p>
    <w:p>
      <w:pPr>
        <w:pStyle w:val="ListParagraph"/>
        <w:keepNext/>
        <w:numPr>
          <w:ilvl w:val="2"/>
          <w:numId w:val="2"/>
        </w:numPr>
        <w:spacing w:after="40" w:line="264"/>
      </w:pPr>
      <w:r>
        <w:t xml:space="preserve">Methodology: describe approach (indicators, data)</w:t>
      </w:r>
    </w:p>
    <w:p>
      <w:pPr>
        <w:pStyle w:val="ListParagraph"/>
        <w:keepNext w:val="false"/>
        <w:numPr>
          <w:ilvl w:val="3"/>
          <w:numId w:val="2"/>
        </w:numPr>
        <w:spacing w:after="40" w:line="264"/>
      </w:pPr>
      <w:r>
        <w:t xml:space="preserve">Optional: box with methodological specifications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Box: key takeaways from chapter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Subsections: digital adoption rates; trends in digital adoption (e-commerce, omni-channel retailing, EDI systems, CRM tools); micro-firms and very small businesses; competition dynamics in digitalisation (marketplaces, platforms); artificial intelligence; cybersecurity landscape; digital skills; territorial dimension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Boxes: case studies of digitalisation by SMEs – good practices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4: The Greening of Retail SMEs in France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Key definitions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Sustainability in France: general observations, country-level and applicable EU-level priorities</w:t>
      </w:r>
    </w:p>
    <w:p>
      <w:pPr>
        <w:pStyle w:val="ListParagraph"/>
        <w:keepNext/>
        <w:numPr>
          <w:ilvl w:val="2"/>
          <w:numId w:val="2"/>
        </w:numPr>
        <w:spacing w:after="40" w:line="264"/>
      </w:pPr>
      <w:r>
        <w:t xml:space="preserve">Methodology: describe approach (indicators, data)</w:t>
      </w:r>
    </w:p>
    <w:p>
      <w:pPr>
        <w:pStyle w:val="ListParagraph"/>
        <w:keepNext w:val="false"/>
        <w:numPr>
          <w:ilvl w:val="3"/>
          <w:numId w:val="2"/>
        </w:numPr>
        <w:spacing w:after="40" w:line="264"/>
      </w:pPr>
      <w:r>
        <w:t xml:space="preserve">Optional: box with methodological specifications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Box: key takeaways from chapter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Subsections: share of emissions; production and demand-based emissions; emissions tracking; energy and buildings; land use; waste management; circular and social-economy models; SME practices and barriers; twin-transition interactions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Boxes: case studies of greening by SMEs – good practices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5: Retail Geography – Peripheral Zones, Town Centres, Rural Areas and Priority Neighbourhoods (new)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Key definitions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Context: the French retail geography</w:t>
      </w:r>
    </w:p>
    <w:p>
      <w:pPr>
        <w:pStyle w:val="ListParagraph"/>
        <w:keepNext/>
        <w:numPr>
          <w:ilvl w:val="2"/>
          <w:numId w:val="2"/>
        </w:numPr>
        <w:spacing w:after="40" w:line="264"/>
      </w:pPr>
      <w:r>
        <w:t xml:space="preserve">Methodology: describe approach (indicators, data)</w:t>
      </w:r>
    </w:p>
    <w:p>
      <w:pPr>
        <w:pStyle w:val="ListParagraph"/>
        <w:keepNext w:val="false"/>
        <w:numPr>
          <w:ilvl w:val="3"/>
          <w:numId w:val="2"/>
        </w:numPr>
        <w:spacing w:after="40" w:line="264"/>
      </w:pPr>
      <w:r>
        <w:t xml:space="preserve">Optional: box with methodological specifications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Box: key takeaways from chapter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Subsections: weight of peripheral zones; dynamics 2012-2025; vacancy and signs of erosion; effects of peripheral zones on town centres (Q1) and priority neighbourhoods (Q2); regulation from competition to land; transforming peripheral zones; revitalising town centres and small towns; rural areas; priority neighbourhoods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Boxes: case studies (cities, transformation projects) – good practices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6: Retail SMEs in Cross-Border Regions (new)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Key definitions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Context: France's borders and cross-border commuting</w:t>
      </w:r>
    </w:p>
    <w:p>
      <w:pPr>
        <w:pStyle w:val="ListParagraph"/>
        <w:keepNext/>
        <w:numPr>
          <w:ilvl w:val="2"/>
          <w:numId w:val="2"/>
        </w:numPr>
        <w:spacing w:after="40" w:line="264"/>
      </w:pPr>
      <w:r>
        <w:t xml:space="preserve">Methodology: describe approach (indicators, data)</w:t>
      </w:r>
    </w:p>
    <w:p>
      <w:pPr>
        <w:pStyle w:val="ListParagraph"/>
        <w:keepNext w:val="false"/>
        <w:numPr>
          <w:ilvl w:val="3"/>
          <w:numId w:val="2"/>
        </w:numPr>
        <w:spacing w:after="40" w:line="264"/>
      </w:pPr>
      <w:r>
        <w:t xml:space="preserve">Optional: box with methodological specifications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Box: key takeaways from chapter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Subsections: scale of cross-border shopping; leakage and inbound flows; tax and price gaps (Q4); retail models and distribution of gains (Q3); cross-border governance; policy options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Boxes: cross-border cooperation projects – good practices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7: SME Digitalisation, Sustainability and Territorial Programmes and Policies in France (programme portfolio chapter)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Programme typologies (technical, non-technical; digital, green, digital &amp; green; territorial)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Key applicable legislation (national and EU-level)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Box: typology specifications</w:t>
      </w:r>
    </w:p>
    <w:p>
      <w:pPr>
        <w:pStyle w:val="ListParagraph"/>
        <w:keepNext/>
        <w:numPr>
          <w:ilvl w:val="1"/>
          <w:numId w:val="2"/>
        </w:numPr>
        <w:spacing w:after="40" w:line="264"/>
      </w:pPr>
      <w:r>
        <w:rPr>
          <w:b/>
          <w:bCs/>
        </w:rPr>
        <w:t xml:space="preserve">Subsections (split according to programme category)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Description of programme/policy type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Main examples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Description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Evaluation</w:t>
      </w:r>
    </w:p>
    <w:p>
      <w:pPr>
        <w:pStyle w:val="ListParagraph"/>
        <w:keepNext w:val="false"/>
        <w:numPr>
          <w:ilvl w:val="2"/>
          <w:numId w:val="2"/>
        </w:numPr>
        <w:spacing w:after="40" w:line="264"/>
      </w:pPr>
      <w:r>
        <w:t xml:space="preserve">Optional: boxes with examples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Data visualisations and corresponding analyses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Related programmes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Boxes: international examples of good practices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Annexes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A. Methodology and online observatory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B. Case-study cities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C. Interviews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D. Data gaps and statistical recommendations</w:t>
      </w:r>
    </w:p>
    <w:p>
      <w:pPr>
        <w:pStyle w:val="ListParagraph"/>
        <w:keepNext w:val="false"/>
        <w:numPr>
          <w:ilvl w:val="1"/>
          <w:numId w:val="2"/>
        </w:numPr>
        <w:spacing w:after="40" w:line="264"/>
      </w:pPr>
      <w:r>
        <w:rPr>
          <w:b/>
          <w:bCs/>
        </w:rPr>
        <w:t xml:space="preserve">E. Glossary and acronyms</w:t>
      </w:r>
    </w:p>
    <w:p>
      <w:pPr>
        <w:pStyle w:val="Heading1"/>
        <w:pageBreakBefore/>
        <w:spacing w:after="160" w:before="0"/>
      </w:pPr>
      <w:r>
        <w:t xml:space="preserve">Detailed version</w:t>
      </w:r>
    </w:p>
    <w:p>
      <w:pPr>
        <w:pStyle w:val="ListParagraph"/>
        <w:keepNext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Foreword (1 page)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Aim of paper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Specify the policy challenge it addresses: how retail SMEs in France adapt to the green and digital transitions, in town centres, peripheral zones, rural areas and border regions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Describe its purpose within the broader retail project: how the OECD aims to support the Retail Transition Pathway; partnership with the DGE and DG GROW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Define paper scope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List the report's main sections: sector and transitions (Chapters 2-4), places (Chapters 5-6), policies (Chapter 7)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Explain their relevance to France's retail SME competitiveness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Evidence base: Eurostat and OECD statistics, Insee Sirene, Cerema, online observatory, 11 interviews, 4 case-study cities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Optional: provide details on when paper was approved (discussion at the CSMEE, April 2027)</w:t>
      </w:r>
    </w:p>
    <w:p>
      <w:pPr>
        <w:pStyle w:val="ListParagraph"/>
        <w:keepNext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Executive summary (2 pages)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Brief description of French context for retail SMEs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A 'thin middle': 95.2% micro-firms, large retailers capture 58% of value added (EU 40%)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Micro-retailers lost 24% of real value added over 2008-2024 while large retailers gained 37%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Two thirds of retail sales in peripheral zones; town-centre vacancy at 14% (6% in 2010)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Up to 14% of in-store spending made abroad in border departments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Key insights by theme (in bullet points): one insight and one figure per chapter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Three to five headline recommendations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1: Assessment and Recommendations (synthesis chapter) (10 pages)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Purpose: synthesising the report and presenting actionable recommendations; reading guide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Sections by chapter (Chapters 2 to 7, about 1.4 pages each), following roughly this structure: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General description of the issue tackled in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Application to French case: main insights found in chapter (e.g. trends, barriers)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What is being done: brief recap of existing initiatives and policies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Concise policy recommendations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Box 1.1 Main policy recommendations: by chapter, responsible actor (State, local authorities, operators, EU) and horizon (short, medium term)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2: Retail SME Economic and Entrepreneurial Dynamics (13 pages)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Key definitions</w:t>
      </w:r>
      <w:r>
        <w:t xml:space="preserve">: SME size classes (micro 0-9, small 10-49, medium 50-249 persons employed); retail trade (NACE G47); enterprise vs establishment (point of sale); churn; high-growth enterprise and gazelle; business transmission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Context: macroeconomic and consumption trends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Growth of 0.8% in 2025 and 2026; unemployment from 7.9% (Q4 2025) to 8.7% (2027); household saving rate near 19%; energy-price shock in 2026 (inflation peaking at 2.9% in Q3); deficit 5.1% of GDP, debt around 120% (European Commission; OECD Economic Outlook 2025/2)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Goods consumption down three years running (−2.3%, −1.7%, −0.4%); polarisation between constrained and pleasure consumption; 'consommation subie'; '15-minute' proximity shopping (Macarez et al., 2025)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E-commerce at 10% of retail (+80% since 2019); marketplaces above half of online purchases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Methodology</w:t>
      </w:r>
      <w:r>
        <w:t xml:space="preserve">: Eurostat structural business statistics as published in the SME Performance Review 2025 (2008-2025, 2024 nowcast, 2025 forecast); OECD Financing SMEs and Entrepreneurs 2026 scoreboard; Insee Sirene shop-stock reconstruction 2012-2025 (online observatory)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Optional: Box 2.1 Methodological specifications (size-band effect, nowcasts, Sirene geolocation and assignment to town centres, peripheral zones and QPV)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Box 2.2 Key takeaways from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Research questions addressed</w:t>
      </w:r>
      <w:r>
        <w:t xml:space="preserve">: baseline for Q3 and Q5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Production and performance trends, 2008-2024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Real value added in retail (G47): SMEs −6%, micro-firms −24%, large firms +37%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Micro-firms are the only size class with growing employment and falling real value added (2024)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Structure by firm size: the 'thin middle'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SMEs hold 54.4% of retail employment (EU 65%) and 42% of value added (EU 53%); about 21 000 medium-sized firms; weak midcap presence and few scale-ups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Entry/exit dynamics; birth, death and churn rates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Rising churn in French retail while wholesale churn fell (EU retail 20% → 19%, 2011-2021)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Bankruptcies 66 262 (2024) and 68 000 (2025)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Shops (Sirene, observatory): 460 048 on 1 January 2025 (+2.2% since 2019), entries and exits by period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Scale-up and transmission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High-growth enterprises in trade (G): 10.1% (2019) → 4.9% (2022); gazelles 177 → 45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500 000 firms (3 million jobs) could change hands within ten years; retail and hospitality are 57% of 2024 transfers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Share of turnover and share of employment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By size class and subsector: food and food service (+75% turnover in 16 years) vs fashion (−14 000 establishments)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Physical retail created 800 000 jobs (2006-2022) vs about 50 000 for e-commerce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Labour productivity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Micro-firms −23% (2008-2024); SMEs grew by hiring rather than by efficiency gains; EU retail SME productivity +14.6% (2018-2025)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Access to finance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SME loan rates 1.00% (2020) → 4.26% (2024); rejection rate 4.1%; application rate 37.9% (2015) → 33.0% (2024): discouraged borrowers; collateral 6.4%; state-guaranteed loans 26.4% left to repay (March 2025)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Exports and import values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Exceptional increase in exporting retailers; France among the largest gains in importing retailers (Local Retail, Global Trends)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Territorial distribution of retail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Shop density by municipality type; centre / periphery / QPV / elsewhere, 2012-2025 (observatory); 62% of municipalities without a shop (2021)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Regulatory environment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'Silence means consent', one-stop shop, remaining barriers in retail distribution (OECD Economic Survey 2024); 2026 simplification law (monthly rents, deposit capped at three months)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Latest-year snapshot, time series, benchmark (EU-27, OECD, selected peers), cross-sector comparison, disaggregation by firm size, subsector, region, city and rural-urban, spatial analysis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enterprises, employment and value added by size, France vs EU-27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real value added and productivity by size, 2008-2024 (index)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high-growth enterprises and gazelles, 2012-2022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SME loan conditions, 2012-2024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shops by location type, 2012-2025, and density map by department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Boxes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2.3 France 2030 and SMEs (EUR 54 billion; SMEs are 55% of beneficiaries) – to draft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Interviews: Guy Gras (CdCF), Nicolas Bonnet (CCI France)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close the 'thin middle' (scale-up, transmission including employee buy-outs); SME access to finance for transition investment; retail statistics by firm size and territory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SME Performance Review 2025; Financing SMEs and Entrepreneurs 2026; OECD Economic Survey of France 2024; Local Retail, Global Trends; Insee; Banque de France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3: Digitalisation of Retail SMEs in France (11 pages)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Key definitions</w:t>
      </w:r>
      <w:r>
        <w:t xml:space="preserve">: e-commerce, omnichannel, EDI, CRM, AI adoption, marketplace, cybersecurity incident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Context of digital adoption in France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Weak diffusion of digital technologies among SMEs (OECD Economic Survey 2024); fibre roll-out but 41% of firms without fibre hesitate to switch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Foreign low-cost platforms and fast fashion; consumer protection and customs debates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Methodology</w:t>
      </w:r>
      <w:r>
        <w:t xml:space="preserve">: OECD ICT Access and Usage by Businesses (firms with 10+ employees, 2009-2025); France Num barometer 2026 (9 000+ very small businesses and SMEs); observatory (e-commerce intensity by territory)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Optional: Box 3.1 Methodological specifications: the ICT survey excludes micro-firms, about 95% of French retailers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Box 3.2 Key takeaways from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Research questions addressed</w:t>
      </w:r>
      <w:r>
        <w:t xml:space="preserve">: Q5 (which retailers are most advanced in the digital transition)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Digital adoption rates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Retailers whose website allows ordering: 41.5% (EU 41.6%), up from 16.7% in 2009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Balanced e-commerce adoption between wholesale (B2B) and retail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Trends in digital adoption (e-commerce, omni-channel retailing, EDI systems, CRM tools)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Uses that work for proximity retail: visibility, click-and-collect, local delivery, loyalty and CRM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Collective digital platforms at town-centre level ('open-air shopping centre') rather than isolated websites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Micro-firms and very small businesses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France Num 2026: 40% use AI, 83% have an online visibility tool, 46% get 5%+ of customers online, 76% use data to steer their business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SME Twin Transition Monitor: France in the middle tier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Competition dynamics in digitalisation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Marketplaces above half of online purchases; ultra-fast commerce (30% of the French have used it, CRÉDOC)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Responses: parcel tax of EUR 2 per product category (2026), DGCCRF controls tripled, EU customs reform, anti fast fashion bill; proposals of Macarez et al. (warehouse taxation, commercial authorisation for e-commerce warehouses)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Artificial intelligence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AI adoption (10+ employees): 18.2% vs 19.9% in the EU, 91% of the EU rate (80% in 2020)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Osez l'IA, CCI France and France Num campaign (20 000 firms), DGE call (33 AI solution providers for retail), CNC use-case guide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Cybersecurity landscape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39% of very small businesses hit by an incident in a year; 84% have a protection measure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Digital skills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Merchant training fell from 100 000 to 15 000 per year after the pre-creation obligation ended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Territorial dimension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E-commerce intensity by municipality density and type (observatory)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Latest-year snapshot, time series, benchmark (EU-27, OECD, selected peers), cross-sector comparison, disaggregation by firm size, subsector, region, city and rural-urban, spatial analysis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website ordering, France vs EU-27, 2009-2025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AI adoption, France vs EU-27, 2020 and 2025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France Num indicators by firm size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e-commerce intensity by municipality type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Boxes: case studies of digitalisation by SMEs – good practices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3.3 France Num – drafted (Policy boxes v2)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3.4 Osez l'IA and Diag Data IA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3.5 Good practice: collective digital platform of a town centre – to identify in interviews (Paris, Mulhouse)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Interviews: Aurélien Palix and Bénédicte Roullier (DGE), Vincent Criquebec (Bpifrance), Nicolas Bonnet (CCI France)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extend digital statistics to micro-firms; shift support from individual websites to collective, place-based tools; merchant training on digital and AI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OECD ICT database; France Num barometer (DGE, CRÉDOC); CRÉDOC; Macarez et al. (2025); DGE (nine measures)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4: The Greening of Retail SMEs in France (11 pages)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Key definitions</w:t>
      </w:r>
      <w:r>
        <w:t xml:space="preserve">: greenhouse gas emissions (production and demand based), energy intensity, land take (artificialisation), circular economy, social and solidarity economy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Sustainability in France: general observations, country-level and applicable EU-level priorities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National low-carbon strategy; Climate and Resilience Act (ZAN); décret tertiaire; anti-waste law (AGEC); roadmap for exiting fossil fuels (2026)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EU Green Deal and Fit for 55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Methodology</w:t>
      </w:r>
      <w:r>
        <w:t xml:space="preserve">: OECD Air Emissions Accounts (G47, 2008-2024); Flash Eurobarometer and SME Performance Review (SME practices); Cerema land-consumption files (2011-2024)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Optional: Box 4.1 Methodological specifications (residence principle, biomass CO₂ excluded, EU estimates)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Box 4.2 Key takeaways from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Research questions addressed</w:t>
      </w:r>
      <w:r>
        <w:t xml:space="preserve">: Q6 (which territories are most advanced in the green transition)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Share of emissions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Retail GHG emissions −56% over 2008-2024, first in the EU-27 (EU −39%)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France among the largest energy consumers in retail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Production and demand-based emissions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Role of the electricity mix: 95% renewables and nuclear in 2024; what is left for SMEs to act on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Emissions tracking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21% of EU SMEs have a carbon strategy; reporting obligations and their reach to small retailers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Energy and buildings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Décret tertiaire: −40% energy use by 2030, −50% by 2040, −60% by 2050 for buildings above 1 000 m²; peripheral 'thermal sieves'; refrigeration and lighting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Land use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Trade uses the most land of any sector over a decade, but its share fell from about 30% to under 20% (Banque de France); 15 119 ha consumed in 2024; link to Chapter 5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Waste management and circular models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CNC report on circular retail (second hand, repair, rental, deposit, bulk, unsold goods); social and solidarity economy (2.59 million employees), Les Canaux, repair cafés, PTCE clusters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SME practices and barriers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66% save energy or minimise waste; barriers: administrative complexity (35%), cost (28%); green skills in 1-2% of job ads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Twin-transition interactions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Synergies (energy monitoring, inventory optimisation) and trade-offs (delivery, ultra-fast commerce)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Latest-year snapshot, time series, benchmark (EU-27, OECD, selected peers), cross-sector comparison, disaggregation by firm size, subsector, region, city and rural-urban, spatial analysis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retail GHG emissions, France vs EU-27, 2008-2024 (index)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land consumption for economic activity, 2011-2024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resource-efficiency actions of SMEs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Boxes: case studies of greening by SMEs – good practices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4.3 Prêt Vert – drafted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4.4 Diag Éco-Flux – drafted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4.5 Communauté du Coq Vert – drafted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4.6 Good practice: circular retail SME – to identify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Interviews: Marie Adeline-Peix (Bpifrance), Nicolas Bonnet (CCI France), Guy Gras (CdCF)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simpler access to green finance and diagnostics for very small retailers; energy retrofits of premises ahead of 2030; circular models through local networks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OECD Air Emissions Accounts; SME Performance Review 2025; Banque de France; Cerema; CNC (2026); OECD Social Economy in Europe: France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5: Retail Geography – Peripheral Zones, Town Centres, Rural Areas and Priority Neighbourhoods (20 pages, new)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Key definitions</w:t>
      </w:r>
      <w:r>
        <w:t xml:space="preserve">: three retail formats (street-level shops, peripheral retail zones, enclosed shopping centres); town centre; commercial vacancy; priority neighbourhood (QPV); rural municipality (Insee density grid)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Context: the French retail geography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More than 1 500 peripheral zones covering about 500 million m², five times the built area of Paris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Periphery: 67% of retail sales and 72% of in-store spending; town centres 11%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Two European models: 'liberal' (France, Belgium, Madrid region) vs 'planning-led' (Germany, Italy, Catalonia, England, Netherlands)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Methodology</w:t>
      </w:r>
      <w:r>
        <w:t xml:space="preserve">: Cerema inventory of peripheral zones; Insee Sirene geolocated shops assigned to town centres (municipalities with 5 000+ inhabitants), peripheral zones and QPV, 2012-2025 (observatory); Insee Première 2091; Procos and Codata vacancy; ANCT Action Cœur de Ville atlas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Optional: Box 5.1 Methodological specifications (town-centre perimeter, exposure to peripheral floor space within 10 km)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Box 5.2 Key takeaways from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Research questions addressed</w:t>
      </w:r>
      <w:r>
        <w:t xml:space="preserve">: Q1 (impact of peripheral zones on town-centre vitality), Q2 (impact on QPV), Q8 (reconciling competitiveness, revitalisation and environmental goals)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Dynamics, 2012-2025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2016-2022: employment +1.3% a year in peripheral poles vs +0.2% in town centres; establishments +9.1% vs −5.9%; average store 730 m² vs 115 m² (Insee)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Observatory: shops in peripheral zones +35.4% since 2012, town centres −2.6%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Vacancy and signs of erosion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Town centres: 14% in 2024 vs 6% in 2010; above 20% in 14% of centres; large cities lowest but accelerating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Periphery: vacancy roughly doubled since 2007 to 8.4% and rising faster; footfall concentrated in zones mixing retail and leisure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A changing mix in town centres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From destination shopping to 'strolling' and services; narrowing commercial strip; restaurant paradox (−13% turnover per outlet in ACV towns); opaque rents and financialisation; fewer residents (short-term rentals)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Effects of peripheral zones on town centres (Q1) and on QPV (Q2)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Observatory: change in town-centre shops by quartile of peripheral floor space within 10 km; QPV shops by distance to the nearest zone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Descriptive, not causal; complemented by interviews and case cities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Regulation: from protecting competitors to protecting land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Royer (1973), Raffarin (1996), LME (2008), ALUR/Pinel (2014), ELAN (2018), Climate and Resilience (2021), ZAN law (2023), simplification law (2026)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Authorised retail floor space −67% (2019-2024); average project 5 000 m² in 2023 vs 14 000 m² in 2014; France the only country with a binding land-take target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Transforming peripheral zones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 for the transformation of commercial zones: 90 projects, EUR 31.4 million; ANCT environmental fund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437 transformation projects on 8 606 ha (Icade × SCET), 56% at intention stage, 1% completed; 64% of the French see housing at commercial city entrances as a priority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Local tools: SCoT and DAAC, PLU(i), ORT, CDAC, Tascom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Revitalising town centres and small towns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Retail managers (515 posts, EUR 20 million), redevelopment property companies (100 foncières programme, EUR 300 million; FRLA), commercial wasteland tax (480 municipalities, 68 intermunicipalities), 'Ville commerçante' charter, vacancy diagnosis tool, 'Made in Local', test shops, place identity and branding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Action Cœur de Ville (244 towns, EUR 12 billion, average vacancy 14.5%), Petites villes de demain (1 646 municipalities), retail strand after 2026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Rural areas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62% of municipalities without a shop; Villages d'avenir (3 000+ municipalities); Rural Recovery Programme (EUR 36 million, 2023-2026; 371 projects by July 2024)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Priority neighbourhoods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1 609 QPV, 6 million residents; viable offer by neighbourhood size (below 3 000, 3 000-10 000, above 10 000 inhabitants); obsolete premises; underground economy; business creation 1.7 per 100 inhabitants vs 2.2 elsewhere; Entrepreneuriat Quartiers 2030; QPV property vehicle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From the Macarez report to the nine government measures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What is under way and what remains open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Latest-year snapshot, time series, benchmark (EU-27, OECD, selected peers), cross-sector comparison, disaggregation by firm size, subsector, region, city and rural-urban, spatial analysis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share of retail sales by location, France vs Germany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authorised retail floor space, 1974-2024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town-centre vacancy by city size, 2014-2024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town-centre shops by peripheral exposure; QPV shops by distance to zones (observatory)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vacancy trajectories of ACV towns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Boxes: case studies and good practices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5.3 Montigny-lès-Cormeilles: turning a 1.5 km retail strip into a town centre – drafted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5.4 Fifty years of commercial planning law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5.5 Redevelopment property companies and retail managers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5.6 Rural Recovery Programme – drafted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5.7 International practice: the German planning-led model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Case studies: Paris (BDCom data, SEM Paris Commerces), Sète (land sobriety, 3.7% vacancy), Bressuire (vacancy 17.9% → 8.6%)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Interviews: Pascal Madry, Julien Aubignat (Procos), Frédéric Gibert (Banque des Territoires), Diane Gallais and Suzie Chevée (ANCT)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commercial master plan per catchment area covering centre and periphery; scale transformation funding beyond pilots; stable funding for retail managers and foncières; rent observatories; retail strand in the next ACV and PVD programmes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Cerema; Insee Première 2091; Procos; Codata; ANCT; Icade × SCET (2026); Macarez et al. (2025); DGE (nine measures); OECD Local Identity, Pride and Branding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6: Retail SMEs in Cross-Border Regions (10 pages, new)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Key definitions</w:t>
      </w:r>
      <w:r>
        <w:t xml:space="preserve">: cross-border shopping, commercial leakage, inbound shopping, cross-border commuter, excise duties, Eurodistrict and EGTC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Context: France's borders and cross-border commuting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36% of the population lives in a border department; 505 700 cross-border workers in 2023 (+41% since 2012), 71.5% in Switzerland or Luxembourg; 40+ cooperation structures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Methodology</w:t>
      </w:r>
      <w:r>
        <w:t xml:space="preserve">: Insee Première 2075 (bank-card data, 2024), Insee Première 2027, OFDT tobacco sales, observatory (border vs non-border areas), literature (Belkacem et al., 2022; Mathä et al., 2017; Kluser, 2025)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Optional: Box 6.1 Methodological specifications (coverage of bank-card data, natural experiment of the 2020 border closures)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Box 6.2 Key takeaways from chapter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Research questions addressed</w:t>
      </w:r>
      <w:r>
        <w:t xml:space="preserve">: Q3 (specific retail models in border regions), Q4 (tax and price gaps)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Scale and patterns of cross-border shopping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Up to 14% of in-store spending abroad (Moselle 13.9%, Pyrénées-Orientales 12%); half of border households buy abroad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Regular patterns (Switzerland, Luxembourg: EUR 1 600 a year) vs seasonal (Spain, Italy, Andorra)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Leakage and inbound flows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Leakage in the north-east; inbound shopping from Switzerland (11.3% of grocery spending of nearby Swiss households diverted abroad, Kluser 2025)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Tax and price gaps (Q4)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Fuel and tobacco: 31% of spending abroad (59% in Luxembourg); diesel excise 59.4 vs 33.5 cents per litre (Luxembourg); VAT 20% vs 17%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Tobacconist sales −33.2% in border departments (Moselle −46.2%); at least 9.5% of tobacco bought abroad (2020 natural experiment)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Retail models and distribution of gains (Q3)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Large formats along commuter corridors (European Development Pole, Mont-Saint-Martin); opposition of the SaarMoselle Eurodistrict to the Zweibrücken outlet extension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Vacancy in Nord border towns (Maubeuge 15.9%) vs Thionville (−4.8 points)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Cross-border governance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Interreg 2014-2020: EUR 3.02 billion, SME competitiveness about 7%; BRIDGEforEU (ANCT national coordination point); MOT; ESPON CROSSSHOP (results 2027); tobacconist support (8% rebate, EUR 2 000 bonus)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rPr>
          <w:b/>
          <w:bCs/>
        </w:rPr>
        <w:t xml:space="preserve">Policy options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Fiscal cooperation (Belgium-Luxembourg excise revenue sharing); joint assessment of large retail projects (MORO); cross-border retail observatory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Data visualisations and corresponding analyses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Latest-year snapshot, time series, benchmark (EU-27, OECD, selected peers), cross-sector comparison, disaggregation by firm size, subsector, region, city and rural-urban, spatial analysis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share of in-store spending abroad by department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cross-border workers by country, 2012-2023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tobacconist sales, border vs non-border departments, 2017-2022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Planned: VAT and excise rates, France and neighbours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Boxes: cross-border cooperation projects – good practices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6.3 Business Twin (Upper Rhine)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6.4 Interreg COMMERCE! (France-Wallonia-Flanders)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6.5 MORO and the SaarMoselle retail working group – to draft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Case study: Mulhouse (600+ shop openings, vacancy from about 14% to under 9%, trinational Basel area)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Interviews: Frédéric Marquet (Mulhouse), Jean Peyrony (MOT), Danièle Schmitt (CCI Alsace Eurométropole)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make retail an explicit theme of cross-border cooperation; joint assessment of large cross-border retail projects; fiscal cooperation on excise goods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Insee Première 2075 and 2027; Insee Analyses 97; OFDT; ESPON; MOT; CCI observatories (Moselle, Alsace, Pyrénées-Orientales)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Chapter 7: SME Digitalisation, Sustainability and Territorial Programmes and Policies in France (programme portfolio chapter) (13 pages)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Cover page: chapter scope and structure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Introduction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Purpose: map the policy mix, assess coherence and effectiveness, draw international lessons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Research questions addressed: Q7 (most effective policies), Q8 (reconciling competitiveness, revitalisation and environmental goals)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Programme typologies (technical, non-technical; digital, green, digital &amp; green; territorial)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OECD mapping of French instruments: 22 green only, 5 digital only, 4 green and digital, 2 territorial; 18 technical, 9 financial, 5 mixed; 6 targeted at retail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Key applicable legislation (national and EU-level)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National: Climate and Resilience Act, ELAN, AGEC, décret tertiaire, commercial planning law, simplification law (2026)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EU: SME strategy, Recovery and Resilience Facility, cohesion policy and Interreg, BRIDGEforEU, customs reform for small parcels, Digital Services Act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Box 7.1 Typology specifications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Subsections (split according to programme category: digital; green; digital &amp; green; territorial; cross-border; financing)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Description of programme/policy type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Main examples (fiche for each)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Name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Target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Scope (e.g. national, regional, local, urban, rural)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If applicable, budget &amp; source of funding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Benefits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Period (timeline)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Key stakeholders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Evaluation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Examples by category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Digital: France Num, Osez l'IA, Prêt Boost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Green: Prêt Vert, Diag Éco-Flux, Coq Vert, décret tertiaire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Territorial: Action Cœur de Ville, Petites villes de demain, Villages d'avenir, plan for commercial zones, Rural Recovery Programme, foncières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Cross-border: Interreg, Business Twin, tobacconist support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Cross-cutting: PNRR (EUR 40.3 billion; France received 85% of its allocation and met 82% of milestones), France 2030</w:t>
      </w:r>
    </w:p>
    <w:p>
      <w:pPr>
        <w:pStyle w:val="ListParagraph"/>
        <w:keepNext/>
        <w:numPr>
          <w:ilvl w:val="2"/>
          <w:numId w:val="3"/>
        </w:numPr>
        <w:spacing w:after="40" w:line="264"/>
      </w:pPr>
      <w:r>
        <w:t xml:space="preserve">Optional: boxes with examples</w:t>
      </w:r>
    </w:p>
    <w:p>
      <w:pPr>
        <w:pStyle w:val="ListParagraph"/>
        <w:keepNext w:val="false"/>
        <w:numPr>
          <w:ilvl w:val="3"/>
          <w:numId w:val="3"/>
        </w:numPr>
        <w:spacing w:after="40" w:line="264"/>
      </w:pPr>
      <w:r>
        <w:t xml:space="preserve">Box 7.2 PNRR – drafted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Data visualisations and corresponding analyses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Policy mapping by orientation and type; PNRR allocation by pillar; programme coverage by territory type (observatory)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Related programmes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Multi-level governance: State (DGE, ANCT), regions, intermunicipalities, CCI and CMA, Banque des Territoires, Bpifrance, Conseil national du commerce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Evaluation gaps: scarcity of impact evaluations (Court of Auditors); missing data on vacancy, rents, micro-firm digital use, energy of premises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Boxes: international examples of good practices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Germany (planning-led retail), Flanders and Wallonia (land take), Belgium-Luxembourg (excise revenue sharing), Paisley and Nantes (place-based regeneration)</w:t>
      </w:r>
    </w:p>
    <w:p>
      <w:pPr>
        <w:pStyle w:val="ListParagraph"/>
        <w:keepNext/>
        <w:numPr>
          <w:ilvl w:val="1"/>
          <w:numId w:val="3"/>
        </w:numPr>
        <w:spacing w:after="40" w:line="264"/>
      </w:pPr>
      <w:r>
        <w:rPr>
          <w:b/>
          <w:bCs/>
        </w:rPr>
        <w:t xml:space="preserve">Conclusions and recommendations</w:t>
      </w:r>
    </w:p>
    <w:p>
      <w:pPr>
        <w:pStyle w:val="ListParagraph"/>
        <w:keepNext w:val="false"/>
        <w:numPr>
          <w:ilvl w:val="2"/>
          <w:numId w:val="3"/>
        </w:numPr>
        <w:spacing w:after="40" w:line="264"/>
      </w:pPr>
      <w:r>
        <w:t xml:space="preserve">Directions: evaluate flagship programmes with control groups; one-stop access for very small retailers; align digital, green and territorial instruments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References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Endnotes</w:t>
      </w:r>
    </w:p>
    <w:p>
      <w:pPr>
        <w:pStyle w:val="ListParagraph"/>
        <w:keepNext/>
        <w:pageBreakBefore/>
        <w:numPr>
          <w:ilvl w:val="0"/>
          <w:numId w:val="3"/>
        </w:numPr>
        <w:spacing w:after="100" w:before="240"/>
      </w:pPr>
      <w:r>
        <w:rPr>
          <w:b/>
          <w:bCs/>
          <w:color w:val="1F3864"/>
          <w:sz w:val="24"/>
          <w:szCs w:val="24"/>
        </w:rPr>
        <w:t xml:space="preserve">Annexes (5 pages)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A. Methodology and online observatory: Sirene shop-stock reconstruction, geolocation, composite indices, indicator definitions and sources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B. Case-study cities: one page per city (profile, key figures, policies, interview findings)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C. Interviews: organisations and dates (no personal contact details)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D. Data gaps and statistical recommendations</w:t>
      </w:r>
    </w:p>
    <w:p>
      <w:pPr>
        <w:pStyle w:val="ListParagraph"/>
        <w:keepNext w:val="false"/>
        <w:numPr>
          <w:ilvl w:val="1"/>
          <w:numId w:val="3"/>
        </w:numPr>
        <w:spacing w:after="40" w:line="264"/>
      </w:pPr>
      <w:r>
        <w:rPr>
          <w:b/>
          <w:bCs/>
        </w:rPr>
        <w:t xml:space="preserve">E. Glossary and acronyms</w:t>
      </w:r>
    </w:p>
    <w:p>
      <w:pPr>
        <w:pStyle w:val="Heading1"/>
        <w:pageBreakBefore/>
        <w:spacing w:after="160" w:before="0"/>
      </w:pPr>
      <w:r>
        <w:t xml:space="preserve">Supporting tables</w:t>
      </w:r>
    </w:p>
    <w:p>
      <w:pPr>
        <w:pStyle w:val="Heading2"/>
        <w:keepNext/>
        <w:spacing w:after="100" w:before="240"/>
      </w:pPr>
      <w:r>
        <w:t xml:space="preserve">Research questions by chapter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500"/>
        <w:gridCol w:w="2138"/>
      </w:tblGrid>
      <w:tr>
        <w:trPr>
          <w:tblHeader/>
        </w:trPr>
        <w:tc>
          <w:tcPr>
            <w:tcW w:type="dxa" w:w="60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Research question</w:t>
            </w:r>
          </w:p>
        </w:tc>
        <w:tc>
          <w:tcPr>
            <w:tcW w:type="dxa" w:w="15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Main chapter</w:t>
            </w:r>
          </w:p>
        </w:tc>
        <w:tc>
          <w:tcPr>
            <w:tcW w:type="dxa" w:w="21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Also in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Q1. Impact of peripheral retail zones on town-centre vitality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Q2. Impact of peripheral zones on priority neighbourhoods (QPV)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Q3. Specific retail models in border regions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Q4. Effect of tax and price gaps on shopping behaviour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Q5. Which retailers are most advanced in the digital transition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Q6. Which territories are most advanced in the green transition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Q7. Which public policies seem most effective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Q8. Reconciling competitiveness, urban revitalisation and environmental goals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1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1, 5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Case-study cities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1100"/>
        <w:gridCol w:w="3238"/>
      </w:tblGrid>
      <w:tr>
        <w:trPr>
          <w:tblHeader/>
        </w:trPr>
        <w:tc>
          <w:tcPr>
            <w:tcW w:type="dxa" w:w="15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City</w:t>
            </w:r>
          </w:p>
        </w:tc>
        <w:tc>
          <w:tcPr>
            <w:tcW w:type="dxa" w:w="38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Why</w:t>
            </w:r>
          </w:p>
        </w:tc>
        <w:tc>
          <w:tcPr>
            <w:tcW w:type="dxa" w:w="11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Chapter</w:t>
            </w:r>
          </w:p>
        </w:tc>
        <w:tc>
          <w:tcPr>
            <w:tcW w:type="dxa" w:w="32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Envisaged interlocutors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Paris</w:t>
            </w:r>
            <w:r>
              <w:rPr>
                <w:color w:val="1A1A1A"/>
                <w:sz w:val="17"/>
                <w:szCs w:val="17"/>
              </w:rPr>
              <w:t xml:space="preserve"> (Île-de-France)</w:t>
            </w:r>
          </w:p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Large metropolis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Most extensive local public action for independent retail; BDCom (Apur, City of Paris, CCI Paris Île-de-France) records every ground-floor commercial unit, address by address, every three years.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 (also 3)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City of Paris (deputy mayor for commerce), SEM Paris Commerces, Apur, CCI Paris Île-de-France, Chamber of trades, merchant associations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Mulhouse</w:t>
            </w:r>
            <w:r>
              <w:rPr>
                <w:color w:val="1A1A1A"/>
                <w:sz w:val="17"/>
                <w:szCs w:val="17"/>
              </w:rPr>
              <w:t xml:space="preserve"> (Grand Est)</w:t>
            </w:r>
          </w:p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Cross-border town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Since a retail manager was appointed in 2011, 600+ shops opened and vacancy fell from about 14% to under 9%; the former manager became mayor in 2026; trinational Basel area.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 (also 5)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City of Mulhouse, retail manager, Mulhouse Alsace Agglomération, CCI Alsace Eurométropole, Les Vitrines de Mulhouse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Sète</w:t>
            </w:r>
            <w:r>
              <w:rPr>
                <w:color w:val="1A1A1A"/>
                <w:sz w:val="17"/>
                <w:szCs w:val="17"/>
              </w:rPr>
              <w:t xml:space="preserve"> (Occitanie)</w:t>
            </w:r>
          </w:p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Coastal medium-sized town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Town-centre vacancy among the lowest in France (3.7% in 2022); national land-sobriety pilot since 2020; tourist demand; Frontignan as a possible comparison.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City of Sète (commerce, Action Cœur de Ville), Sète Agglopôle Méditerranée, CCI Hérault, merchant associations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Bressuire</w:t>
            </w:r>
            <w:r>
              <w:rPr>
                <w:color w:val="1A1A1A"/>
                <w:sz w:val="17"/>
                <w:szCs w:val="17"/>
              </w:rPr>
              <w:t xml:space="preserve"> (Nouvelle-Aquitaine)</w:t>
            </w:r>
          </w:p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Small rural town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Vacancy halved between 2019 and 2025 (17.9% to 8.6%): housing renovation, planning rules, town-centre manager, collective organisation of merchants.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City of Bressuire, Agglo2B (Bocage Bressuirais), town-centre manager, CCI Deux-Sèvres, merchant association (to confirm)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Interviews by chapter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4438"/>
        <w:gridCol w:w="1500"/>
      </w:tblGrid>
      <w:tr>
        <w:trPr>
          <w:tblHeader/>
        </w:trPr>
        <w:tc>
          <w:tcPr>
            <w:tcW w:type="dxa" w:w="5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Person(s) and organisation</w:t>
            </w:r>
          </w:p>
        </w:tc>
        <w:tc>
          <w:tcPr>
            <w:tcW w:type="dxa" w:w="44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Contribution</w:t>
            </w:r>
          </w:p>
        </w:tc>
        <w:tc>
          <w:tcPr>
            <w:tcW w:type="dxa" w:w="15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Chapters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Marie Adeline-Peix and Vincent Criquebec, Bpifrance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Green and AI financing for SMEs, regional deployment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3, 4, 7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Nicolas Bonnet, CCI France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121 CCIs supporting the digital and green transition of retailers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2, 3, 4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Aurélien Palix and Bénédicte Roullier, DGE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France Num barometer, Activateurs, AI adoption by very small businesses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3, 7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Guy Gras, Conseil du Commerce de France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Overview of the sector, all sizes and formats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2, 4, 7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Julien Aubignat, Procos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Vacancy and rents by location, centre vs periphery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Frédéric Gibert, Banque des Territoires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Retail plan, foncières, commercial city entrances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Diane Gallais and Suzie Chevée, ANCT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Action Cœur de Ville 2 review, next wave, commercial zones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Pascal Madry, Institut pour la ville et le commerce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Commercial overcapacity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Frédéric Marquet, City of Mulhouse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Revival of Mulhouse town centre near Basel and Germany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5, 6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Jean Peyrony, MOT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Overview of all French borders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6, 7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Danièle Schmitt, CCI Alsace Eurométropole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Business Twins; cross-border shopping Alsace / Baden-Württemberg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Figures to harmonise before drafting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738"/>
      </w:tblGrid>
      <w:tr>
        <w:trPr>
          <w:tblHeader/>
        </w:trPr>
        <w:tc>
          <w:tcPr>
            <w:tcW w:type="dxa" w:w="26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Indicator</w:t>
            </w:r>
          </w:p>
        </w:tc>
        <w:tc>
          <w:tcPr>
            <w:tcW w:type="dxa" w:w="43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Values found</w:t>
            </w:r>
          </w:p>
        </w:tc>
        <w:tc>
          <w:tcPr>
            <w:tcW w:type="dxa" w:w="27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Proposal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Action Cœur de Ville towns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222 (phase 1), 234 (DGE presentation), 244 (phase 2)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244 for phase 2, 222 for 2018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Priority neighbourhoods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1 609 (incl. overseas), 1 362 (mainland, observatory)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State the coverage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PNRR green pillar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EUR 22.2 bn (policy box), EUR 20 bn (presentation)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Use the European Commission figure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Peripheral share of retail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67% of sales, 72% of in-store spending, 75%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Keep with definitions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Town-centre vacancy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14% in 2024 (DGE), 11.7% in 2025 (Procos panel)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State source and scope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Average store size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730 / 115 m² (Insee 2022), 586 / 92 m²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Use Insee Première 2091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Cross-border workers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465 000 (2021), 505 700 (2023)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Use 2023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Rural Recovery Programme ceilings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Policy box vs DGE (2024)</w:t>
            </w:r>
          </w:p>
        </w:tc>
        <w:tc>
          <w:tcPr>
            <w:tcW w:type="dxa" w:w="27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Check current rules with the DGE</w:t>
            </w:r>
          </w:p>
        </w:tc>
      </w:tr>
    </w:tbl>
    <w:p>
      <w:pPr>
        <w:pStyle w:val="Heading2"/>
        <w:keepNext/>
        <w:spacing w:after="100" w:before="240"/>
      </w:pPr>
      <w:r>
        <w:t xml:space="preserve">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1F3864" w:sz="8"/>
              <w:left w:val="none" w:color="FFFFFF" w:sz="0"/>
              <w:bottom w:val="single" w:color="1F3864" w:sz="4"/>
              <w:right w:val="none" w:color="FFFFFF" w:sz="0"/>
            </w:tcBorders>
            <w:shd w:fill="EEF2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Milestone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Q2 2026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Start of the study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12 June 2026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Strategic Foresight Workshop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Q3-Q4 2026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Interviews and city missions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November 2026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Validation of this structure with the DGE and DG GROW (proposal)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Q1 2027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Preliminary draft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April 2027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Discussion at the CSMEE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June 2027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single" w:color="BFBFBF" w:sz="4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/>
            </w:pPr>
            <w:r>
              <w:rPr>
                <w:color w:val="1A1A1A"/>
                <w:sz w:val="17"/>
                <w:szCs w:val="17"/>
              </w:rPr>
              <w:t xml:space="preserve">Report launch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Proposed structure (revised) – France country study  ·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Roman"/>
      <w:lvlText w:val="%1."/>
      <w:lvlJc w:val="left"/>
      <w:pPr>
        <w:ind w:left="400" w:hanging="400"/>
      </w:pPr>
    </w:lvl>
    <w:lvl w:ilvl="1" w:tentative="1">
      <w:start w:val="1"/>
      <w:numFmt w:val="lowerLetter"/>
      <w:lvlText w:val="%2."/>
      <w:lvlJc w:val="left"/>
      <w:pPr>
        <w:ind w:left="800" w:hanging="400"/>
      </w:pPr>
    </w:lvl>
    <w:lvl w:ilvl="2" w:tentative="1">
      <w:start w:val="1"/>
      <w:numFmt w:val="lowerRoman"/>
      <w:lvlText w:val="%3."/>
      <w:lvlJc w:val="left"/>
      <w:pPr>
        <w:ind w:left="1200" w:hanging="400"/>
      </w:pPr>
    </w:lvl>
    <w:lvl w:ilvl="3" w:tentative="1">
      <w:start w:val="1"/>
      <w:numFmt w:val="decimal"/>
      <w:lvlText w:val="%4."/>
      <w:lvlJc w:val="left"/>
      <w:pPr>
        <w:ind w:left="1600" w:hanging="400"/>
      </w:pPr>
    </w:lvl>
    <w:lvl w:ilvl="4" w:tentative="1">
      <w:start w:val="1"/>
      <w:numFmt w:val="bullet"/>
      <w:lvlText w:val="–"/>
      <w:lvlJc w:val="left"/>
      <w:pPr>
        <w:ind w:left="2000" w:hanging="400"/>
      </w:pPr>
    </w:lvl>
    <w:lvl w:ilvl="5" w:tentative="1">
      <w:start w:val="1"/>
      <w:numFmt w:val="bullet"/>
      <w:lvlText w:val="·"/>
      <w:lvlJc w:val="left"/>
      <w:pPr>
        <w:ind w:left="2400" w:hanging="400"/>
      </w:pPr>
    </w:lvl>
  </w:abstractNum>
  <w:abstractNum w:abstractNumId="3" w15:restartNumberingAfterBreak="0">
    <w:multiLevelType w:val="hybridMultilevel"/>
    <w:lvl w:ilvl="0" w:tentative="1">
      <w:start w:val="1"/>
      <w:numFmt w:val="upperRoman"/>
      <w:lvlText w:val="%1."/>
      <w:lvlJc w:val="left"/>
      <w:pPr>
        <w:ind w:left="400" w:hanging="400"/>
      </w:pPr>
    </w:lvl>
    <w:lvl w:ilvl="1" w:tentative="1">
      <w:start w:val="1"/>
      <w:numFmt w:val="lowerLetter"/>
      <w:lvlText w:val="%2."/>
      <w:lvlJc w:val="left"/>
      <w:pPr>
        <w:ind w:left="800" w:hanging="400"/>
      </w:pPr>
    </w:lvl>
    <w:lvl w:ilvl="2" w:tentative="1">
      <w:start w:val="1"/>
      <w:numFmt w:val="lowerRoman"/>
      <w:lvlText w:val="%3."/>
      <w:lvlJc w:val="left"/>
      <w:pPr>
        <w:ind w:left="1200" w:hanging="400"/>
      </w:pPr>
    </w:lvl>
    <w:lvl w:ilvl="3" w:tentative="1">
      <w:start w:val="1"/>
      <w:numFmt w:val="decimal"/>
      <w:lvlText w:val="%4."/>
      <w:lvlJc w:val="left"/>
      <w:pPr>
        <w:ind w:left="1600" w:hanging="400"/>
      </w:pPr>
    </w:lvl>
    <w:lvl w:ilvl="4" w:tentative="1">
      <w:start w:val="1"/>
      <w:numFmt w:val="bullet"/>
      <w:lvlText w:val="–"/>
      <w:lvlJc w:val="left"/>
      <w:pPr>
        <w:ind w:left="2000" w:hanging="400"/>
      </w:pPr>
    </w:lvl>
    <w:lvl w:ilvl="5" w:tentative="1">
      <w:start w:val="1"/>
      <w:numFmt w:val="bullet"/>
      <w:lvlText w:val="·"/>
      <w:lvlJc w:val="left"/>
      <w:pPr>
        <w:ind w:left="2400" w:hanging="4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structure (revised) – Country case study France</dc:title>
  <dc:creator>OECD CFE</dc:creator>
  <cp:lastModifiedBy>Un-named</cp:lastModifiedBy>
  <cp:revision>1</cp:revision>
  <dcterms:created xsi:type="dcterms:W3CDTF">2026-10-13T12:12:18.867Z</dcterms:created>
  <dcterms:modified xsi:type="dcterms:W3CDTF">2026-10-13T12:12:18.873Z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