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2255C"/>
          <w:spacing w:val="20"/>
          <w:sz w:val="16"/>
          <w:szCs w:val="16"/>
        </w:rPr>
        <w:t xml:space="preserve">OCDE · ÉTUDE DE CAS FRANCE · PROPOSITION À LA DGE</w:t>
      </w:r>
    </w:p>
    <w:p>
      <w:pPr>
        <w:spacing w:after="100"/>
      </w:pPr>
      <w:r>
        <w:rPr>
          <w:color w:val="003087"/>
          <w:sz w:val="36"/>
          <w:szCs w:val="36"/>
        </w:rPr>
        <w:t xml:space="preserve">Dix villes Action Cœur de Ville qui se démarquent</w:t>
      </w:r>
    </w:p>
    <w:p>
      <w:pPr>
        <w:pBdr>
          <w:bottom w:val="single" w:color="C2255C" w:sz="8"/>
        </w:pBdr>
        <w:spacing w:after="200"/>
      </w:pPr>
      <w:r>
        <w:rPr>
          <w:color w:val="595959"/>
          <w:sz w:val="18"/>
          <w:szCs w:val="18"/>
        </w:rPr>
        <w:t xml:space="preserve">Classement proposé pour les missions d'entretiens · 8 octobre 2026 · Document de travail</w:t>
      </w:r>
    </w:p>
    <w:p>
      <w:pPr>
        <w:spacing w:after="160" w:line="264"/>
      </w:pPr>
      <w:r>
        <w:rPr>
          <w:color w:val="595959"/>
          <w:sz w:val="17"/>
          <w:szCs w:val="17"/>
        </w:rPr>
        <w:t xml:space="preserve">Villes classées par score décroissant. « Commerces employeurs » : commerces de détail en magasin employant au moins un salarié, dans un rayon de 300 à 700 m autour de la mairie (Insee, Sirene). Ces éléments montrent des évolutions favorables, sans prouver l'effet du programme : c'est l'objet des entretiens.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338"/>
      </w:tblGrid>
      <w:tr>
        <w:trPr>
          <w:tblHeader/>
        </w:trPr>
        <w:tc>
          <w:tcPr>
            <w:tcW w:type="dxa" w:w="18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3087"/>
                <w:sz w:val="18"/>
                <w:szCs w:val="18"/>
              </w:rPr>
              <w:t xml:space="preserve">Ville</w:t>
            </w:r>
          </w:p>
        </w:tc>
        <w:tc>
          <w:tcPr>
            <w:tcW w:type="dxa" w:w="1500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3087"/>
                <w:sz w:val="18"/>
                <w:szCs w:val="18"/>
              </w:rPr>
              <w:t xml:space="preserve">Région</w:t>
            </w:r>
          </w:p>
        </w:tc>
        <w:tc>
          <w:tcPr>
            <w:tcW w:type="dxa" w:w="6338"/>
            <w:tcBorders>
              <w:top w:val="single" w:color="003087" w:sz="10"/>
              <w:left w:val="none" w:color="FFFFFF" w:sz="0"/>
              <w:bottom w:val="single" w:color="003087" w:sz="6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3087"/>
                <w:sz w:val="18"/>
                <w:szCs w:val="18"/>
              </w:rPr>
              <w:t xml:space="preserve">Pourquoi elle se démarque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C2255C"/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 xml:space="preserve">Bressuire</w:t>
            </w:r>
          </w:p>
          <w:p>
            <w:r>
              <w:rPr>
                <w:color w:val="595959"/>
                <w:sz w:val="16"/>
                <w:szCs w:val="16"/>
              </w:rPr>
              <w:t xml:space="preserve">19 900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Nouvelle-Aquitaine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003087"/>
                <w:sz w:val="18"/>
                <w:szCs w:val="18"/>
              </w:rPr>
              <w:t xml:space="preserve">La plus forte baisse durable de vacance commerciale mesurée parmi les villes du programme.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du centre-ville divisée par deux : </w:t>
            </w:r>
            <w:r>
              <w:rPr>
                <w:b/>
                <w:bCs/>
                <w:sz w:val="17"/>
                <w:szCs w:val="17"/>
              </w:rPr>
              <w:t xml:space="preserve">17,9 % en 2019, 8,6 % en 2025</w:t>
            </w:r>
            <w:r>
              <w:rPr>
                <w:sz w:val="17"/>
                <w:szCs w:val="17"/>
              </w:rPr>
              <w:t xml:space="preserve"> (−9,3 points), avec une baisse presque chaque année (baromètre Codata 2026). La moyenne des villes ACV est de 14,5 % en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Le recul des commerces employeurs s'est presque arrêté : 50 en 2012, 43 en 2019, 42 en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Habitat attractif : moins de 3 % de logements vides depuis deux ans ou plus, ventes immobilières en hausse entre 2018 et 2023.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Démarches du programme : accompagnement en transition écologique (Cerema et ANCT), design actif.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À comprendre :</w:t>
            </w:r>
            <w:r>
              <w:rPr>
                <w:sz w:val="17"/>
                <w:szCs w:val="17"/>
              </w:rPr>
              <w:t xml:space="preserve"> quels leviers ont fait baisser la vacance (nouvelles implantations, reconversion de locaux, action foncière) ?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C2255C"/>
                <w:sz w:val="20"/>
                <w:szCs w:val="20"/>
              </w:rPr>
              <w:t xml:space="preserve">2. </w:t>
            </w:r>
            <w:r>
              <w:rPr>
                <w:b/>
                <w:bCs/>
                <w:sz w:val="20"/>
                <w:szCs w:val="20"/>
              </w:rPr>
              <w:t xml:space="preserve">Sète et Frontignan</w:t>
            </w:r>
          </w:p>
          <w:p>
            <w:r>
              <w:rPr>
                <w:color w:val="595959"/>
                <w:sz w:val="16"/>
                <w:szCs w:val="16"/>
              </w:rPr>
              <w:t xml:space="preserve">44 700 et 23 800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Occitanie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003087"/>
                <w:sz w:val="18"/>
                <w:szCs w:val="18"/>
              </w:rPr>
              <w:t xml:space="preserve">La réussite la plus solide : le commerce de centre-ville repart et la vacance est basse, à l'échelle du bassin de Thau.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Sète : </w:t>
            </w:r>
            <w:r>
              <w:rPr>
                <w:b/>
                <w:bCs/>
                <w:sz w:val="17"/>
                <w:szCs w:val="17"/>
              </w:rPr>
              <w:t xml:space="preserve">180 commerces employeurs en 2012, 153 en 2019, 174 en 2025</w:t>
            </w:r>
            <w:r>
              <w:rPr>
                <w:sz w:val="17"/>
                <w:szCs w:val="17"/>
              </w:rPr>
              <w:t xml:space="preserve"> (+14 % depuis 2019). L'ensemble des établissements progresse aussi (+3 %).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en baisse de 4,4 points entre 2018 et 2022 (FACT et Codata), entre 5 et 10 % en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Habitat : 3 à 4 % de logements vides depuis deux ans ou plus, ventes en hausse.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L'agglomération Sète Agglopôle Méditerranée est </w:t>
            </w:r>
            <w:r>
              <w:rPr>
                <w:b/>
                <w:bCs/>
                <w:sz w:val="17"/>
                <w:szCs w:val="17"/>
              </w:rPr>
              <w:t xml:space="preserve">territoire pilote de sobriété foncière depuis 2020</w:t>
            </w:r>
            <w:r>
              <w:rPr>
                <w:sz w:val="17"/>
                <w:szCs w:val="17"/>
              </w:rPr>
              <w:t xml:space="preserve"> : elle cherche à limiter l'étalement urbain.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Frontignan, voisine : </w:t>
            </w:r>
            <w:r>
              <w:rPr>
                <w:b/>
                <w:bCs/>
                <w:sz w:val="17"/>
                <w:szCs w:val="17"/>
              </w:rPr>
              <w:t xml:space="preserve">vacance commerciale sous 5 %</w:t>
            </w:r>
            <w:r>
              <w:rPr>
                <w:sz w:val="17"/>
                <w:szCs w:val="17"/>
              </w:rPr>
              <w:t xml:space="preserve">, moins de 3 % de logements vides, ventes en hausse, commerces en légère hausse (30 → 33).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À comprendre :</w:t>
            </w:r>
            <w:r>
              <w:rPr>
                <w:sz w:val="17"/>
                <w:szCs w:val="17"/>
              </w:rPr>
              <w:t xml:space="preserve"> le rôle de la maîtrise foncière intercommunale dans la reprise du centre. Une seule mission pour les deux villes.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C2255C"/>
                <w:sz w:val="20"/>
                <w:szCs w:val="20"/>
              </w:rPr>
              <w:t xml:space="preserve">3. </w:t>
            </w:r>
            <w:r>
              <w:rPr>
                <w:b/>
                <w:bCs/>
                <w:sz w:val="20"/>
                <w:szCs w:val="20"/>
              </w:rPr>
              <w:t xml:space="preserve">Privas</w:t>
            </w:r>
          </w:p>
          <w:p>
            <w:r>
              <w:rPr>
                <w:color w:val="595959"/>
                <w:sz w:val="16"/>
                <w:szCs w:val="16"/>
              </w:rPr>
              <w:t xml:space="preserve">8 500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Auvergne-Rhône-Alpes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003087"/>
                <w:sz w:val="18"/>
                <w:szCs w:val="18"/>
              </w:rPr>
              <w:t xml:space="preserve">Une très petite préfecture qui a inversé le déclin de son commerce.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Commerces employeurs : 46 en 2012, 35 en 2019 (−24 %), </w:t>
            </w:r>
            <w:r>
              <w:rPr>
                <w:b/>
                <w:bCs/>
                <w:sz w:val="17"/>
                <w:szCs w:val="17"/>
              </w:rPr>
              <w:t xml:space="preserve">37 en 2025 (+6 %)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entre 5 et 10 % en 2025, bien sous la moyenne des villes ACV.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Population en hausse (+3,1 % entre 2014 et 2020) et ventes immobilières en hausse.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Démarches du programme : transition écologique, design actif.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Point de vigilance : vacance des logements élevée (plus de 7 %).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À comprendre :</w:t>
            </w:r>
            <w:r>
              <w:rPr>
                <w:sz w:val="17"/>
                <w:szCs w:val="17"/>
              </w:rPr>
              <w:t xml:space="preserve"> comment une ville de moins de 10 000 habitants relance son commerce, et si le rebond tient avec de si petits effectifs.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C2255C"/>
                <w:sz w:val="20"/>
                <w:szCs w:val="20"/>
              </w:rPr>
              <w:t xml:space="preserve">4. </w:t>
            </w:r>
            <w:r>
              <w:rPr>
                <w:b/>
                <w:bCs/>
                <w:sz w:val="20"/>
                <w:szCs w:val="20"/>
              </w:rPr>
              <w:t xml:space="preserve">Creil</w:t>
            </w:r>
          </w:p>
          <w:p>
            <w:r>
              <w:rPr>
                <w:color w:val="595959"/>
                <w:sz w:val="16"/>
                <w:szCs w:val="16"/>
              </w:rPr>
              <w:t xml:space="preserve">36 100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Hauts-de-France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003087"/>
                <w:sz w:val="18"/>
                <w:szCs w:val="18"/>
              </w:rPr>
              <w:t xml:space="preserve">Le plus fort rebond du commerce de centre-ville parmi les 228 villes du programme.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Commerces employeurs : 59 en 2012, 40 en 2019 (−32 %), </w:t>
            </w:r>
            <w:r>
              <w:rPr>
                <w:b/>
                <w:bCs/>
                <w:sz w:val="17"/>
                <w:szCs w:val="17"/>
              </w:rPr>
              <w:t xml:space="preserve">55 en 2025 (+38 %)</w:t>
            </w:r>
            <w:r>
              <w:rPr>
                <w:sz w:val="17"/>
                <w:szCs w:val="17"/>
              </w:rPr>
              <w:t xml:space="preserve">. L'ensemble des établissements progresse de 13 %.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entre 10 et 15 % en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Population en hausse (+3 % entre 2014 et 2020), ventes immobilières en hausse.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Démarches du programme : transition écologique, design actif.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À comprendre :</w:t>
            </w:r>
            <w:r>
              <w:rPr>
                <w:sz w:val="17"/>
                <w:szCs w:val="17"/>
              </w:rPr>
              <w:t xml:space="preserve"> ce qui explique un tel rebond, et comment le centre-ville s'articule avec les quartiers prioritaires de la ville.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C2255C"/>
                <w:sz w:val="20"/>
                <w:szCs w:val="20"/>
              </w:rPr>
              <w:t xml:space="preserve">5. </w:t>
            </w:r>
            <w:r>
              <w:rPr>
                <w:b/>
                <w:bCs/>
                <w:sz w:val="20"/>
                <w:szCs w:val="20"/>
              </w:rPr>
              <w:t xml:space="preserve">Draguignan</w:t>
            </w:r>
          </w:p>
          <w:p>
            <w:r>
              <w:rPr>
                <w:color w:val="595959"/>
                <w:sz w:val="16"/>
                <w:szCs w:val="16"/>
              </w:rPr>
              <w:t xml:space="preserve">39 700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Provence-Alpes-Côte d'Azur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003087"/>
                <w:sz w:val="18"/>
                <w:szCs w:val="18"/>
              </w:rPr>
              <w:t xml:space="preserve">Un déclin enrayé par une stratégie sur plusieurs axes : patrimoine, foncier, commerce.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Commerces employeurs : 138 en 2012, 95 en 2019 (−31 %), </w:t>
            </w:r>
            <w:r>
              <w:rPr>
                <w:b/>
                <w:bCs/>
                <w:sz w:val="17"/>
                <w:szCs w:val="17"/>
              </w:rPr>
              <w:t xml:space="preserve">91 en 2025 (−4 %)</w:t>
            </w:r>
            <w:r>
              <w:rPr>
                <w:sz w:val="17"/>
                <w:szCs w:val="17"/>
              </w:rPr>
              <w:t xml:space="preserve"> : le recul s'est presque arrêté, et l'ensemble des établissements est stable.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entre 10 et 15 % en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Habitat : 3 à 4 % de logements vides, ventes en hausse.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Lauréat de « Réinventons nos cœurs de ville »</w:t>
            </w:r>
            <w:r>
              <w:rPr>
                <w:sz w:val="17"/>
                <w:szCs w:val="17"/>
              </w:rPr>
              <w:t xml:space="preserve"> (reconversion d'un site patrimonial vacant) et </w:t>
            </w:r>
            <w:r>
              <w:rPr>
                <w:b/>
                <w:bCs/>
                <w:sz w:val="17"/>
                <w:szCs w:val="17"/>
              </w:rPr>
              <w:t xml:space="preserve">territoire pilote de sobriété foncière depuis 2020</w:t>
            </w:r>
            <w:r>
              <w:rPr>
                <w:sz w:val="17"/>
                <w:szCs w:val="17"/>
              </w:rPr>
              <w:t xml:space="preserve"> (Dracénie Provence Verdon Agglomération).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À comprendre :</w:t>
            </w:r>
            <w:r>
              <w:rPr>
                <w:sz w:val="17"/>
                <w:szCs w:val="17"/>
              </w:rPr>
              <w:t xml:space="preserve"> comment ces démarches se sont combinées pour stabiliser le commerce.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C2255C"/>
                <w:sz w:val="20"/>
                <w:szCs w:val="20"/>
              </w:rPr>
              <w:t xml:space="preserve">6. </w:t>
            </w:r>
            <w:r>
              <w:rPr>
                <w:b/>
                <w:bCs/>
                <w:sz w:val="20"/>
                <w:szCs w:val="20"/>
              </w:rPr>
              <w:t xml:space="preserve">Vitry-le-François</w:t>
            </w:r>
          </w:p>
          <w:p>
            <w:r>
              <w:rPr>
                <w:color w:val="595959"/>
                <w:sz w:val="16"/>
                <w:szCs w:val="16"/>
              </w:rPr>
              <w:t xml:space="preserve">11 500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Grand Est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003087"/>
                <w:sz w:val="18"/>
                <w:szCs w:val="18"/>
              </w:rPr>
              <w:t xml:space="preserve">Le commerce repart alors que la ville perd des habitants.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Commerces employeurs : 56 en 2012, 41 en 2019 (−27 %), </w:t>
            </w:r>
            <w:r>
              <w:rPr>
                <w:b/>
                <w:bCs/>
                <w:sz w:val="17"/>
                <w:szCs w:val="17"/>
              </w:rPr>
              <w:t xml:space="preserve">50 en 2025 (+22 %)</w:t>
            </w:r>
            <w:r>
              <w:rPr>
                <w:sz w:val="17"/>
                <w:szCs w:val="17"/>
              </w:rPr>
              <w:t xml:space="preserve">. L'ensemble des établissements progresse aussi (+9 %).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entre 5 et 10 % en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Contexte défavorable : population en forte baisse (−12,8 % entre 2014 et 2020) et vacance des logements élevée (plus de 7 %).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À comprendre :</w:t>
            </w:r>
            <w:r>
              <w:rPr>
                <w:sz w:val="17"/>
                <w:szCs w:val="17"/>
              </w:rPr>
              <w:t xml:space="preserve"> ce qui fait revenir des commerces malgré la baisse de la population (clientèle du bassin, offre ciblée, actions de la ville).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C2255C"/>
                <w:sz w:val="20"/>
                <w:szCs w:val="20"/>
              </w:rPr>
              <w:t xml:space="preserve">7. </w:t>
            </w:r>
            <w:r>
              <w:rPr>
                <w:b/>
                <w:bCs/>
                <w:sz w:val="20"/>
                <w:szCs w:val="20"/>
              </w:rPr>
              <w:t xml:space="preserve">Mazamet</w:t>
            </w:r>
          </w:p>
          <w:p>
            <w:r>
              <w:rPr>
                <w:color w:val="595959"/>
                <w:sz w:val="16"/>
                <w:szCs w:val="16"/>
              </w:rPr>
              <w:t xml:space="preserve">10 100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Occitanie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003087"/>
                <w:sz w:val="18"/>
                <w:szCs w:val="18"/>
              </w:rPr>
              <w:t xml:space="preserve">Une des vacances commerciales les plus basses de toutes les villes du programme.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Vacance commerciale sous 5 % en 2025</w:t>
            </w:r>
            <w:r>
              <w:rPr>
                <w:sz w:val="17"/>
                <w:szCs w:val="17"/>
              </w:rPr>
              <w:t xml:space="preserve"> (atlas ANCT), contre 14,5 % en moyenne. Seules 7 villes ACV sont dans ce cas.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Commerces employeurs : 45 en 2012, 34 en 2019 (−24 %), 34 en 2025 : le recul s'est arrêté.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Démarche du programme : transition écologique.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Points de vigilance : vacance des logements élevée (plus de 7 %), population en légère baisse.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À comprendre :</w:t>
            </w:r>
            <w:r>
              <w:rPr>
                <w:sz w:val="17"/>
                <w:szCs w:val="17"/>
              </w:rPr>
              <w:t xml:space="preserve"> comment une petite ville garde ses locaux commerciaux occupés, et si cette situation date d'avant le programme.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C2255C"/>
                <w:sz w:val="20"/>
                <w:szCs w:val="20"/>
              </w:rPr>
              <w:t xml:space="preserve">8. </w:t>
            </w:r>
            <w:r>
              <w:rPr>
                <w:b/>
                <w:bCs/>
                <w:sz w:val="20"/>
                <w:szCs w:val="20"/>
              </w:rPr>
              <w:t xml:space="preserve">Vitré</w:t>
            </w:r>
          </w:p>
          <w:p>
            <w:r>
              <w:rPr>
                <w:color w:val="595959"/>
                <w:sz w:val="16"/>
                <w:szCs w:val="16"/>
              </w:rPr>
              <w:t xml:space="preserve">19 000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Bretagne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003087"/>
                <w:sz w:val="18"/>
                <w:szCs w:val="18"/>
              </w:rPr>
              <w:t xml:space="preserve">Le cas breton le plus solide : un centre qui tient, porté par une population en hausse.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Commerces employeurs : 55 en 2012, 48 en 2019, 46 en 2025 : le recul a nettement ralenti (−13 % avant 2019, </w:t>
            </w:r>
            <w:r>
              <w:rPr>
                <w:b/>
                <w:bCs/>
                <w:sz w:val="17"/>
                <w:szCs w:val="17"/>
              </w:rPr>
              <w:t xml:space="preserve">−4 % depuis</w:t>
            </w:r>
            <w:r>
              <w:rPr>
                <w:sz w:val="17"/>
                <w:szCs w:val="17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Moins de 3 % de logements vides</w:t>
            </w:r>
            <w:r>
              <w:rPr>
                <w:sz w:val="17"/>
                <w:szCs w:val="17"/>
              </w:rPr>
              <w:t xml:space="preserve"> et population en hausse (+5,9 % entre 2014 et 2020).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entre 10 et 15 % en 2025.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Démarches du programme : transition écologique, design actif.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À comprendre :</w:t>
            </w:r>
            <w:r>
              <w:rPr>
                <w:sz w:val="17"/>
                <w:szCs w:val="17"/>
              </w:rPr>
              <w:t xml:space="preserve"> le lien entre attractivité résidentielle et commerce de centre-ville.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C2255C"/>
                <w:sz w:val="20"/>
                <w:szCs w:val="20"/>
              </w:rPr>
              <w:t xml:space="preserve">9. </w:t>
            </w:r>
            <w:r>
              <w:rPr>
                <w:b/>
                <w:bCs/>
                <w:sz w:val="20"/>
                <w:szCs w:val="20"/>
              </w:rPr>
              <w:t xml:space="preserve">Poissy</w:t>
            </w:r>
          </w:p>
          <w:p>
            <w:r>
              <w:rPr>
                <w:color w:val="595959"/>
                <w:sz w:val="16"/>
                <w:szCs w:val="16"/>
              </w:rPr>
              <w:t xml:space="preserve">40 000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Île-de-France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003087"/>
                <w:sz w:val="18"/>
                <w:szCs w:val="18"/>
              </w:rPr>
              <w:t xml:space="preserve">Un centre-ville qui gagne des commerces depuis 2012 et compte parmi les plus fréquentés du programme.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Commerces employeurs : 79 en 2012, 81 en 2019, </w:t>
            </w:r>
            <w:r>
              <w:rPr>
                <w:b/>
                <w:bCs/>
                <w:sz w:val="17"/>
                <w:szCs w:val="17"/>
              </w:rPr>
              <w:t xml:space="preserve">85 en 2025</w:t>
            </w:r>
            <w:r>
              <w:rPr>
                <w:sz w:val="17"/>
                <w:szCs w:val="17"/>
              </w:rPr>
              <w:t xml:space="preserve"> : hausse continue.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Environ 2,55 millions de visites par mois</w:t>
            </w:r>
            <w:r>
              <w:rPr>
                <w:sz w:val="17"/>
                <w:szCs w:val="17"/>
              </w:rPr>
              <w:t xml:space="preserve"> en 2022-2023 (MyTraffic), 5e centre le plus fréquenté des villes ACV.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entre 5 et 10 % en 2025, moins de 3 % de logements vides.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Population en forte hausse : +7,4 % entre 2014 et 2020. Démarche du programme : transition écologique.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À comprendre :</w:t>
            </w:r>
            <w:r>
              <w:rPr>
                <w:sz w:val="17"/>
                <w:szCs w:val="17"/>
              </w:rPr>
              <w:t xml:space="preserve"> la part de la croissance démographique et celle des actions de la ville dans la bonne santé du centre.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C2255C"/>
                <w:sz w:val="20"/>
                <w:szCs w:val="20"/>
              </w:rPr>
              <w:t xml:space="preserve">10. </w:t>
            </w:r>
            <w:r>
              <w:rPr>
                <w:b/>
                <w:bCs/>
                <w:sz w:val="20"/>
                <w:szCs w:val="20"/>
              </w:rPr>
              <w:t xml:space="preserve">Sélestat</w:t>
            </w:r>
          </w:p>
          <w:p>
            <w:r>
              <w:rPr>
                <w:color w:val="595959"/>
                <w:sz w:val="16"/>
                <w:szCs w:val="16"/>
              </w:rPr>
              <w:t xml:space="preserve">19 300 hab.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Grand Est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003087" w:sz="1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003087"/>
                <w:sz w:val="18"/>
                <w:szCs w:val="18"/>
              </w:rPr>
              <w:t xml:space="preserve">Une ville moyenne qui a stoppé l'érosion de son centre.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Commerces employeurs : 99 en 2012, 78 en 2019 (−21 %), </w:t>
            </w:r>
            <w:r>
              <w:rPr>
                <w:b/>
                <w:bCs/>
                <w:sz w:val="17"/>
                <w:szCs w:val="17"/>
              </w:rPr>
              <w:t xml:space="preserve">79 en 2025</w:t>
            </w:r>
            <w:r>
              <w:rPr>
                <w:sz w:val="17"/>
                <w:szCs w:val="17"/>
              </w:rPr>
              <w:t xml:space="preserve"> : le recul s'est arrêté.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L'ensemble des établissements progresse depuis 2019 (+5 %), signe d'un regain d'activité.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sz w:val="17"/>
                <w:szCs w:val="17"/>
              </w:rPr>
              <w:t xml:space="preserve">Vacance commerciale entre 5 et 10 % en 2025, 3 à 4 % de logements vides.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b/>
                <w:bCs/>
                <w:sz w:val="17"/>
                <w:szCs w:val="17"/>
              </w:rPr>
              <w:t xml:space="preserve">À comprendre :</w:t>
            </w:r>
            <w:r>
              <w:rPr>
                <w:sz w:val="17"/>
                <w:szCs w:val="17"/>
              </w:rPr>
              <w:t xml:space="preserve"> quelles actions ont stabilisé le centre, alors que l'atlas ne signale aucune démarche particulière du programme.</w:t>
            </w:r>
          </w:p>
        </w:tc>
      </w:tr>
    </w:tbl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q2xfxbgo5l8mtajvr66rp">
        <w:r>
          <w:rPr>
            <w:rStyle w:val="Hyperlink"/>
            <w:sz w:val="16"/>
            <w:szCs w:val="16"/>
          </w:rPr>
          <w:t xml:space="preserve">Insee, Base Sirene des entreprises et de leurs établissements</w:t>
        </w:r>
      </w:hyperlink>
      <w:r>
        <w:rPr>
          <w:sz w:val="16"/>
          <w:szCs w:val="16"/>
        </w:rPr>
        <w:t xml:space="preserve"> et géolocalisation des établissements, 2012-2025 ; calculs de l'auteur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mmxk6svtlugm9bg7p50za">
        <w:r>
          <w:rPr>
            <w:rStyle w:val="Hyperlink"/>
            <w:sz w:val="16"/>
            <w:szCs w:val="16"/>
          </w:rPr>
          <w:t xml:space="preserve">Insee, Évolution et structure de la population en 2020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dmczk5ltlw84f-qoh6ukv">
        <w:r>
          <w:rPr>
            <w:rStyle w:val="Hyperlink"/>
            <w:sz w:val="16"/>
            <w:szCs w:val="16"/>
          </w:rPr>
          <w:t xml:space="preserve">ANCT, Atlas national Action cœur de ville, T4 2025</w:t>
        </w:r>
      </w:hyperlink>
      <w:r>
        <w:rPr>
          <w:sz w:val="16"/>
          <w:szCs w:val="16"/>
        </w:rPr>
        <w:t xml:space="preserve"> (vacance commerciale et des logements, ventes immobilières, démarches du programme)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oqpuyzt4nfn5punopecz_">
        <w:r>
          <w:rPr>
            <w:rStyle w:val="Hyperlink"/>
            <w:sz w:val="16"/>
            <w:szCs w:val="16"/>
          </w:rPr>
          <w:t xml:space="preserve">Codata et FACT, Baromètre de l'offre commerciale dans les centres-villes 2026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bjdxhhdq5vymke7hzulji">
        <w:r>
          <w:rPr>
            <w:rStyle w:val="Hyperlink"/>
            <w:sz w:val="16"/>
            <w:szCs w:val="16"/>
          </w:rPr>
          <w:t xml:space="preserve">Banque des Territoires, « Action cœur de ville : des résultats sur la vacance commerciale », 21 septembre 2023</w:t>
        </w:r>
      </w:hyperlink>
      <w:r>
        <w:rPr>
          <w:sz w:val="16"/>
          <w:szCs w:val="16"/>
        </w:rPr>
        <w:t xml:space="preserve"> (FACT et Codata 2018-2022)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8oev2cc0he14gc3doawdl">
        <w:r>
          <w:rPr>
            <w:rStyle w:val="Hyperlink"/>
            <w:sz w:val="16"/>
            <w:szCs w:val="16"/>
          </w:rPr>
          <w:t xml:space="preserve">ANCT, Villes de France et MyTraffic, L'observatoire des mobilités dans les villes ACV, mars 2024</w:t>
        </w:r>
      </w:hyperlink>
    </w:p>
    <w:sectPr>
      <w:headerReference w:type="default" r:id="rId6"/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/>
        <w:bCs/>
        <w:color w:val="0030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Villes ACV qui se démarquent · Document de travail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■"/>
      <w:lvlJc w:val="left"/>
      <w:pPr>
        <w:ind w:left="240" w:hanging="220"/>
      </w:pPr>
      <w:rPr>
        <w:color w:val="C2255C"/>
        <w:sz w:val="12"/>
        <w:szCs w:val="12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■"/>
      <w:lvlJc w:val="left"/>
      <w:pPr>
        <w:ind w:left="300" w:hanging="220"/>
      </w:pPr>
      <w:rPr>
        <w:color w:val="C2255C"/>
        <w:sz w:val="12"/>
        <w:szCs w:val="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80"/>
      <w:outlineLvl w:val="0"/>
    </w:pPr>
    <w:rPr>
      <w:rFonts w:ascii="Arial" w:cs="Arial" w:eastAsia="Arial" w:hAnsi="Arial"/>
      <w:b/>
      <w:bCs/>
      <w:color w:val="0070C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q2xfxbgo5l8mtajvr66rp" Type="http://schemas.openxmlformats.org/officeDocument/2006/relationships/hyperlink" Target="https://www.data.gouv.fr/fr/datasets/base-sirene-des-entreprises-et-de-leurs-etablissements-siren-siret/" TargetMode="External"/><Relationship Id="rIdmmxk6svtlugm9bg7p50za" Type="http://schemas.openxmlformats.org/officeDocument/2006/relationships/hyperlink" Target="https://www.insee.fr/fr/statistiques/7632446?sommaire=7632456" TargetMode="External"/><Relationship Id="rIddmczk5ltlw84f-qoh6ukv" Type="http://schemas.openxmlformats.org/officeDocument/2006/relationships/hyperlink" Target="https://media.anct.gouv.fr/ressources/2026-10/atlas-national-acv-t4-2025_0.pdf" TargetMode="External"/><Relationship Id="rIdoqpuyzt4nfn5punopecz_" Type="http://schemas.openxmlformats.org/officeDocument/2006/relationships/hyperlink" Target="https://8646969.fs1.hubspotusercontent-na1.net/hubfs/8646969/CODATA/Codata-Barom%C3%A8tre-offre-commerciale-dans-les-centres-villes-2026.pdf" TargetMode="External"/><Relationship Id="rIdbjdxhhdq5vymke7hzulji" Type="http://schemas.openxmlformats.org/officeDocument/2006/relationships/hyperlink" Target="https://www.banquedesterritoires.fr/action-coeur-de-ville-des-resultats-sur-la-vacance-commerciale" TargetMode="External"/><Relationship Id="rId8oev2cc0he14gc3doawdl" Type="http://schemas.openxmlformats.org/officeDocument/2006/relationships/hyperlink" Target="https://agence-cohesion-territoires.gouv.fr/sites/default/files/2024-04/Observatoire%20des%20mobilit%C3%A9s%202023%20%2817%29.pdf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Dix villes Action Cœur de Ville qui se démarquent</dc:title>
  <dc:creator>OCDE – étude de cas France</dc:creator>
  <cp:lastModifiedBy>Un-named</cp:lastModifiedBy>
  <cp:revision>1</cp:revision>
  <dcterms:created xsi:type="dcterms:W3CDTF">2026-10-08T15:41:40.836Z</dcterms:created>
  <dcterms:modified xsi:type="dcterms:W3CDTF">2026-10-08T15:41:40.837Z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