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2255C"/>
          <w:spacing w:val="20"/>
          <w:sz w:val="16"/>
          <w:szCs w:val="16"/>
        </w:rPr>
        <w:t xml:space="preserve">OCDE · ÉTUDE DE CAS FRANCE · ZONES COMMERCIALES, CENTRES-VILLES ET QPV</w:t>
      </w:r>
    </w:p>
    <w:p>
      <w:pPr>
        <w:spacing w:after="100"/>
      </w:pPr>
      <w:r>
        <w:rPr>
          <w:color w:val="003087"/>
          <w:sz w:val="40"/>
          <w:szCs w:val="40"/>
        </w:rPr>
        <w:t xml:space="preserve">Choix des villes Action Cœur de Ville pour les missions d'entretiens</w:t>
      </w:r>
    </w:p>
    <w:p>
      <w:pPr>
        <w:pBdr>
          <w:bottom w:val="single" w:color="C2255C" w:sz="8"/>
        </w:pBdr>
        <w:spacing w:after="260"/>
      </w:pPr>
      <w:r>
        <w:rPr>
          <w:color w:val="595959"/>
          <w:sz w:val="19"/>
          <w:szCs w:val="19"/>
        </w:rPr>
        <w:t xml:space="preserve">Note à l'attention de la Direction générale des Entreprises (DGE) · 8 octobre 2026 · Document de travail</w:t>
      </w:r>
    </w:p>
    <w:p>
      <w:pPr>
        <w:pStyle w:val="Heading1"/>
      </w:pPr>
      <w:r>
        <w:t xml:space="preserve">Objet</w:t>
      </w:r>
    </w:p>
    <w:p>
      <w:pPr>
        <w:spacing w:after="120" w:line="276"/>
      </w:pPr>
      <w:r>
        <w:t xml:space="preserve">Nous proposons à la DGE </w:t>
      </w:r>
      <w:r>
        <w:rPr>
          <w:b/>
          <w:bCs/>
        </w:rPr>
        <w:t xml:space="preserve">dix villes Action Cœur de Ville (ACV)</w:t>
      </w:r>
      <w:r>
        <w:t xml:space="preserve">, classées selon un score qui croise toutes les données publiques disponibles, ainsi que </w:t>
      </w:r>
      <w:r>
        <w:rPr>
          <w:b/>
          <w:bCs/>
        </w:rPr>
        <w:t xml:space="preserve">cinq villes remplaçantes et un cas de comparaison</w:t>
      </w:r>
      <w:r>
        <w:t xml:space="preserve">. Ces villes se démarquent par leur commerce de centre-ville, leur vacance commerciale, leur habitat ou leur mobilisation du programme. Les entretiens doivent établir ce qui explique ces résultats et la part qui revient au programme.</w:t>
      </w:r>
    </w:p>
    <w:p>
      <w:pPr>
        <w:spacing w:after="120" w:line="276"/>
      </w:pPr>
      <w:r>
        <w:rPr>
          <w:b/>
          <w:bCs/>
        </w:rPr>
        <w:t xml:space="preserve">Il est demandé à la DGE de cocher, pour chaque ville, la colonne « Choix DGE ».</w:t>
      </w:r>
      <w:r>
        <w:t xml:space="preserve"> Les interlocuteurs visés dans chaque ville sont le chef de projet ACV, le manager de commerce, l'élu chargé du commerce, la CCI et l'union commerciale.</w:t>
      </w:r>
    </w:p>
    <w:p>
      <w:pPr>
        <w:pStyle w:val="Heading1"/>
      </w:pPr>
      <w:r>
        <w:t xml:space="preserve">Les dix villes proposées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750"/>
        <w:gridCol w:w="2000"/>
        <w:gridCol w:w="2000"/>
        <w:gridCol w:w="2400"/>
        <w:gridCol w:w="1300"/>
        <w:gridCol w:w="2387"/>
        <w:gridCol w:w="1800"/>
      </w:tblGrid>
      <w:tr>
        <w:trPr>
          <w:tblHeader/>
        </w:trPr>
        <w:tc>
          <w:tcPr>
            <w:tcW w:type="dxa" w:w="6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Rang</w:t>
            </w:r>
          </w:p>
        </w:tc>
        <w:tc>
          <w:tcPr>
            <w:tcW w:type="dxa" w:w="19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Ville</w:t>
            </w:r>
          </w:p>
        </w:tc>
        <w:tc>
          <w:tcPr>
            <w:tcW w:type="dxa" w:w="75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Score /12,5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Commerce de centre-ville (Sirene)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Vacance commerciale</w:t>
            </w:r>
          </w:p>
        </w:tc>
        <w:tc>
          <w:tcPr>
            <w:tcW w:type="dxa" w:w="24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Habitat et démarches du programme</w:t>
            </w:r>
          </w:p>
        </w:tc>
        <w:tc>
          <w:tcPr>
            <w:tcW w:type="dxa" w:w="13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Fréquentation (MyTraffic)</w:t>
            </w:r>
          </w:p>
        </w:tc>
        <w:tc>
          <w:tcPr>
            <w:tcW w:type="dxa" w:w="2387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Angle de l'entretien</w:t>
            </w:r>
          </w:p>
        </w:tc>
        <w:tc>
          <w:tcPr>
            <w:tcW w:type="dxa" w:w="18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Choix DGE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Bressuire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Nouvelle-Aquitaine · 19 900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50 → 43 → 42 commerces employeurs (2012, 2019, 2025) : recul quasi stoppé depuis 2019 (−2 %)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17,9 % → 8,6 %</w:t>
            </w:r>
            <w:r>
              <w:rPr>
                <w:sz w:val="16"/>
                <w:szCs w:val="16"/>
              </w:rPr>
              <w:t xml:space="preserve"> de 2019 à 2025 (baromètre Codata)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Moins de 3 % de logements vides, ventes en hausse ; transition écologique,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La plus forte baisse durable de vacance mesurée : quels leviers 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Sète et Frontignan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Occitanie · 44 700 et 23 800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8,0 et 6,5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Sète : 180 → 153 → </w:t>
            </w:r>
            <w:r>
              <w:rPr>
                <w:sz w:val="16"/>
                <w:szCs w:val="16"/>
              </w:rPr>
              <w:t xml:space="preserve">174</w:t>
            </w:r>
            <w:r>
              <w:rPr>
                <w:sz w:val="16"/>
                <w:szCs w:val="16"/>
              </w:rPr>
              <w:t xml:space="preserve"> (+14 % depuis 2019). Frontignan : 30 → 31 → 33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Sète : −4,4 pts en 2018-2022 (FACT), 5-10 % en 2025. Frontignan : </w:t>
            </w:r>
            <w:r>
              <w:rPr>
                <w:sz w:val="16"/>
                <w:szCs w:val="16"/>
              </w:rPr>
              <w:t xml:space="preserve">&lt; 5 %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Sète : logements vides 3-4 %, ventes en hausse, pilote sobriété foncière. Frontignan : &lt; 3 %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La réussite la plus solide, à l'échelle du bassin de Thau (une seule mission)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Privas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Auvergne-Rhône-Alpes · 8 500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46 → 35 → 37 : −24 % avant 2019, puis +6 %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5-10 %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Ventes en hausse ; transition écologique,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Une très petite préfecture qui redresse son commerce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Creil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Hauts-de-France · 36 100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59 → 40 → </w:t>
            </w:r>
            <w:r>
              <w:rPr>
                <w:sz w:val="16"/>
                <w:szCs w:val="16"/>
              </w:rPr>
              <w:t xml:space="preserve">55</w:t>
            </w:r>
            <w:r>
              <w:rPr>
                <w:sz w:val="16"/>
                <w:szCs w:val="16"/>
              </w:rPr>
              <w:t xml:space="preserve"> : plus fort rebond des villes ACV (+38 %)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10-15 %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Ventes en hausse, population +3 % ; transition écologique,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Rebond dans une ville populaire ; lien avec les quartiers prioritaires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Draguignan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Provence-Alpes-Côte d'Azur · 39 700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138 → 95 → 91 : −31 % avant 2019, −4 % depuis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10-15 %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Logements vides 3-4 %, ventes en hausse ; lauréat « Réinventons », pilote sobriété foncière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Stratégie sur plusieurs axes : patrimoine, foncier, commerce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Vitry-le-François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Grand Est · 11 500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56 → 41 → </w:t>
            </w:r>
            <w:r>
              <w:rPr>
                <w:sz w:val="16"/>
                <w:szCs w:val="16"/>
              </w:rPr>
              <w:t xml:space="preserve">50</w:t>
            </w:r>
            <w:r>
              <w:rPr>
                <w:sz w:val="16"/>
                <w:szCs w:val="16"/>
              </w:rPr>
              <w:t xml:space="preserve"> (+22 % depuis 2019)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5-10 %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Population −12,8 % (2014-2020)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Le commerce repart dans une ville qui perd des habitants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Mazamet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Occitanie · 10 100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45 → 34 → 34 : recul arrêté depuis 2019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&lt; 5 %</w:t>
            </w:r>
            <w:r>
              <w:rPr>
                <w:sz w:val="16"/>
                <w:szCs w:val="16"/>
              </w:rPr>
              <w:t xml:space="preserve">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Transition écologique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Une petite ville à la vacance très basse : comment 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Vitré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Bretagne · 19 000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55 → 48 → 46 : recul ralenti (−4 %)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10-15 %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Moins de 3 % de logements vides, population +5,9 % ; transition écologique,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Le cas breton le plus solide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Poissy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Île-de-France · 40 000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79 → 81 → 85 : hausse continue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5-10 %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Moins de 3 % de logements vides, population +7,4 % ; transition écologique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2,55 M visites par mois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 centre fréquenté, porté par la démographie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shd w:fill="FDEEF4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Sélestat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Grand Est · 19 300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99 → 78 → 79 : −21 % avant 2019, puis stable ; ensemble des établissements +5 %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5-10 %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Logements vides 3-4 %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Une ville moyenne qui stabilise son centre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</w:tbl>
    <w:p>
      <w:pPr>
        <w:pStyle w:val="Heading1"/>
      </w:pPr>
      <w:r>
        <w:t xml:space="preserve">Villes remplaçantes et cas de comparaison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750"/>
        <w:gridCol w:w="2000"/>
        <w:gridCol w:w="2000"/>
        <w:gridCol w:w="2400"/>
        <w:gridCol w:w="1300"/>
        <w:gridCol w:w="2387"/>
        <w:gridCol w:w="1800"/>
      </w:tblGrid>
      <w:tr>
        <w:trPr>
          <w:tblHeader/>
        </w:trPr>
        <w:tc>
          <w:tcPr>
            <w:tcW w:type="dxa" w:w="6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Rang</w:t>
            </w:r>
          </w:p>
        </w:tc>
        <w:tc>
          <w:tcPr>
            <w:tcW w:type="dxa" w:w="19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Ville</w:t>
            </w:r>
          </w:p>
        </w:tc>
        <w:tc>
          <w:tcPr>
            <w:tcW w:type="dxa" w:w="75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Score /12,5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Commerce de centre-ville (Sirene)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Vacance commerciale</w:t>
            </w:r>
          </w:p>
        </w:tc>
        <w:tc>
          <w:tcPr>
            <w:tcW w:type="dxa" w:w="24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Habitat et démarches du programme</w:t>
            </w:r>
          </w:p>
        </w:tc>
        <w:tc>
          <w:tcPr>
            <w:tcW w:type="dxa" w:w="13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Fréquentation (MyTraffic)</w:t>
            </w:r>
          </w:p>
        </w:tc>
        <w:tc>
          <w:tcPr>
            <w:tcW w:type="dxa" w:w="2387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Angle de l'entretien</w:t>
            </w:r>
          </w:p>
        </w:tc>
        <w:tc>
          <w:tcPr>
            <w:tcW w:type="dxa" w:w="18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Choix DGE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Valence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Auvergne-Rhône-Alpes · 64 500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271 → 243 → 233 : recul ralenti (−4 %)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10-15 %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Logements vides 3-4 %, ventes en hausse ; transition écologique, foncière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Une grande ville qui mobilise le programme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Lunéville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Grand Est · 17 800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54 → 46 → 52 (+13 % depuis 2019)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5-10 %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Population −7,6 %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Rebond partiel : quels commerces arrivent 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Denain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Hauts-de-France · 20 600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50 → 36 → 43 (+19 % depuis 2019)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10-15 %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Transition écologique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Rebond dans un bassin en difficulté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Pau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Nouvelle-Aquitaine · 77 100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332 → 266 → 244 : recul (−8 %)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10-15 %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Logements vides 3-4 %, ventes en hausse ; lauréat « Réinventons », transition, design actif, foncière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2,55 M visites par mois ; attractivité 87,7 %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La ville qui mobilise le plus le programme : quels effets sur le commerce 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Revel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Occitanie · 9 700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38 → 31 → 29 : recul (−6 %)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5-10 % en 2025 (atlas)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Ventes en hausse ; lauréat « Réinventons »,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+13 % de visiteurs extérieurs (2022-2023)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Supérette et marché comme moteurs de fréquentation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C2255C"/>
                <w:sz w:val="22"/>
                <w:szCs w:val="22"/>
              </w:rPr>
              <w:t xml:space="preserve">16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Calais (cas de comparaison)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Hauts-de-France · 67 400 hab.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4,5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91 → 74 → 81 (+10 % depuis 2019)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−7,7 pts en 2018-2022 (FACT), puis </w:t>
            </w:r>
            <w:r>
              <w:rPr>
                <w:sz w:val="16"/>
                <w:szCs w:val="16"/>
              </w:rPr>
              <w:t xml:space="preserve">plus de 20 %</w:t>
            </w:r>
            <w:r>
              <w:rPr>
                <w:sz w:val="16"/>
                <w:szCs w:val="16"/>
              </w:rPr>
              <w:t xml:space="preserve"> en 2025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Ville pilote du design actif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Rechute : pourquoi la vacance est-elle remontée 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shd w:fill="F2F2F2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Retenue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Remplaçante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☐ Écartée</w:t>
            </w:r>
          </w:p>
        </w:tc>
      </w:tr>
    </w:tbl>
    <w:p>
      <w:pPr>
        <w:pStyle w:val="Heading1"/>
      </w:pPr>
      <w:r>
        <w:t xml:space="preserve">Méthode de classement</w:t>
      </w:r>
    </w:p>
    <w:p>
      <w:pPr>
        <w:spacing w:after="120" w:line="276"/>
      </w:pPr>
      <w:r>
        <w:t xml:space="preserve">Chaque ville ACV de métropole (228 villes) reçoit un score sur 12,5 points. Au plus deux villes par région parmi les dix premières ; Sète et Frontignan, voisines, forment une seule mission.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4700"/>
        <w:gridCol w:w="5737"/>
      </w:tblGrid>
      <w:tr>
        <w:trPr>
          <w:tblHeader/>
        </w:trPr>
        <w:tc>
          <w:tcPr>
            <w:tcW w:type="dxa" w:w="36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Critère</w:t>
            </w:r>
          </w:p>
        </w:tc>
        <w:tc>
          <w:tcPr>
            <w:tcW w:type="dxa" w:w="11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Points</w:t>
            </w:r>
          </w:p>
        </w:tc>
        <w:tc>
          <w:tcPr>
            <w:tcW w:type="dxa" w:w="47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Mesure</w:t>
            </w:r>
          </w:p>
        </w:tc>
        <w:tc>
          <w:tcPr>
            <w:tcW w:type="dxa" w:w="5737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3087"/>
                <w:sz w:val="16"/>
                <w:szCs w:val="16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Commerce de centre-ville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3,5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Rebond ou arrêt du déclin des commerces employeurs depuis 2019, confirmé par l'ensemble des établissements (villes de 30 commerces ou plus)</w:t>
            </w:r>
          </w:p>
        </w:tc>
        <w:tc>
          <w:tcPr>
            <w:tcW w:type="dxa" w:w="5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Insee, Sirene 2012-2025 ; calculs de l'auteur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Niveau de vacance commerciale 2025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&lt; 5 % : 3 ; 5-10 % : 2 ; 10-15 % : 1</w:t>
            </w:r>
          </w:p>
        </w:tc>
        <w:tc>
          <w:tcPr>
            <w:tcW w:type="dxa" w:w="5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Baromètre Codata 2026 quand il existe, sinon atlas ANCT T4 2025 (p. 23)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Baisse de la vacance depuis 2019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Baisse d'au moins 3 points : 2 ; d'au moins 1 point : 1</w:t>
            </w:r>
          </w:p>
        </w:tc>
        <w:tc>
          <w:tcPr>
            <w:tcW w:type="dxa" w:w="5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Baromètre Codata 2026 ; palmarès FACT et Codata 2018-2022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Habitat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1,5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Logements vides depuis 2 ans ou plus (&lt; 3 % : 1 ; 3-4 % : 0,5) ; ventes en hausse 2018-2023 : 0,5</w:t>
            </w:r>
          </w:p>
        </w:tc>
        <w:tc>
          <w:tcPr>
            <w:tcW w:type="dxa" w:w="5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Atlas ANCT (p. 22 et 24)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Démarches du programme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0,5 par démarche : lauréat « Réinventons », sobriété foncière, transition écologique, design actif, foncière, « Mon centre-ville 2030 »</w:t>
            </w:r>
          </w:p>
        </w:tc>
        <w:tc>
          <w:tcPr>
            <w:tcW w:type="dxa" w:w="5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Atlas ANCT (p. 14, 27 à 32)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Fréquentation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Ville citée positivement par l'observatoire</w:t>
            </w:r>
          </w:p>
        </w:tc>
        <w:tc>
          <w:tcPr>
            <w:tcW w:type="dxa" w:w="5737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Observatoire des mobilités ANCT et MyTraffic (2024)</w:t>
            </w:r>
          </w:p>
        </w:tc>
      </w:tr>
    </w:tbl>
    <w:p>
      <w:pPr>
        <w:pStyle w:val="Heading1"/>
      </w:pPr>
      <w:r>
        <w:t xml:space="preserve">Précautions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 classement repère des villes qui se démarquent ; il </w:t>
      </w:r>
      <w:r>
        <w:rPr>
          <w:b/>
          <w:bCs/>
        </w:rPr>
        <w:t xml:space="preserve">ne prouve pas l'effet du programme</w:t>
      </w:r>
      <w:r>
        <w:t xml:space="preserve">. C'est l'objet des entretiens.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 centre-ville Sirene est un cercle de 300 à 700 m autour de la mairie, pas le périmètre de l'opération de revitalisation (ORT). Les effectifs sont petits dans certaines villes (Privas, Mazamet, Vitry-le-François).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Les données de l'atlas sont lues sur ses cartes (erreur de position médiane inférieure à 1 pixel) et ne donnent que des tranches de 5 points. Pour 5 des 12 villes du baromètre Codata, l'atlas indique une tranche différente.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La vacance commerciale ne distingue pas la vacance courte de la vacance de longue durée. Les données MyTraffic ne sont publiées que pour une quinzaine de villes.</w:t>
      </w:r>
    </w:p>
    <w:p>
      <w:pPr>
        <w:pStyle w:val="Heading1"/>
      </w:pPr>
      <w:r>
        <w:t xml:space="preserve">Données à demander avant les missions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À l'ANCT : taux de vacance Codata par ville depuis 2018 et données MyTraffic des villes retenues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Aux villes : relevés locaux de vacance, liste des locaux vides depuis plus de deux ans, ouvertures et fermetures depuis 2019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Au ministère du Logement (DGALN) : contours des périmètres ORT, pour recalculer les données Sirene sur le périmètre réel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À la DGE : décisions des commissions d'aménagement commercial (CDAC) depuis 2018 dans les intercommunalités retenues</w:t>
      </w:r>
    </w:p>
    <w:p>
      <w:pPr>
        <w:pStyle w:val="Heading1"/>
      </w:pPr>
      <w:r>
        <w:t xml:space="preserve">Sources</w:t>
      </w:r>
    </w:p>
    <w:p>
      <w:pPr>
        <w:pStyle w:val="Heading2"/>
      </w:pPr>
      <w:r>
        <w:t xml:space="preserve">Données statistiques (analyse Sirene)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0rxwh_f5lcyyl0wii26y">
        <w:r>
          <w:rPr>
            <w:rStyle w:val="Hyperlink"/>
            <w:sz w:val="18"/>
            <w:szCs w:val="18"/>
          </w:rPr>
          <w:t xml:space="preserve">Insee, Base Sirene des entreprises et de leurs établissements (stock et historique des établissements)</w:t>
        </w:r>
      </w:hyperlink>
      <w:r>
        <w:rPr>
          <w:sz w:val="18"/>
          <w:szCs w:val="18"/>
        </w:rPr>
        <w:t xml:space="preserve">, version de septembre 2026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lej8romuf7wmhur2edfph">
        <w:r>
          <w:rPr>
            <w:rStyle w:val="Hyperlink"/>
            <w:sz w:val="18"/>
            <w:szCs w:val="18"/>
          </w:rPr>
          <w:t xml:space="preserve">Insee, Géolocalisation des établissements du répertoire Sirene pour les études statistiques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18ljsepj0pxocaoy43an">
        <w:r>
          <w:rPr>
            <w:rStyle w:val="Hyperlink"/>
            <w:sz w:val="18"/>
            <w:szCs w:val="18"/>
          </w:rPr>
          <w:t xml:space="preserve">Cerema, Base EmpCom des principales emprises d'activités commerciales</w:t>
        </w:r>
      </w:hyperlink>
      <w:r>
        <w:rPr>
          <w:sz w:val="18"/>
          <w:szCs w:val="18"/>
        </w:rPr>
        <w:t xml:space="preserve"> (contours 2021)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wtzrmqb-8hjqicghpr-_">
        <w:r>
          <w:rPr>
            <w:rStyle w:val="Hyperlink"/>
            <w:sz w:val="18"/>
            <w:szCs w:val="18"/>
          </w:rPr>
          <w:t xml:space="preserve">ANCT, Quartiers prioritaires de la politique de la ville (périmètres 2024)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r6wvszgxrup4gp2cpp1a">
        <w:r>
          <w:rPr>
            <w:rStyle w:val="Hyperlink"/>
            <w:sz w:val="18"/>
            <w:szCs w:val="18"/>
          </w:rPr>
          <w:t xml:space="preserve">IGN, ADMIN EXPRESS (communes et chefs-lieux, 2024)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rgkdzjuctah_mnqdlqop">
        <w:r>
          <w:rPr>
            <w:rStyle w:val="Hyperlink"/>
            <w:sz w:val="18"/>
            <w:szCs w:val="18"/>
          </w:rPr>
          <w:t xml:space="preserve">Insee, Évolution et structure de la population en 2020</w:t>
        </w:r>
      </w:hyperlink>
      <w:r>
        <w:rPr>
          <w:sz w:val="18"/>
          <w:szCs w:val="18"/>
        </w:rPr>
        <w:t xml:space="preserve"> (population 2014 et 2020)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vxxzm8shazqksxvtheos">
        <w:r>
          <w:rPr>
            <w:rStyle w:val="Hyperlink"/>
            <w:sz w:val="18"/>
            <w:szCs w:val="18"/>
          </w:rPr>
          <w:t xml:space="preserve">Caisse des Dépôts, Liste des villes Action cœur de ville</w:t>
        </w:r>
      </w:hyperlink>
    </w:p>
    <w:p>
      <w:pPr>
        <w:pStyle w:val="Heading2"/>
      </w:pPr>
      <w:r>
        <w:t xml:space="preserve">Programme Action Cœur de Ville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_-olfmg1k7a3wapsnwej">
        <w:r>
          <w:rPr>
            <w:rStyle w:val="Hyperlink"/>
            <w:sz w:val="18"/>
            <w:szCs w:val="18"/>
          </w:rPr>
          <w:t xml:space="preserve">ANCT, Atlas national Action cœur de ville, T4 2025</w:t>
        </w:r>
      </w:hyperlink>
      <w:r>
        <w:rPr>
          <w:sz w:val="18"/>
          <w:szCs w:val="18"/>
        </w:rPr>
        <w:t xml:space="preserve"> : vacance commerciale (p. 23, données Codata 2025), vacance des logements (p. 22), ventes immobilières (p. 24), foncières (p. 14), Mon centre-ville 2030 (p. 27), transition écologique (p. 28-29), sobriété foncière (p. 30), Réinventons nos cœurs de ville (p. 31), design actif (p. 32)</w:t>
      </w:r>
    </w:p>
    <w:p>
      <w:pPr>
        <w:pStyle w:val="Heading2"/>
      </w:pPr>
      <w:r>
        <w:t xml:space="preserve">Vacance commerciale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4ktseereygptsjxv1f3p">
        <w:r>
          <w:rPr>
            <w:rStyle w:val="Hyperlink"/>
            <w:sz w:val="18"/>
            <w:szCs w:val="18"/>
          </w:rPr>
          <w:t xml:space="preserve">Codata et FACT, Baromètre de l'offre commerciale dans les centres-villes 2026</w:t>
        </w:r>
      </w:hyperlink>
      <w:r>
        <w:rPr>
          <w:sz w:val="18"/>
          <w:szCs w:val="18"/>
        </w:rPr>
        <w:t xml:space="preserve"> (p. 8-9 : vacance 2019-2025 des 12 villes ACV du palmarès)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nkvzfzmqb0yhacbl1_iu">
        <w:r>
          <w:rPr>
            <w:rStyle w:val="Hyperlink"/>
            <w:sz w:val="18"/>
            <w:szCs w:val="18"/>
          </w:rPr>
          <w:t xml:space="preserve">Banque des Territoires, « Action cœur de ville : des résultats sur la vacance commerciale », 21 septembre 2023</w:t>
        </w:r>
      </w:hyperlink>
      <w:r>
        <w:rPr>
          <w:sz w:val="18"/>
          <w:szCs w:val="18"/>
        </w:rPr>
        <w:t xml:space="preserve"> (étude FACT et Codata 2018-2022)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nks-1husrtj7elyu585t">
        <w:r>
          <w:rPr>
            <w:rStyle w:val="Hyperlink"/>
            <w:sz w:val="18"/>
            <w:szCs w:val="18"/>
          </w:rPr>
          <w:t xml:space="preserve">Banque des Territoires, « La progression de la vacance commerciale ralentit, surtout dans les villes moyennes », 2 décembre 2025</w:t>
        </w:r>
      </w:hyperlink>
      <w:r>
        <w:rPr>
          <w:sz w:val="18"/>
          <w:szCs w:val="18"/>
        </w:rPr>
        <w:t xml:space="preserve"> (étude FACT 2019-2024)</w:t>
      </w:r>
    </w:p>
    <w:p>
      <w:pPr>
        <w:pStyle w:val="Heading2"/>
      </w:pPr>
      <w:r>
        <w:t xml:space="preserve">Fréquentation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ukpnz6eowkr3itxrd9q9">
        <w:r>
          <w:rPr>
            <w:rStyle w:val="Hyperlink"/>
            <w:sz w:val="18"/>
            <w:szCs w:val="18"/>
          </w:rPr>
          <w:t xml:space="preserve">ANCT, Villes de France et MyTraffic, L'observatoire des mobilités dans les villes ACV, mars 2024</w:t>
        </w:r>
      </w:hyperlink>
      <w:r>
        <w:rPr>
          <w:sz w:val="18"/>
          <w:szCs w:val="18"/>
        </w:rPr>
        <w:t xml:space="preserve"> (septembre 2022 - août 2023)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4s4vonmnmwbney3psbe8s">
        <w:r>
          <w:rPr>
            <w:rStyle w:val="Hyperlink"/>
            <w:sz w:val="18"/>
            <w:szCs w:val="18"/>
          </w:rPr>
          <w:t xml:space="preserve">ANCT, Banque des Territoires et MyTraffic, Observatoire des mobilités dans les villes ACV, octobre 2021</w:t>
        </w:r>
      </w:hyperlink>
    </w:p>
    <w:p>
      <w:pPr>
        <w:spacing w:before="120"/>
      </w:pPr>
      <w:r>
        <w:rPr>
          <w:i/>
          <w:iCs/>
          <w:color w:val="595959"/>
          <w:sz w:val="17"/>
          <w:szCs w:val="17"/>
        </w:rPr>
        <w:t xml:space="preserve">Tables de calcul : dépôt du projet, dossier analyse_commerce_territoires/resultats (fichiers 17 à 23).</w:t>
      </w:r>
    </w:p>
    <w:sectPr>
      <w:headerReference w:type="default" r:id="rId6"/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  <w:color w:val="0030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Choix des villes ACV · Proposition à la DGE ·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360" w:hanging="300"/>
      </w:pPr>
      <w:rPr>
        <w:color w:val="C2255C"/>
        <w:sz w:val="14"/>
        <w:szCs w:val="14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00"/>
      </w:pPr>
      <w:rPr>
        <w:color w:val="003087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0070C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003087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m0rxwh_f5lcyyl0wii26y" Type="http://schemas.openxmlformats.org/officeDocument/2006/relationships/hyperlink" Target="https://www.data.gouv.fr/fr/datasets/base-sirene-des-entreprises-et-de-leurs-etablissements-siren-siret/" TargetMode="External"/><Relationship Id="rIdlej8romuf7wmhur2edfph" Type="http://schemas.openxmlformats.org/officeDocument/2006/relationships/hyperlink" Target="https://www.data.gouv.fr/fr/datasets/geolocalisation-des-etablissements-du-repertoire-sirene-pour-les-etudes-statistiques/" TargetMode="External"/><Relationship Id="rIdl18ljsepj0pxocaoy43an" Type="http://schemas.openxmlformats.org/officeDocument/2006/relationships/hyperlink" Target="https://datafoncier.cerema.fr/base-empcom-des-principales-emprises-dactivites-commerciales" TargetMode="External"/><Relationship Id="rIdiwtzrmqb-8hjqicghpr-_" Type="http://schemas.openxmlformats.org/officeDocument/2006/relationships/hyperlink" Target="https://www.data.gouv.fr/fr/datasets/quartiers-prioritaires-de-la-politique-de-la-ville-qpv/" TargetMode="External"/><Relationship Id="rIdxr6wvszgxrup4gp2cpp1a" Type="http://schemas.openxmlformats.org/officeDocument/2006/relationships/hyperlink" Target="https://geoservices.ign.fr/adminexpress" TargetMode="External"/><Relationship Id="rIdprgkdzjuctah_mnqdlqop" Type="http://schemas.openxmlformats.org/officeDocument/2006/relationships/hyperlink" Target="https://www.insee.fr/fr/statistiques/7632446?sommaire=7632456" TargetMode="External"/><Relationship Id="rIdavxxzm8shazqksxvtheos" Type="http://schemas.openxmlformats.org/officeDocument/2006/relationships/hyperlink" Target="https://opendata.caissedesdepots.fr/explore/dataset/villes_action_coeurdeville/" TargetMode="External"/><Relationship Id="rId8_-olfmg1k7a3wapsnwej" Type="http://schemas.openxmlformats.org/officeDocument/2006/relationships/hyperlink" Target="https://media.anct.gouv.fr/ressources/2026-10/atlas-national-acv-t4-2025_0.pdf" TargetMode="External"/><Relationship Id="rIdf4ktseereygptsjxv1f3p" Type="http://schemas.openxmlformats.org/officeDocument/2006/relationships/hyperlink" Target="https://8646969.fs1.hubspotusercontent-na1.net/hubfs/8646969/CODATA/Codata-Barom%C3%A8tre-offre-commerciale-dans-les-centres-villes-2026.pdf" TargetMode="External"/><Relationship Id="rIdenkvzfzmqb0yhacbl1_iu" Type="http://schemas.openxmlformats.org/officeDocument/2006/relationships/hyperlink" Target="https://www.banquedesterritoires.fr/action-coeur-de-ville-des-resultats-sur-la-vacance-commerciale" TargetMode="External"/><Relationship Id="rIdfnks-1husrtj7elyu585t" Type="http://schemas.openxmlformats.org/officeDocument/2006/relationships/hyperlink" Target="https://www.banquedesterritoires.fr/la-progression-de-la-vacance-commerciale-ralentit-surtout-dans-les-villes-moyennes" TargetMode="External"/><Relationship Id="rIdaukpnz6eowkr3itxrd9q9" Type="http://schemas.openxmlformats.org/officeDocument/2006/relationships/hyperlink" Target="https://agence-cohesion-territoires.gouv.fr/sites/default/files/2024-04/Observatoire%20des%20mobilit%C3%A9s%202023%20%2817%29.pdf" TargetMode="External"/><Relationship Id="rId4s4vonmnmwbney3psbe8s" Type="http://schemas.openxmlformats.org/officeDocument/2006/relationships/hyperlink" Target="https://www.banquedesterritoires.fr/sites/default/files/2021-10/Observatoire%20des%20mobilit%C3%A9s%20dans%20les%20villes%20ACV_compressed.pdf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Choix des villes Action Cœur de Ville pour les missions d'entretiens</dc:title>
  <dc:creator>OCDE – étude de cas France</dc:creator>
  <cp:lastModifiedBy>Un-named</cp:lastModifiedBy>
  <cp:revision>1</cp:revision>
  <dcterms:created xsi:type="dcterms:W3CDTF">2026-10-08T15:38:07.889Z</dcterms:created>
  <dcterms:modified xsi:type="dcterms:W3CDTF">2026-10-08T15:38:07.889Z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