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2255C"/>
          <w:spacing w:val="20"/>
          <w:sz w:val="16"/>
          <w:szCs w:val="16"/>
        </w:rPr>
        <w:t xml:space="preserve">OCDE · ÉTUDE DE CAS FRANCE · ZONES COMMERCIALES, CENTRES-VILLES ET QPV</w:t>
      </w:r>
    </w:p>
    <w:p>
      <w:pPr>
        <w:spacing w:after="100"/>
      </w:pPr>
      <w:r>
        <w:rPr>
          <w:color w:val="003087"/>
          <w:sz w:val="40"/>
          <w:szCs w:val="40"/>
        </w:rPr>
        <w:t xml:space="preserve">Proposition de missions d'entretiens dans les villes Action Cœur de Ville</w:t>
      </w:r>
    </w:p>
    <w:p>
      <w:pPr>
        <w:pBdr>
          <w:bottom w:val="single" w:color="C2255C" w:sz="8"/>
        </w:pBdr>
        <w:spacing w:after="280"/>
      </w:pPr>
      <w:r>
        <w:rPr>
          <w:color w:val="595959"/>
          <w:sz w:val="19"/>
          <w:szCs w:val="19"/>
        </w:rPr>
        <w:t xml:space="preserve">Note à l'attention de la Direction générale des Entreprises (DGE) · 8 octobre 2026 · Document de travail</w:t>
      </w:r>
    </w:p>
    <w:p>
      <w:pPr>
        <w:pStyle w:val="Heading1"/>
      </w:pPr>
      <w:r>
        <w:t xml:space="preserve">Objet et méthode de sélection</w:t>
      </w:r>
    </w:p>
    <w:p>
      <w:pPr>
        <w:spacing w:after="120" w:line="276"/>
      </w:pPr>
      <w:r>
        <w:t xml:space="preserve">Nous proposons à la DGE </w:t>
      </w:r>
      <w:r>
        <w:rPr>
          <w:b/>
          <w:bCs/>
        </w:rPr>
        <w:t xml:space="preserve">six missions d'entretiens</w:t>
      </w:r>
      <w:r>
        <w:t xml:space="preserve"> dans des villes Action Cœur de Ville (ACV) qui ont inversé ou nettement freiné le déclin de leur commerce de centre-ville, plus </w:t>
      </w:r>
      <w:r>
        <w:rPr>
          <w:b/>
          <w:bCs/>
        </w:rPr>
        <w:t xml:space="preserve">deux cas de comparaison</w:t>
      </w:r>
      <w:r>
        <w:t xml:space="preserve">. L'objectif est de documenter ce qui a fonctionné, pour l'étude de cas France de l'OCDE sur les zones commerciales périphériques.</w:t>
      </w:r>
    </w:p>
    <w:p>
      <w:pPr>
        <w:spacing w:after="120" w:line="276"/>
      </w:pPr>
      <w:r>
        <w:t xml:space="preserve">Les villes sont retenues sur trois indicateurs croisés, pour les 228 villes ACV de métropole :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b/>
          <w:bCs/>
        </w:rPr>
        <w:t xml:space="preserve">Nombre de commerces employeurs du centre-ville</w:t>
      </w:r>
      <w:r>
        <w:t xml:space="preserve"> (Insee, Sirene) : évolution 2012-2019, avant le programme, comparée à 2019-2025. Centre-ville = cercle de 300 à 700 m autour de la mairie selon la taille de la ville.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b/>
          <w:bCs/>
        </w:rPr>
        <w:t xml:space="preserve">Baisse de la vacance commerciale 2018-2022</w:t>
      </w:r>
      <w:r>
        <w:t xml:space="preserve"> (étude FACT et Codata) et palmarès Codata 2023 et 2024-2025.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b/>
          <w:bCs/>
        </w:rPr>
        <w:t xml:space="preserve">Niveau de vacance en 2025</w:t>
      </w:r>
      <w:r>
        <w:t xml:space="preserve"> (atlas national ACV de l'ANCT, données Codata, par tranche de 5 points).</w:t>
      </w:r>
    </w:p>
    <w:p>
      <w:pPr>
        <w:spacing w:after="200" w:before="80" w:line="276"/>
      </w:pPr>
      <w:r>
        <w:t xml:space="preserve">Une ville est proposée quand au moins deux indicateurs concordent. Repères : les centres des villes ACV perdent 11,6 % de leurs commerces employeurs en 2012-2019 puis 9,1 % en 2019-2025 ; la vacance moyenne des villes ACV atteint 14,5 % en 2025.</w:t>
      </w:r>
    </w:p>
    <w:p>
      <w:pPr>
        <w:pStyle w:val="Heading1"/>
      </w:pPr>
      <w:r>
        <w:t xml:space="preserve">Missions proposées</w:t>
      </w:r>
    </w:p>
    <w:p>
      <w:pPr>
        <w:spacing w:after="120" w:line="276"/>
      </w:pPr>
      <w:r>
        <w:t xml:space="preserve">Trois villes montrent une inversion confirmée par une vacance basse en 2025 (5 à 10 %) ; Creil et Denain rebondissent avec une vacance moyenne ; Vierzon a freiné son déclin. Les commerces sont les commerces employeurs du centre-ville en 2012, 2019 et 2025.</w:t>
      </w:r>
    </w:p>
    <w:tbl>
      <w:tblPr>
        <w:tblW w:type="dxa" w:w="151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700"/>
        <w:gridCol w:w="1700"/>
        <w:gridCol w:w="2000"/>
        <w:gridCol w:w="2000"/>
        <w:gridCol w:w="2600"/>
        <w:gridCol w:w="2837"/>
        <w:gridCol w:w="1300"/>
      </w:tblGrid>
      <w:tr>
        <w:trPr>
          <w:tblHeader/>
        </w:trPr>
        <w:tc>
          <w:tcPr>
            <w:tcW w:type="dxa" w:w="1000"/>
            <w:tcBorders>
              <w:top w:val="single" w:color="003087" w:sz="10"/>
              <w:left w:val="none" w:color="FFFFFF" w:sz="0"/>
              <w:bottom w:val="single" w:color="003087" w:sz="6"/>
              <w:right w:val="none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r>
              <w:rPr>
                <w:b/>
                <w:bCs/>
                <w:color w:val="003087"/>
                <w:sz w:val="17"/>
                <w:szCs w:val="17"/>
              </w:rPr>
              <w:t xml:space="preserve">Priorité</w:t>
            </w:r>
          </w:p>
        </w:tc>
        <w:tc>
          <w:tcPr>
            <w:tcW w:type="dxa" w:w="1700"/>
            <w:tcBorders>
              <w:top w:val="single" w:color="003087" w:sz="10"/>
              <w:left w:val="none" w:color="FFFFFF" w:sz="0"/>
              <w:bottom w:val="single" w:color="003087" w:sz="6"/>
              <w:right w:val="none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r>
              <w:rPr>
                <w:b/>
                <w:bCs/>
                <w:color w:val="003087"/>
                <w:sz w:val="17"/>
                <w:szCs w:val="17"/>
              </w:rPr>
              <w:t xml:space="preserve">Ville</w:t>
            </w:r>
          </w:p>
        </w:tc>
        <w:tc>
          <w:tcPr>
            <w:tcW w:type="dxa" w:w="1700"/>
            <w:tcBorders>
              <w:top w:val="single" w:color="003087" w:sz="10"/>
              <w:left w:val="none" w:color="FFFFFF" w:sz="0"/>
              <w:bottom w:val="single" w:color="003087" w:sz="6"/>
              <w:right w:val="none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r>
              <w:rPr>
                <w:b/>
                <w:bCs/>
                <w:color w:val="003087"/>
                <w:sz w:val="17"/>
                <w:szCs w:val="17"/>
              </w:rPr>
              <w:t xml:space="preserve">Profil</w:t>
            </w:r>
          </w:p>
        </w:tc>
        <w:tc>
          <w:tcPr>
            <w:tcW w:type="dxa" w:w="2000"/>
            <w:tcBorders>
              <w:top w:val="single" w:color="003087" w:sz="10"/>
              <w:left w:val="none" w:color="FFFFFF" w:sz="0"/>
              <w:bottom w:val="single" w:color="003087" w:sz="6"/>
              <w:right w:val="none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r>
              <w:rPr>
                <w:b/>
                <w:bCs/>
                <w:color w:val="003087"/>
                <w:sz w:val="17"/>
                <w:szCs w:val="17"/>
              </w:rPr>
              <w:t xml:space="preserve">Commerces 2012 → 2019 → 2025</w:t>
            </w:r>
          </w:p>
        </w:tc>
        <w:tc>
          <w:tcPr>
            <w:tcW w:type="dxa" w:w="2000"/>
            <w:tcBorders>
              <w:top w:val="single" w:color="003087" w:sz="10"/>
              <w:left w:val="none" w:color="FFFFFF" w:sz="0"/>
              <w:bottom w:val="single" w:color="003087" w:sz="6"/>
              <w:right w:val="none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r>
              <w:rPr>
                <w:b/>
                <w:bCs/>
                <w:color w:val="003087"/>
                <w:sz w:val="17"/>
                <w:szCs w:val="17"/>
              </w:rPr>
              <w:t xml:space="preserve">Vacance commerciale</w:t>
            </w:r>
          </w:p>
        </w:tc>
        <w:tc>
          <w:tcPr>
            <w:tcW w:type="dxa" w:w="2600"/>
            <w:tcBorders>
              <w:top w:val="single" w:color="003087" w:sz="10"/>
              <w:left w:val="none" w:color="FFFFFF" w:sz="0"/>
              <w:bottom w:val="single" w:color="003087" w:sz="6"/>
              <w:right w:val="none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r>
              <w:rPr>
                <w:b/>
                <w:bCs/>
                <w:color w:val="003087"/>
                <w:sz w:val="17"/>
                <w:szCs w:val="17"/>
              </w:rPr>
              <w:t xml:space="preserve">Ce que la mission doit éclairer</w:t>
            </w:r>
          </w:p>
        </w:tc>
        <w:tc>
          <w:tcPr>
            <w:tcW w:type="dxa" w:w="2837"/>
            <w:tcBorders>
              <w:top w:val="single" w:color="003087" w:sz="10"/>
              <w:left w:val="none" w:color="FFFFFF" w:sz="0"/>
              <w:bottom w:val="single" w:color="003087" w:sz="6"/>
              <w:right w:val="none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r>
              <w:rPr>
                <w:b/>
                <w:bCs/>
                <w:color w:val="003087"/>
                <w:sz w:val="17"/>
                <w:szCs w:val="17"/>
              </w:rPr>
              <w:t xml:space="preserve">Interlocuteurs</w:t>
            </w:r>
          </w:p>
        </w:tc>
        <w:tc>
          <w:tcPr>
            <w:tcW w:type="dxa" w:w="1300"/>
            <w:tcBorders>
              <w:top w:val="single" w:color="003087" w:sz="10"/>
              <w:left w:val="none" w:color="FFFFFF" w:sz="0"/>
              <w:bottom w:val="single" w:color="003087" w:sz="6"/>
              <w:right w:val="none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r>
              <w:rPr>
                <w:b/>
                <w:bCs/>
                <w:color w:val="003087"/>
                <w:sz w:val="17"/>
                <w:szCs w:val="17"/>
              </w:rPr>
              <w:t xml:space="preserve">Décision DGE</w:t>
            </w:r>
          </w:p>
        </w:tc>
      </w:tr>
      <w:tr>
        <w:trPr>
          <w:cantSplit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D9D9D9" w:sz="4"/>
              <w:right w:val="none" w:color="FFFFFF" w:sz="0"/>
            </w:tcBorders>
            <w:shd w:fill="FDEEF4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r>
              <w:rPr>
                <w:b/>
                <w:bCs/>
                <w:color w:val="C2255C"/>
                <w:sz w:val="17"/>
                <w:szCs w:val="17"/>
              </w:rPr>
              <w:t xml:space="preserve">Haute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D9D9D9" w:sz="4"/>
              <w:right w:val="none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r>
              <w:rPr>
                <w:b/>
                <w:bCs/>
                <w:sz w:val="17"/>
                <w:szCs w:val="17"/>
              </w:rPr>
              <w:t xml:space="preserve">Sète (Hérault, 44 700 hab.)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D9D9D9" w:sz="4"/>
              <w:right w:val="none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r>
              <w:rPr>
                <w:sz w:val="17"/>
                <w:szCs w:val="17"/>
              </w:rPr>
              <w:t xml:space="preserve">Inversion confirmée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D9D9D9" w:sz="4"/>
              <w:right w:val="none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r>
              <w:rPr>
                <w:sz w:val="17"/>
                <w:szCs w:val="17"/>
              </w:rPr>
              <w:t xml:space="preserve">180 → 153 → 174 (−15 % puis +14 %)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D9D9D9" w:sz="4"/>
              <w:right w:val="none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r>
              <w:rPr>
                <w:sz w:val="17"/>
                <w:szCs w:val="17"/>
              </w:rPr>
              <w:t xml:space="preserve">−4,4 pts en 2018-2022 ; 5 à 10 % en 2025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D9D9D9" w:sz="4"/>
              <w:right w:val="none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r>
              <w:rPr>
                <w:sz w:val="17"/>
                <w:szCs w:val="17"/>
              </w:rPr>
              <w:t xml:space="preserve">Quels leviers ont ramené des commerces, et quelle part revient au programme ?</w:t>
            </w:r>
          </w:p>
        </w:tc>
        <w:tc>
          <w:tcPr>
            <w:tcW w:type="dxa" w:w="2837"/>
            <w:tcBorders>
              <w:top w:val="none" w:color="FFFFFF" w:sz="0"/>
              <w:left w:val="none" w:color="FFFFFF" w:sz="0"/>
              <w:bottom w:val="single" w:color="D9D9D9" w:sz="4"/>
              <w:right w:val="none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r>
              <w:rPr>
                <w:sz w:val="17"/>
                <w:szCs w:val="17"/>
              </w:rPr>
              <w:t xml:space="preserve">Élu au commerce, manager de commerce, chef de projet ACV, CCI Hérault, union commerciale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D9D9D9" w:sz="4"/>
              <w:right w:val="none" w:color="FFFFFF" w:sz="0"/>
            </w:tcBorders>
            <w:shd w:fill="F2F2F2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r>
              <w:rPr>
                <w:sz w:val="17"/>
                <w:szCs w:val="17"/>
              </w:rPr>
              <w:t xml:space="preserve">À valider</w:t>
            </w:r>
          </w:p>
        </w:tc>
      </w:tr>
      <w:tr>
        <w:trPr>
          <w:cantSplit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D9D9D9" w:sz="4"/>
              <w:right w:val="none" w:color="FFFFFF" w:sz="0"/>
            </w:tcBorders>
            <w:shd w:fill="FDEEF4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r>
              <w:rPr>
                <w:b/>
                <w:bCs/>
                <w:color w:val="C2255C"/>
                <w:sz w:val="17"/>
                <w:szCs w:val="17"/>
              </w:rPr>
              <w:t xml:space="preserve">Haute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D9D9D9" w:sz="4"/>
              <w:right w:val="none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r>
              <w:rPr>
                <w:b/>
                <w:bCs/>
                <w:sz w:val="17"/>
                <w:szCs w:val="17"/>
              </w:rPr>
              <w:t xml:space="preserve">Creil (Oise, 36 100 hab.)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D9D9D9" w:sz="4"/>
              <w:right w:val="none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r>
              <w:rPr>
                <w:sz w:val="17"/>
                <w:szCs w:val="17"/>
              </w:rPr>
              <w:t xml:space="preserve">Inversion, sans vacance publiée avant 2025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D9D9D9" w:sz="4"/>
              <w:right w:val="none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r>
              <w:rPr>
                <w:sz w:val="17"/>
                <w:szCs w:val="17"/>
              </w:rPr>
              <w:t xml:space="preserve">59 → 40 → 55 (−32 % puis +38 %)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D9D9D9" w:sz="4"/>
              <w:right w:val="none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r>
              <w:rPr>
                <w:sz w:val="17"/>
                <w:szCs w:val="17"/>
              </w:rPr>
              <w:t xml:space="preserve">10 à 15 % en 2025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D9D9D9" w:sz="4"/>
              <w:right w:val="none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Rebond réel sur le terrain ? Articulation entre centre-ville et quartiers prioritaires</w:t>
            </w:r>
          </w:p>
        </w:tc>
        <w:tc>
          <w:tcPr>
            <w:tcW w:type="dxa" w:w="2837"/>
            <w:tcBorders>
              <w:top w:val="none" w:color="FFFFFF" w:sz="0"/>
              <w:left w:val="none" w:color="FFFFFF" w:sz="0"/>
              <w:bottom w:val="single" w:color="D9D9D9" w:sz="4"/>
              <w:right w:val="none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r>
              <w:rPr>
                <w:sz w:val="17"/>
                <w:szCs w:val="17"/>
              </w:rPr>
              <w:t xml:space="preserve">Chef de projet ACV, manager de commerce, agglomération, CCI de l'Oise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D9D9D9" w:sz="4"/>
              <w:right w:val="none" w:color="FFFFFF" w:sz="0"/>
            </w:tcBorders>
            <w:shd w:fill="F2F2F2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r>
              <w:rPr>
                <w:sz w:val="17"/>
                <w:szCs w:val="17"/>
              </w:rPr>
              <w:t xml:space="preserve">À valider</w:t>
            </w:r>
          </w:p>
        </w:tc>
      </w:tr>
      <w:tr>
        <w:trPr>
          <w:cantSplit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D9D9D9" w:sz="4"/>
              <w:right w:val="none" w:color="FFFFFF" w:sz="0"/>
            </w:tcBorders>
            <w:shd w:fill="FDEEF4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r>
              <w:rPr>
                <w:b/>
                <w:bCs/>
                <w:color w:val="C2255C"/>
                <w:sz w:val="17"/>
                <w:szCs w:val="17"/>
              </w:rPr>
              <w:t xml:space="preserve">Haute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D9D9D9" w:sz="4"/>
              <w:right w:val="none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r>
              <w:rPr>
                <w:b/>
                <w:bCs/>
                <w:sz w:val="17"/>
                <w:szCs w:val="17"/>
              </w:rPr>
              <w:t xml:space="preserve">Vitry-le-François (Marne, 11 500 hab.)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D9D9D9" w:sz="4"/>
              <w:right w:val="none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r>
              <w:rPr>
                <w:sz w:val="17"/>
                <w:szCs w:val="17"/>
              </w:rPr>
              <w:t xml:space="preserve">Inversion malgré une population en baisse (−12,8 % en 2014-2020)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D9D9D9" w:sz="4"/>
              <w:right w:val="none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r>
              <w:rPr>
                <w:sz w:val="17"/>
                <w:szCs w:val="17"/>
              </w:rPr>
              <w:t xml:space="preserve">56 → 41 → 50 (−27 % puis +22 %)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D9D9D9" w:sz="4"/>
              <w:right w:val="none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r>
              <w:rPr>
                <w:sz w:val="17"/>
                <w:szCs w:val="17"/>
              </w:rPr>
              <w:t xml:space="preserve">5 à 10 % en 2025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D9D9D9" w:sz="4"/>
              <w:right w:val="none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r>
              <w:rPr>
                <w:sz w:val="17"/>
                <w:szCs w:val="17"/>
              </w:rPr>
              <w:t xml:space="preserve">Comment le commerce repart-il quand les habitants partent ?</w:t>
            </w:r>
          </w:p>
        </w:tc>
        <w:tc>
          <w:tcPr>
            <w:tcW w:type="dxa" w:w="2837"/>
            <w:tcBorders>
              <w:top w:val="none" w:color="FFFFFF" w:sz="0"/>
              <w:left w:val="none" w:color="FFFFFF" w:sz="0"/>
              <w:bottom w:val="single" w:color="D9D9D9" w:sz="4"/>
              <w:right w:val="none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r>
              <w:rPr>
                <w:sz w:val="17"/>
                <w:szCs w:val="17"/>
              </w:rPr>
              <w:t xml:space="preserve">Maire ou élu au commerce, chef de projet ACV, CCI Marne, commerçants installés depuis 2019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D9D9D9" w:sz="4"/>
              <w:right w:val="none" w:color="FFFFFF" w:sz="0"/>
            </w:tcBorders>
            <w:shd w:fill="F2F2F2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r>
              <w:rPr>
                <w:sz w:val="17"/>
                <w:szCs w:val="17"/>
              </w:rPr>
              <w:t xml:space="preserve">À valider</w:t>
            </w:r>
          </w:p>
        </w:tc>
      </w:tr>
      <w:tr>
        <w:trPr>
          <w:cantSplit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D9D9D9" w:sz="4"/>
              <w:right w:val="none" w:color="FFFFFF" w:sz="0"/>
            </w:tcBorders>
            <w:shd w:fill="EBF4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r>
              <w:rPr>
                <w:b/>
                <w:bCs/>
                <w:color w:val="003087"/>
                <w:sz w:val="17"/>
                <w:szCs w:val="17"/>
              </w:rPr>
              <w:t xml:space="preserve">Moyenne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D9D9D9" w:sz="4"/>
              <w:right w:val="none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r>
              <w:rPr>
                <w:b/>
                <w:bCs/>
                <w:sz w:val="17"/>
                <w:szCs w:val="17"/>
              </w:rPr>
              <w:t xml:space="preserve">Lunéville (Meurthe-et-Moselle, 17 800 hab.)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D9D9D9" w:sz="4"/>
              <w:right w:val="none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r>
              <w:rPr>
                <w:sz w:val="17"/>
                <w:szCs w:val="17"/>
              </w:rPr>
              <w:t xml:space="preserve">Inversion partielle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D9D9D9" w:sz="4"/>
              <w:right w:val="none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r>
              <w:rPr>
                <w:sz w:val="17"/>
                <w:szCs w:val="17"/>
              </w:rPr>
              <w:t xml:space="preserve">54 → 46 → 52 (−15 % puis +13 %) ; ensemble des établissements −5 %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D9D9D9" w:sz="4"/>
              <w:right w:val="none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r>
              <w:rPr>
                <w:sz w:val="17"/>
                <w:szCs w:val="17"/>
              </w:rPr>
              <w:t xml:space="preserve">5 à 10 % en 2025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D9D9D9" w:sz="4"/>
              <w:right w:val="none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r>
              <w:rPr>
                <w:sz w:val="17"/>
                <w:szCs w:val="17"/>
              </w:rPr>
              <w:t xml:space="preserve">Quels commerces arrivent, lesquels partent ? Effet sur la vacance</w:t>
            </w:r>
          </w:p>
        </w:tc>
        <w:tc>
          <w:tcPr>
            <w:tcW w:type="dxa" w:w="2837"/>
            <w:tcBorders>
              <w:top w:val="none" w:color="FFFFFF" w:sz="0"/>
              <w:left w:val="none" w:color="FFFFFF" w:sz="0"/>
              <w:bottom w:val="single" w:color="D9D9D9" w:sz="4"/>
              <w:right w:val="none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r>
              <w:rPr>
                <w:sz w:val="17"/>
                <w:szCs w:val="17"/>
              </w:rPr>
              <w:t xml:space="preserve">Chef de projet ACV, manager de commerce, union commerciale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D9D9D9" w:sz="4"/>
              <w:right w:val="none" w:color="FFFFFF" w:sz="0"/>
            </w:tcBorders>
            <w:shd w:fill="F2F2F2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r>
              <w:rPr>
                <w:sz w:val="17"/>
                <w:szCs w:val="17"/>
              </w:rPr>
              <w:t xml:space="preserve">À valider</w:t>
            </w:r>
          </w:p>
        </w:tc>
      </w:tr>
      <w:tr>
        <w:trPr>
          <w:cantSplit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D9D9D9" w:sz="4"/>
              <w:right w:val="none" w:color="FFFFFF" w:sz="0"/>
            </w:tcBorders>
            <w:shd w:fill="FDEEF4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r>
              <w:rPr>
                <w:b/>
                <w:bCs/>
                <w:color w:val="C2255C"/>
                <w:sz w:val="17"/>
                <w:szCs w:val="17"/>
              </w:rPr>
              <w:t xml:space="preserve">Haute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D9D9D9" w:sz="4"/>
              <w:right w:val="none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r>
              <w:rPr>
                <w:b/>
                <w:bCs/>
                <w:sz w:val="17"/>
                <w:szCs w:val="17"/>
              </w:rPr>
              <w:t xml:space="preserve">Vierzon (Cher, 25 300 hab.)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D9D9D9" w:sz="4"/>
              <w:right w:val="none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r>
              <w:rPr>
                <w:sz w:val="17"/>
                <w:szCs w:val="17"/>
              </w:rPr>
              <w:t xml:space="preserve">Déclin fortement freiné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D9D9D9" w:sz="4"/>
              <w:right w:val="none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r>
              <w:rPr>
                <w:sz w:val="17"/>
                <w:szCs w:val="17"/>
              </w:rPr>
              <w:t xml:space="preserve">57 → 33 → 30 (−42 % puis −9 %)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D9D9D9" w:sz="4"/>
              <w:right w:val="none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r>
              <w:rPr>
                <w:sz w:val="17"/>
                <w:szCs w:val="17"/>
              </w:rPr>
              <w:t xml:space="preserve">−6,7 pts en 2018-2022 ; plus de 20 % en 2025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D9D9D9" w:sz="4"/>
              <w:right w:val="none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r>
              <w:rPr>
                <w:sz w:val="17"/>
                <w:szCs w:val="17"/>
              </w:rPr>
              <w:t xml:space="preserve">Rôle de la foncière de redynamisation (SEMVIE) ; pourquoi la vacance reste élevée</w:t>
            </w:r>
          </w:p>
        </w:tc>
        <w:tc>
          <w:tcPr>
            <w:tcW w:type="dxa" w:w="2837"/>
            <w:tcBorders>
              <w:top w:val="none" w:color="FFFFFF" w:sz="0"/>
              <w:left w:val="none" w:color="FFFFFF" w:sz="0"/>
              <w:bottom w:val="single" w:color="D9D9D9" w:sz="4"/>
              <w:right w:val="none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r>
              <w:rPr>
                <w:sz w:val="17"/>
                <w:szCs w:val="17"/>
              </w:rPr>
              <w:t xml:space="preserve">Foncière SEMVIE, chef de projet ACV, élu au commerce, Banque des Territoires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D9D9D9" w:sz="4"/>
              <w:right w:val="none" w:color="FFFFFF" w:sz="0"/>
            </w:tcBorders>
            <w:shd w:fill="F2F2F2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r>
              <w:rPr>
                <w:sz w:val="17"/>
                <w:szCs w:val="17"/>
              </w:rPr>
              <w:t xml:space="preserve">À valider</w:t>
            </w:r>
          </w:p>
        </w:tc>
      </w:tr>
      <w:tr>
        <w:trPr>
          <w:cantSplit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3087" w:sz="10"/>
              <w:right w:val="none" w:color="FFFFFF" w:sz="0"/>
            </w:tcBorders>
            <w:shd w:fill="EBF4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r>
              <w:rPr>
                <w:b/>
                <w:bCs/>
                <w:color w:val="003087"/>
                <w:sz w:val="17"/>
                <w:szCs w:val="17"/>
              </w:rPr>
              <w:t xml:space="preserve">Moyenne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003087" w:sz="10"/>
              <w:right w:val="none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r>
              <w:rPr>
                <w:b/>
                <w:bCs/>
                <w:sz w:val="17"/>
                <w:szCs w:val="17"/>
              </w:rPr>
              <w:t xml:space="preserve">Denain (Nord, 20 600 hab.)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003087" w:sz="10"/>
              <w:right w:val="none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r>
              <w:rPr>
                <w:sz w:val="17"/>
                <w:szCs w:val="17"/>
              </w:rPr>
              <w:t xml:space="preserve">Inversion, vacance moyenne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003087" w:sz="10"/>
              <w:right w:val="none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r>
              <w:rPr>
                <w:sz w:val="17"/>
                <w:szCs w:val="17"/>
              </w:rPr>
              <w:t xml:space="preserve">50 → 36 → 43 (−28 % puis +19 %)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003087" w:sz="10"/>
              <w:right w:val="none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r>
              <w:rPr>
                <w:sz w:val="17"/>
                <w:szCs w:val="17"/>
              </w:rPr>
              <w:t xml:space="preserve">10 à 15 % en 2025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003087" w:sz="10"/>
              <w:right w:val="none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r>
              <w:rPr>
                <w:sz w:val="17"/>
                <w:szCs w:val="17"/>
              </w:rPr>
              <w:t xml:space="preserve">Quelles actions depuis 2019 ? Poids des zones commerciales voisines</w:t>
            </w:r>
          </w:p>
        </w:tc>
        <w:tc>
          <w:tcPr>
            <w:tcW w:type="dxa" w:w="2837"/>
            <w:tcBorders>
              <w:top w:val="none" w:color="FFFFFF" w:sz="0"/>
              <w:left w:val="none" w:color="FFFFFF" w:sz="0"/>
              <w:bottom w:val="single" w:color="003087" w:sz="10"/>
              <w:right w:val="none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r>
              <w:rPr>
                <w:sz w:val="17"/>
                <w:szCs w:val="17"/>
              </w:rPr>
              <w:t xml:space="preserve">Chef de projet ACV, manager de commerce, CCI Grand Hainaut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003087" w:sz="10"/>
              <w:right w:val="none" w:color="FFFFFF" w:sz="0"/>
            </w:tcBorders>
            <w:shd w:fill="F2F2F2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r>
              <w:rPr>
                <w:sz w:val="17"/>
                <w:szCs w:val="17"/>
              </w:rPr>
              <w:t xml:space="preserve">À valider</w:t>
            </w:r>
          </w:p>
        </w:tc>
      </w:tr>
    </w:tbl>
    <w:p>
      <w:pPr>
        <w:spacing w:after="200" w:before="80"/>
      </w:pPr>
      <w:r>
        <w:rPr>
          <w:i/>
          <w:iCs/>
          <w:color w:val="595959"/>
          <w:sz w:val="17"/>
          <w:szCs w:val="17"/>
        </w:rPr>
        <w:t xml:space="preserve">Les interlocuteurs sont des fonctions : les noms seront à identifier avec les préfectures et l'ANCT.</w:t>
      </w:r>
    </w:p>
    <w:p>
      <w:pPr>
        <w:pStyle w:val="Heading1"/>
      </w:pPr>
      <w:r>
        <w:t xml:space="preserve">Cas de comparaison</w:t>
      </w:r>
    </w:p>
    <w:p>
      <w:pPr>
        <w:spacing w:after="120" w:line="276"/>
      </w:pPr>
      <w:r>
        <w:t xml:space="preserve">Deux missions courtes serviraient de points de comparaison : elles montrent ce qui distingue une réussite durable d'une réussite fragile ou d'un déclin simplement ralenti.</w:t>
      </w:r>
    </w:p>
    <w:tbl>
      <w:tblPr>
        <w:tblW w:type="dxa" w:w="151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000"/>
        <w:gridCol w:w="2400"/>
        <w:gridCol w:w="3800"/>
        <w:gridCol w:w="4737"/>
      </w:tblGrid>
      <w:tr>
        <w:trPr>
          <w:tblHeader/>
        </w:trPr>
        <w:tc>
          <w:tcPr>
            <w:tcW w:type="dxa" w:w="2200"/>
            <w:tcBorders>
              <w:top w:val="single" w:color="003087" w:sz="10"/>
              <w:left w:val="none" w:color="FFFFFF" w:sz="0"/>
              <w:bottom w:val="single" w:color="003087" w:sz="6"/>
              <w:right w:val="none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r>
              <w:rPr>
                <w:b/>
                <w:bCs/>
                <w:color w:val="003087"/>
                <w:sz w:val="17"/>
                <w:szCs w:val="17"/>
              </w:rPr>
              <w:t xml:space="preserve">Ville</w:t>
            </w:r>
          </w:p>
        </w:tc>
        <w:tc>
          <w:tcPr>
            <w:tcW w:type="dxa" w:w="2000"/>
            <w:tcBorders>
              <w:top w:val="single" w:color="003087" w:sz="10"/>
              <w:left w:val="none" w:color="FFFFFF" w:sz="0"/>
              <w:bottom w:val="single" w:color="003087" w:sz="6"/>
              <w:right w:val="none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r>
              <w:rPr>
                <w:b/>
                <w:bCs/>
                <w:color w:val="003087"/>
                <w:sz w:val="17"/>
                <w:szCs w:val="17"/>
              </w:rPr>
              <w:t xml:space="preserve">Profil</w:t>
            </w:r>
          </w:p>
        </w:tc>
        <w:tc>
          <w:tcPr>
            <w:tcW w:type="dxa" w:w="2400"/>
            <w:tcBorders>
              <w:top w:val="single" w:color="003087" w:sz="10"/>
              <w:left w:val="none" w:color="FFFFFF" w:sz="0"/>
              <w:bottom w:val="single" w:color="003087" w:sz="6"/>
              <w:right w:val="none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r>
              <w:rPr>
                <w:b/>
                <w:bCs/>
                <w:color w:val="003087"/>
                <w:sz w:val="17"/>
                <w:szCs w:val="17"/>
              </w:rPr>
              <w:t xml:space="preserve">Commerces 2012 → 2019 → 2025</w:t>
            </w:r>
          </w:p>
        </w:tc>
        <w:tc>
          <w:tcPr>
            <w:tcW w:type="dxa" w:w="3800"/>
            <w:tcBorders>
              <w:top w:val="single" w:color="003087" w:sz="10"/>
              <w:left w:val="none" w:color="FFFFFF" w:sz="0"/>
              <w:bottom w:val="single" w:color="003087" w:sz="6"/>
              <w:right w:val="none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r>
              <w:rPr>
                <w:b/>
                <w:bCs/>
                <w:color w:val="003087"/>
                <w:sz w:val="17"/>
                <w:szCs w:val="17"/>
              </w:rPr>
              <w:t xml:space="preserve">Vacance commerciale</w:t>
            </w:r>
          </w:p>
        </w:tc>
        <w:tc>
          <w:tcPr>
            <w:tcW w:type="dxa" w:w="4737"/>
            <w:tcBorders>
              <w:top w:val="single" w:color="003087" w:sz="10"/>
              <w:left w:val="none" w:color="FFFFFF" w:sz="0"/>
              <w:bottom w:val="single" w:color="003087" w:sz="6"/>
              <w:right w:val="none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r>
              <w:rPr>
                <w:b/>
                <w:bCs/>
                <w:color w:val="003087"/>
                <w:sz w:val="17"/>
                <w:szCs w:val="17"/>
              </w:rPr>
              <w:t xml:space="preserve">Intérêt pour l'étude</w:t>
            </w:r>
          </w:p>
        </w:tc>
      </w:tr>
      <w:tr>
        <w:trPr>
          <w:cantSplit/>
        </w:trPr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D9D9D9" w:sz="4"/>
              <w:right w:val="none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r>
              <w:rPr>
                <w:b/>
                <w:bCs/>
                <w:sz w:val="17"/>
                <w:szCs w:val="17"/>
              </w:rPr>
              <w:t xml:space="preserve">Calais (Pas-de-Calais)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D9D9D9" w:sz="4"/>
              <w:right w:val="none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Rechute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9D9D9" w:sz="4"/>
              <w:right w:val="none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r>
              <w:rPr>
                <w:sz w:val="17"/>
                <w:szCs w:val="17"/>
              </w:rPr>
              <w:t xml:space="preserve">91 → 74 → 81 (−19 % puis +10 %)</w:t>
            </w:r>
          </w:p>
        </w:tc>
        <w:tc>
          <w:tcPr>
            <w:tcW w:type="dxa" w:w="3800"/>
            <w:tcBorders>
              <w:top w:val="none" w:color="FFFFFF" w:sz="0"/>
              <w:left w:val="none" w:color="FFFFFF" w:sz="0"/>
              <w:bottom w:val="single" w:color="D9D9D9" w:sz="4"/>
              <w:right w:val="none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r>
              <w:rPr>
                <w:sz w:val="17"/>
                <w:szCs w:val="17"/>
              </w:rPr>
              <w:t xml:space="preserve">14 % en 2022 après −7,7 pts, la plus forte baisse des villes ACV ; plus de 20 % en 2025</w:t>
            </w:r>
          </w:p>
        </w:tc>
        <w:tc>
          <w:tcPr>
            <w:tcW w:type="dxa" w:w="4737"/>
            <w:tcBorders>
              <w:top w:val="none" w:color="FFFFFF" w:sz="0"/>
              <w:left w:val="none" w:color="FFFFFF" w:sz="0"/>
              <w:bottom w:val="single" w:color="D9D9D9" w:sz="4"/>
              <w:right w:val="none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r>
              <w:rPr>
                <w:sz w:val="17"/>
                <w:szCs w:val="17"/>
              </w:rPr>
              <w:t xml:space="preserve">Ce qui a marché en 2018-2022 et pourquoi la vacance est remontée</w:t>
            </w:r>
          </w:p>
        </w:tc>
      </w:tr>
      <w:tr>
        <w:trPr>
          <w:cantSplit/>
        </w:trPr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003087" w:sz="10"/>
              <w:right w:val="none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r>
              <w:rPr>
                <w:b/>
                <w:bCs/>
                <w:sz w:val="17"/>
                <w:szCs w:val="17"/>
              </w:rPr>
              <w:t xml:space="preserve">Quimper (Finistère)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003087" w:sz="10"/>
              <w:right w:val="none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r>
              <w:rPr>
                <w:sz w:val="17"/>
                <w:szCs w:val="17"/>
              </w:rPr>
              <w:t xml:space="preserve">Déclin ralenti, dans la moyenne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003087" w:sz="10"/>
              <w:right w:val="none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r>
              <w:rPr>
                <w:sz w:val="17"/>
                <w:szCs w:val="17"/>
              </w:rPr>
              <w:t xml:space="preserve">268 → 213 → 194 (−20,5 % puis −8,9 %)</w:t>
            </w:r>
          </w:p>
        </w:tc>
        <w:tc>
          <w:tcPr>
            <w:tcW w:type="dxa" w:w="3800"/>
            <w:tcBorders>
              <w:top w:val="none" w:color="FFFFFF" w:sz="0"/>
              <w:left w:val="none" w:color="FFFFFF" w:sz="0"/>
              <w:bottom w:val="single" w:color="003087" w:sz="10"/>
              <w:right w:val="none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r>
              <w:rPr>
                <w:sz w:val="17"/>
                <w:szCs w:val="17"/>
              </w:rPr>
              <w:t xml:space="preserve">10 à 15 % en 2025</w:t>
            </w:r>
          </w:p>
        </w:tc>
        <w:tc>
          <w:tcPr>
            <w:tcW w:type="dxa" w:w="4737"/>
            <w:tcBorders>
              <w:top w:val="none" w:color="FFFFFF" w:sz="0"/>
              <w:left w:val="none" w:color="FFFFFF" w:sz="0"/>
              <w:bottom w:val="single" w:color="003087" w:sz="10"/>
              <w:right w:val="none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r>
              <w:rPr>
                <w:sz w:val="17"/>
                <w:szCs w:val="17"/>
              </w:rPr>
              <w:t xml:space="preserve">Témoin d'une préfecture où la périphérie continue de croître (+22 % de commerces employeurs à moins de 10 km depuis 2012)</w:t>
            </w:r>
          </w:p>
        </w:tc>
      </w:tr>
    </w:tbl>
    <w:p>
      <w:pPr>
        <w:spacing w:after="120" w:before="160" w:line="276"/>
      </w:pPr>
      <w:r>
        <w:rPr>
          <w:b/>
          <w:bCs/>
        </w:rPr>
        <w:t xml:space="preserve">Villes écartées comme exemples de réussite</w:t>
      </w:r>
      <w:r>
        <w:t xml:space="preserve"> : Saint-Dizier, Mont-de-Marsan et Marmande ont fortement réduit leur vacance, mais leurs commerces continuent de diminuer (Mont-de-Marsan : −32 % depuis 2019). La baisse de vacance y vient sans doute de locaux reconvertis plutôt que d'un regain d'activité.</w:t>
      </w:r>
    </w:p>
    <w:p>
      <w:pPr>
        <w:spacing w:after="200" w:line="276"/>
      </w:pPr>
      <w:r>
        <w:rPr>
          <w:b/>
          <w:bCs/>
        </w:rPr>
        <w:t xml:space="preserve">Option alternative</w:t>
      </w:r>
      <w:r>
        <w:t xml:space="preserve"> : une ville accompagnée par l'ANCT dans « Mon centre-ville 2030 » (Angoulême, Cosne-Cours-sur-Loire, Douai, Mâcon, Redon), qui dispose déjà d'un diagnostic de sa politique de commerce.</w:t>
      </w:r>
    </w:p>
    <w:p>
      <w:pPr>
        <w:pStyle w:val="Heading1"/>
      </w:pPr>
      <w:r>
        <w:t xml:space="preserve">Format des missions et grille d'entretien</w:t>
      </w:r>
    </w:p>
    <w:p>
      <w:pPr>
        <w:spacing w:after="120" w:line="276"/>
      </w:pPr>
      <w:r>
        <w:t xml:space="preserve">Chaque mission dure une à deux journées sur place, avec quatre à six entretiens d'une heure et une visite du périmètre ORT avec le manager de commerce. La même grille est utilisée partout pour comparer les villes.</w:t>
      </w:r>
    </w:p>
    <w:p>
      <w:pPr>
        <w:pStyle w:val="ListParagraph"/>
        <w:numPr>
          <w:ilvl w:val="0"/>
          <w:numId w:val="3"/>
        </w:numPr>
        <w:spacing w:after="70" w:line="264"/>
      </w:pPr>
      <w:r>
        <w:rPr>
          <w:b/>
          <w:bCs/>
        </w:rPr>
        <w:t xml:space="preserve">Diagnostic de départ</w:t>
      </w:r>
      <w:r>
        <w:t xml:space="preserve"> : situation du commerce de centre-ville vers 2018, causes perçues du déclin, place des zones commerciales périphériques.</w:t>
      </w:r>
    </w:p>
    <w:p>
      <w:pPr>
        <w:pStyle w:val="ListParagraph"/>
        <w:numPr>
          <w:ilvl w:val="0"/>
          <w:numId w:val="3"/>
        </w:numPr>
        <w:spacing w:after="70" w:line="264"/>
      </w:pPr>
      <w:r>
        <w:rPr>
          <w:b/>
          <w:bCs/>
        </w:rPr>
        <w:t xml:space="preserve">Actions menées depuis 2018</w:t>
      </w:r>
      <w:r>
        <w:t xml:space="preserve"> : foncière, préemption, taxe sur les friches commerciales, aides au loyer, manager de commerce, aménagement, stationnement, logement en centre.</w:t>
      </w:r>
    </w:p>
    <w:p>
      <w:pPr>
        <w:pStyle w:val="ListParagraph"/>
        <w:numPr>
          <w:ilvl w:val="0"/>
          <w:numId w:val="3"/>
        </w:numPr>
        <w:spacing w:after="70" w:line="264"/>
      </w:pPr>
      <w:r>
        <w:rPr>
          <w:b/>
          <w:bCs/>
        </w:rPr>
        <w:t xml:space="preserve">Moyens</w:t>
      </w:r>
      <w:r>
        <w:t xml:space="preserve"> : montants engagés par la ville et par ses partenaires (État, Banque des Territoires, Anah, Région), ingénierie mobilisée.</w:t>
      </w:r>
    </w:p>
    <w:p>
      <w:pPr>
        <w:pStyle w:val="ListParagraph"/>
        <w:numPr>
          <w:ilvl w:val="0"/>
          <w:numId w:val="3"/>
        </w:numPr>
        <w:spacing w:after="70" w:line="264"/>
      </w:pPr>
      <w:r>
        <w:rPr>
          <w:b/>
          <w:bCs/>
        </w:rPr>
        <w:t xml:space="preserve">Périphérie</w:t>
      </w:r>
      <w:r>
        <w:t xml:space="preserve"> : projets refusés ou limités en CDAC, dialogue avec l'intercommunalité, reconversion de zones d'entrée de ville.</w:t>
      </w:r>
    </w:p>
    <w:p>
      <w:pPr>
        <w:pStyle w:val="ListParagraph"/>
        <w:numPr>
          <w:ilvl w:val="0"/>
          <w:numId w:val="3"/>
        </w:numPr>
        <w:spacing w:after="70" w:line="264"/>
      </w:pPr>
      <w:r>
        <w:rPr>
          <w:b/>
          <w:bCs/>
        </w:rPr>
        <w:t xml:space="preserve">Résultats mesurés</w:t>
      </w:r>
      <w:r>
        <w:t xml:space="preserve"> : relevés locaux de vacance, ouvertures et fermetures, fréquentation ; demande des données brutes.</w:t>
      </w:r>
    </w:p>
    <w:p>
      <w:pPr>
        <w:pStyle w:val="ListParagraph"/>
        <w:numPr>
          <w:ilvl w:val="0"/>
          <w:numId w:val="3"/>
        </w:numPr>
        <w:spacing w:after="70" w:line="264"/>
      </w:pPr>
      <w:r>
        <w:rPr>
          <w:b/>
          <w:bCs/>
        </w:rPr>
        <w:t xml:space="preserve">Facteurs extérieurs</w:t>
      </w:r>
      <w:r>
        <w:t xml:space="preserve"> : démographie, tourisme, grands employeurs, crise sanitaire.</w:t>
      </w:r>
    </w:p>
    <w:p>
      <w:pPr>
        <w:pStyle w:val="ListParagraph"/>
        <w:numPr>
          <w:ilvl w:val="0"/>
          <w:numId w:val="3"/>
        </w:numPr>
        <w:spacing w:after="70" w:line="264"/>
      </w:pPr>
      <w:r>
        <w:rPr>
          <w:b/>
          <w:bCs/>
        </w:rPr>
        <w:t xml:space="preserve">Ce qui reste fragile</w:t>
      </w:r>
      <w:r>
        <w:t xml:space="preserve"> et ce que la ville attend de la phase 3 du programme (2027).</w:t>
      </w:r>
    </w:p>
    <w:p>
      <w:pPr>
        <w:pStyle w:val="Heading1"/>
      </w:pPr>
      <w:r>
        <w:t xml:space="preserve">Précautions et données à demander</w:t>
      </w:r>
    </w:p>
    <w:p>
      <w:pPr>
        <w:spacing w:after="120" w:line="276"/>
      </w:pPr>
      <w:r>
        <w:t xml:space="preserve">Les indicateurs décrivent des évolutions, pas l'effet du programme : la FACT conclut en 2025 que les villes ACV ont évolué au même rythme que les autres sur 2019-2024. Les missions servent justement à identifier les leviers locaux.</w:t>
      </w:r>
    </w:p>
    <w:p>
      <w:pPr>
        <w:pStyle w:val="ListParagraph"/>
        <w:numPr>
          <w:ilvl w:val="0"/>
          <w:numId w:val="4"/>
        </w:numPr>
        <w:spacing w:after="70" w:line="264"/>
      </w:pPr>
      <w:r>
        <w:t xml:space="preserve">Les effectifs Sirene sont petits dans certaines villes (40 à 60 commerces) : une hausse de dix commerces pèse lourd.</w:t>
      </w:r>
    </w:p>
    <w:p>
      <w:pPr>
        <w:pStyle w:val="ListParagraph"/>
        <w:numPr>
          <w:ilvl w:val="0"/>
          <w:numId w:val="4"/>
        </w:numPr>
        <w:spacing w:after="70" w:line="264"/>
      </w:pPr>
      <w:r>
        <w:t xml:space="preserve">Le centre-ville est approché par un cercle autour de la mairie, pas par le périmètre ORT.</w:t>
      </w:r>
    </w:p>
    <w:p>
      <w:pPr>
        <w:pStyle w:val="ListParagraph"/>
        <w:numPr>
          <w:ilvl w:val="0"/>
          <w:numId w:val="4"/>
        </w:numPr>
        <w:spacing w:after="70" w:line="264"/>
      </w:pPr>
      <w:r>
        <w:t xml:space="preserve">La vacance 2025 n'est connue que par tranche de 5 points sur la carte de l'atlas.</w:t>
      </w:r>
    </w:p>
    <w:p>
      <w:pPr>
        <w:spacing w:after="80" w:before="140"/>
      </w:pPr>
      <w:r>
        <w:rPr>
          <w:b/>
          <w:bCs/>
        </w:rPr>
        <w:t xml:space="preserve">À demander à la DGE et à l'ANCT avant les missions :</w:t>
      </w:r>
    </w:p>
    <w:p>
      <w:pPr>
        <w:pStyle w:val="ListParagraph"/>
        <w:numPr>
          <w:ilvl w:val="0"/>
          <w:numId w:val="5"/>
        </w:numPr>
        <w:spacing w:after="70" w:line="264"/>
      </w:pPr>
      <w:r>
        <w:t xml:space="preserve">Taux de vacance Codata par ville, 2018 à 2025, derrière la carte de l'atlas</w:t>
      </w:r>
    </w:p>
    <w:p>
      <w:pPr>
        <w:pStyle w:val="ListParagraph"/>
        <w:numPr>
          <w:ilvl w:val="0"/>
          <w:numId w:val="5"/>
        </w:numPr>
        <w:spacing w:after="70" w:line="264"/>
      </w:pPr>
      <w:r>
        <w:t xml:space="preserve">Montants engagés par ville au titre de l'axe 2 (développement économique et commercial)</w:t>
      </w:r>
    </w:p>
    <w:p>
      <w:pPr>
        <w:pStyle w:val="ListParagraph"/>
        <w:numPr>
          <w:ilvl w:val="0"/>
          <w:numId w:val="5"/>
        </w:numPr>
        <w:spacing w:after="70" w:line="264"/>
      </w:pPr>
      <w:r>
        <w:t xml:space="preserve">Décisions CDAC depuis 2018 dans les intercommunalités retenues</w:t>
      </w:r>
    </w:p>
    <w:p>
      <w:pPr>
        <w:pStyle w:val="ListParagraph"/>
        <w:numPr>
          <w:ilvl w:val="0"/>
          <w:numId w:val="5"/>
        </w:numPr>
        <w:spacing w:after="70" w:line="264"/>
      </w:pPr>
      <w:r>
        <w:t xml:space="preserve">Contacts des chefs de projet ACV et des managers de commerce</w:t>
      </w:r>
    </w:p>
    <w:p>
      <w:pPr>
        <w:pStyle w:val="Heading1"/>
      </w:pPr>
      <w:r>
        <w:t xml:space="preserve">Sources</w:t>
      </w:r>
    </w:p>
    <w:p>
      <w:pPr>
        <w:pStyle w:val="ListParagraph"/>
        <w:numPr>
          <w:ilvl w:val="0"/>
          <w:numId w:val="4"/>
        </w:numPr>
        <w:spacing w:after="70"/>
      </w:pPr>
      <w:r>
        <w:t xml:space="preserve">Insee, base Sirene et géolocalisation des établissements (2012-2025), calculs de l'auteur ; liste des villes ACV : </w:t>
      </w:r>
      <w:hyperlink w:history="1" r:id="rIdo95axrypq4652jbus5tsc">
        <w:r>
          <w:rPr>
            <w:rStyle w:val="Hyperlink"/>
          </w:rPr>
          <w:t xml:space="preserve">Caisse des Dépôts, open data</w:t>
        </w:r>
      </w:hyperlink>
    </w:p>
    <w:p>
      <w:pPr>
        <w:pStyle w:val="ListParagraph"/>
        <w:numPr>
          <w:ilvl w:val="0"/>
          <w:numId w:val="4"/>
        </w:numPr>
        <w:spacing w:after="70"/>
      </w:pPr>
      <w:hyperlink w:history="1" r:id="rIdtgachf_hceza8rcie7qps">
        <w:r>
          <w:rPr>
            <w:rStyle w:val="Hyperlink"/>
          </w:rPr>
          <w:t xml:space="preserve">ANCT, Atlas national Action cœur de ville, T4 2025</w:t>
        </w:r>
      </w:hyperlink>
      <w:r>
        <w:t xml:space="preserve"> (vacance 2025, foncières, Mon centre-ville 2030)</w:t>
      </w:r>
    </w:p>
    <w:p>
      <w:pPr>
        <w:pStyle w:val="ListParagraph"/>
        <w:numPr>
          <w:ilvl w:val="0"/>
          <w:numId w:val="4"/>
        </w:numPr>
        <w:spacing w:after="70"/>
      </w:pPr>
      <w:hyperlink w:history="1" r:id="rIdbgubgw1pysyhxdiveuduw">
        <w:r>
          <w:rPr>
            <w:rStyle w:val="Hyperlink"/>
          </w:rPr>
          <w:t xml:space="preserve">Banque des Territoires, « Action cœur de ville : des résultats sur la vacance commerciale », 21 septembre 2023</w:t>
        </w:r>
      </w:hyperlink>
      <w:r>
        <w:t xml:space="preserve"> (étude FACT et Codata 2018-2022)</w:t>
      </w:r>
    </w:p>
    <w:p>
      <w:pPr>
        <w:pStyle w:val="ListParagraph"/>
        <w:numPr>
          <w:ilvl w:val="0"/>
          <w:numId w:val="4"/>
        </w:numPr>
        <w:spacing w:after="70"/>
      </w:pPr>
      <w:hyperlink w:history="1" r:id="rId2nud-iakprmg-m3_i3ekw">
        <w:r>
          <w:rPr>
            <w:rStyle w:val="Hyperlink"/>
          </w:rPr>
          <w:t xml:space="preserve">Banque des Territoires, « La progression de la vacance commerciale ralentit, surtout dans les villes moyennes »</w:t>
        </w:r>
      </w:hyperlink>
      <w:r>
        <w:t xml:space="preserve"> (étude FACT, décembre 2025)</w:t>
      </w:r>
    </w:p>
    <w:sectPr>
      <w:headerReference w:type="default" r:id="rId6"/>
      <w:footerReference w:type="default" r:id="rId7"/>
      <w:pgSz w:w="16838" w:h="11906" w:orient="landscape"/>
      <w:pgMar w:top="850" w:right="850" w:bottom="850" w:left="85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b/>
        <w:bCs/>
        <w:color w:val="00308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95959"/>
        <w:sz w:val="15"/>
        <w:szCs w:val="15"/>
      </w:rPr>
      <w:t xml:space="preserve">Missions d'entretiens ACV · Proposition à la DGE · Document de travail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■"/>
      <w:lvlJc w:val="left"/>
      <w:pPr>
        <w:ind w:left="360" w:hanging="300"/>
      </w:pPr>
      <w:rPr>
        <w:color w:val="C2255C"/>
        <w:sz w:val="14"/>
        <w:szCs w:val="14"/>
      </w:rPr>
    </w:lvl>
  </w:abstractNum>
  <w:abstractNum w:abstractNumId="3" w15:restartNumberingAfterBreak="0">
    <w:multiLevelType w:val="hybridMultilevel"/>
    <w:lvl w:ilvl="0" w:tentative="1">
      <w:start w:val="1"/>
      <w:numFmt w:val="bullet"/>
      <w:lvlText w:val="☐"/>
      <w:lvlJc w:val="left"/>
      <w:pPr>
        <w:ind w:left="360" w:hanging="300"/>
      </w:pPr>
      <w:rPr>
        <w:color w:val="003087"/>
        <w:sz w:val="20"/>
        <w:szCs w:val="20"/>
      </w:r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00" w:hanging="340"/>
      </w:pPr>
      <w:rPr>
        <w:b/>
        <w:bCs/>
        <w:color w:val="003087"/>
      </w:r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00" w:hanging="340"/>
      </w:pPr>
      <w:rPr>
        <w:b/>
        <w:bCs/>
        <w:color w:val="003087"/>
      </w:rPr>
    </w:lvl>
  </w:abstractNum>
  <w:num w:numId="1">
    <w:abstractNumId w:val="1"/>
    <w:lvlOverride w:ilvl="0">
      <w:startOverride w:val="1"/>
    </w:lvlOverride>
  </w:num>
  <w:num w:numId="2">
    <w:abstractNumId w:val="4"/>
    <w:lvlOverride w:ilvl="0">
      <w:startOverride w:val="1"/>
    </w:lvlOverride>
  </w:num>
  <w:num w:numId="3">
    <w:abstractNumId w:val="5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40" w:before="280"/>
      <w:outlineLvl w:val="0"/>
    </w:pPr>
    <w:rPr>
      <w:rFonts w:ascii="Arial" w:cs="Arial" w:eastAsia="Arial" w:hAnsi="Arial"/>
      <w:b/>
      <w:bCs/>
      <w:color w:val="0070C0"/>
      <w:sz w:val="26"/>
      <w:szCs w:val="2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o95axrypq4652jbus5tsc" Type="http://schemas.openxmlformats.org/officeDocument/2006/relationships/hyperlink" Target="https://opendata.caissedesdepots.fr/explore/dataset/villes_action_coeurdeville/" TargetMode="External"/><Relationship Id="rIdtgachf_hceza8rcie7qps" Type="http://schemas.openxmlformats.org/officeDocument/2006/relationships/hyperlink" Target="https://media.anct.gouv.fr/ressources/2026-10/atlas-national-acv-t4-2025_0.pdf" TargetMode="External"/><Relationship Id="rIdbgubgw1pysyhxdiveuduw" Type="http://schemas.openxmlformats.org/officeDocument/2006/relationships/hyperlink" Target="https://www.banquedesterritoires.fr/action-coeur-de-ville-des-resultats-sur-la-vacance-commerciale" TargetMode="External"/><Relationship Id="rId2nud-iakprmg-m3_i3ekw" Type="http://schemas.openxmlformats.org/officeDocument/2006/relationships/hyperlink" Target="https://www.banquedesterritoires.fr/la-progression-de-la-vacance-commerciale-ralentit-surtout-dans-les-villes-moyennes" TargetMode="External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Proposition de missions d'entretiens dans les villes Action Cœur de Ville</dc:title>
  <dc:creator>OCDE – étude de cas France</dc:creator>
  <cp:lastModifiedBy>Un-named</cp:lastModifiedBy>
  <cp:revision>1</cp:revision>
  <dcterms:created xsi:type="dcterms:W3CDTF">2026-10-08T14:30:51.948Z</dcterms:created>
  <dcterms:modified xsi:type="dcterms:W3CDTF">2026-10-08T14:30:51.954Z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