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66666"/>
          <w:sz w:val="16"/>
          <w:szCs w:val="16"/>
        </w:rPr>
        <w:t xml:space="preserve">OCDE – Étude de cas France – Proposition à la DGE</w:t>
      </w:r>
    </w:p>
    <w:p>
      <w:pPr>
        <w:spacing w:after="100"/>
      </w:pPr>
      <w:r>
        <w:rPr>
          <w:b/>
          <w:bCs/>
          <w:color w:val="1A1A1A"/>
          <w:sz w:val="32"/>
          <w:szCs w:val="32"/>
        </w:rPr>
        <w:t xml:space="preserve">Dix villes Action Cœur de Ville qui se démarquent</w:t>
      </w:r>
    </w:p>
    <w:p>
      <w:pPr>
        <w:pBdr>
          <w:bottom w:val="single" w:color="1A1A1A" w:sz="6"/>
        </w:pBdr>
        <w:spacing w:after="200"/>
      </w:pPr>
      <w:r>
        <w:rPr>
          <w:color w:val="666666"/>
          <w:sz w:val="18"/>
          <w:szCs w:val="18"/>
        </w:rPr>
        <w:t xml:space="preserve">Classement proposé pour les missions d'entretiens · 8 octobre 2026 · Document de travail</w:t>
      </w:r>
    </w:p>
    <w:p>
      <w:pPr>
        <w:spacing w:after="160" w:line="264"/>
      </w:pPr>
      <w:r>
        <w:rPr>
          <w:color w:val="666666"/>
          <w:sz w:val="17"/>
          <w:szCs w:val="17"/>
        </w:rPr>
        <w:t xml:space="preserve">Villes classées par score décroissant. « Commerces employeurs » : commerces de détail en magasin employant au moins un salarié, dans un rayon de 300 à 700 m autour de la mairie (Insee, Sirene). Ces éléments montrent des évolutions favorables, sans prouver l'effet du programme : c'est l'objet des entretiens.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6338"/>
      </w:tblGrid>
      <w:tr>
        <w:trPr>
          <w:tblHeader/>
        </w:trPr>
        <w:tc>
          <w:tcPr>
            <w:tcW w:type="dxa" w:w="18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8"/>
                <w:szCs w:val="18"/>
              </w:rPr>
              <w:t xml:space="preserve">Ville</w:t>
            </w:r>
          </w:p>
        </w:tc>
        <w:tc>
          <w:tcPr>
            <w:tcW w:type="dxa" w:w="15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8"/>
                <w:szCs w:val="18"/>
              </w:rPr>
              <w:t xml:space="preserve">Région</w:t>
            </w:r>
          </w:p>
        </w:tc>
        <w:tc>
          <w:tcPr>
            <w:tcW w:type="dxa" w:w="6338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8"/>
                <w:szCs w:val="18"/>
              </w:rPr>
              <w:t xml:space="preserve">Pourquoi elle se démarque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1. </w:t>
            </w:r>
            <w:r>
              <w:rPr>
                <w:b/>
                <w:bCs/>
                <w:sz w:val="20"/>
                <w:szCs w:val="20"/>
              </w:rPr>
              <w:t xml:space="preserve">Bressuire</w:t>
            </w:r>
          </w:p>
          <w:p>
            <w:r>
              <w:rPr>
                <w:color w:val="666666"/>
                <w:sz w:val="16"/>
                <w:szCs w:val="16"/>
              </w:rPr>
              <w:t xml:space="preserve">19 900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Nouvelle-Aquitaine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La plus forte baisse durable de vacance commerciale mesurée parmi les villes du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du centre-ville divisée par deux : </w:t>
            </w:r>
            <w:r>
              <w:rPr>
                <w:b/>
                <w:bCs/>
                <w:sz w:val="17"/>
                <w:szCs w:val="17"/>
              </w:rPr>
              <w:t xml:space="preserve">17,9 % en 2019, 8,6 % en 2025</w:t>
            </w:r>
            <w:r>
              <w:rPr>
                <w:sz w:val="17"/>
                <w:szCs w:val="17"/>
              </w:rPr>
              <w:t xml:space="preserve"> (−9,3 points), avec une baisse presque chaque année (baromètre Codata 2026). La moyenne des villes ACV est de 14,5 %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Le recul des commerces employeurs s'est presque arrêté : 50 en 2012, 43 en 2019, 42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Habitat attractif : moins de 3 % de logements vides depuis deux ans ou plus, ventes immobilières en hausse entre 2018 et 2023.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Démarches du programme : accompagnement en transition écologique (Cerema et ANCT), design actif.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quels leviers ont fait baisser la vacance (nouvelles implantations, reconversion de locaux, action foncière) 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2. </w:t>
            </w:r>
            <w:r>
              <w:rPr>
                <w:b/>
                <w:bCs/>
                <w:sz w:val="20"/>
                <w:szCs w:val="20"/>
              </w:rPr>
              <w:t xml:space="preserve">Sète et Frontignan</w:t>
            </w:r>
          </w:p>
          <w:p>
            <w:r>
              <w:rPr>
                <w:color w:val="666666"/>
                <w:sz w:val="16"/>
                <w:szCs w:val="16"/>
              </w:rPr>
              <w:t xml:space="preserve">44 700 et 23 800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Occitanie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La réussite la plus solide : le commerce de centre-ville repart et la vacance est basse, à l'échelle du bassin de Thau.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Sète : </w:t>
            </w:r>
            <w:r>
              <w:rPr>
                <w:b/>
                <w:bCs/>
                <w:sz w:val="17"/>
                <w:szCs w:val="17"/>
              </w:rPr>
              <w:t xml:space="preserve">180 commerces employeurs en 2012, 153 en 2019, 174 en 2025</w:t>
            </w:r>
            <w:r>
              <w:rPr>
                <w:sz w:val="17"/>
                <w:szCs w:val="17"/>
              </w:rPr>
              <w:t xml:space="preserve"> (+14 % depuis 2019). L'ensemble des établissements progresse aussi (+3 %).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 baisse de 4,4 points entre 2018 et 2022 (FACT et Codata), entre 5 et 10 %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Habitat : 3 à 4 % de logements vides depuis deux ans ou plus, ventes en hausse.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L'agglomération Sète Agglopôle Méditerranée est </w:t>
            </w:r>
            <w:r>
              <w:rPr>
                <w:b/>
                <w:bCs/>
                <w:sz w:val="17"/>
                <w:szCs w:val="17"/>
              </w:rPr>
              <w:t xml:space="preserve">territoire pilote de sobriété foncière depuis 2020</w:t>
            </w:r>
            <w:r>
              <w:rPr>
                <w:sz w:val="17"/>
                <w:szCs w:val="17"/>
              </w:rPr>
              <w:t xml:space="preserve"> : elle cherche à limiter l'étalement urbain.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Frontignan, voisine : </w:t>
            </w:r>
            <w:r>
              <w:rPr>
                <w:b/>
                <w:bCs/>
                <w:sz w:val="17"/>
                <w:szCs w:val="17"/>
              </w:rPr>
              <w:t xml:space="preserve">vacance commerciale sous 5 %</w:t>
            </w:r>
            <w:r>
              <w:rPr>
                <w:sz w:val="17"/>
                <w:szCs w:val="17"/>
              </w:rPr>
              <w:t xml:space="preserve">, moins de 3 % de logements vides, ventes en hausse, commerces en légère hausse (30 → 33).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le rôle de la maîtrise foncière intercommunale dans la reprise du centre. Une seule mission pour les deux villes.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3. </w:t>
            </w:r>
            <w:r>
              <w:rPr>
                <w:b/>
                <w:bCs/>
                <w:sz w:val="20"/>
                <w:szCs w:val="20"/>
              </w:rPr>
              <w:t xml:space="preserve">Privas</w:t>
            </w:r>
          </w:p>
          <w:p>
            <w:r>
              <w:rPr>
                <w:color w:val="666666"/>
                <w:sz w:val="16"/>
                <w:szCs w:val="16"/>
              </w:rPr>
              <w:t xml:space="preserve">8 500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Auvergne-Rhône-Alpes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Une très petite préfecture qui a inversé le déclin de son commerce.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46 en 2012, 35 en 2019 (−24 %), </w:t>
            </w:r>
            <w:r>
              <w:rPr>
                <w:b/>
                <w:bCs/>
                <w:sz w:val="17"/>
                <w:szCs w:val="17"/>
              </w:rPr>
              <w:t xml:space="preserve">37 en 2025 (+6 %)</w:t>
            </w:r>
            <w:r>
              <w:rPr>
                <w:sz w:val="17"/>
                <w:szCs w:val="17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5 et 10 % en 2025, bien sous la moyenne des villes ACV.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Population en hausse (+3,1 % entre 2014 et 2020) et ventes immobilières en hausse.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Démarches du programme : transition écologique, design actif.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Point de vigilance : vacance des logements élevée (plus de 7 %).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comment une ville de moins de 10 000 habitants relance son commerce, et si le rebond tient avec de si petits effectifs.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4. </w:t>
            </w:r>
            <w:r>
              <w:rPr>
                <w:b/>
                <w:bCs/>
                <w:sz w:val="20"/>
                <w:szCs w:val="20"/>
              </w:rPr>
              <w:t xml:space="preserve">Creil</w:t>
            </w:r>
          </w:p>
          <w:p>
            <w:r>
              <w:rPr>
                <w:color w:val="666666"/>
                <w:sz w:val="16"/>
                <w:szCs w:val="16"/>
              </w:rPr>
              <w:t xml:space="preserve">36 100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Hauts-de-France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Le plus fort rebond du commerce de centre-ville parmi les 228 villes du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59 en 2012, 40 en 2019 (−32 %), </w:t>
            </w:r>
            <w:r>
              <w:rPr>
                <w:b/>
                <w:bCs/>
                <w:sz w:val="17"/>
                <w:szCs w:val="17"/>
              </w:rPr>
              <w:t xml:space="preserve">55 en 2025 (+38 %)</w:t>
            </w:r>
            <w:r>
              <w:rPr>
                <w:sz w:val="17"/>
                <w:szCs w:val="17"/>
              </w:rPr>
              <w:t xml:space="preserve">. L'ensemble des établissements progresse de 13 %.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10 et 15 %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Population en hausse (+3 % entre 2014 et 2020), ventes immobilières en hausse.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Démarches du programme : transition écologique, design actif.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ce qui explique un tel rebond, et comment le centre-ville s'articule avec les quartiers prioritaires de la ville.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5. </w:t>
            </w:r>
            <w:r>
              <w:rPr>
                <w:b/>
                <w:bCs/>
                <w:sz w:val="20"/>
                <w:szCs w:val="20"/>
              </w:rPr>
              <w:t xml:space="preserve">Draguignan</w:t>
            </w:r>
          </w:p>
          <w:p>
            <w:r>
              <w:rPr>
                <w:color w:val="666666"/>
                <w:sz w:val="16"/>
                <w:szCs w:val="16"/>
              </w:rPr>
              <w:t xml:space="preserve">39 700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Provence-Alpes-Côte d'Azur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 déclin enrayé par une stratégie sur plusieurs axes : patrimoine, foncier, commerce.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138 en 2012, 95 en 2019 (−31 %), </w:t>
            </w:r>
            <w:r>
              <w:rPr>
                <w:b/>
                <w:bCs/>
                <w:sz w:val="17"/>
                <w:szCs w:val="17"/>
              </w:rPr>
              <w:t xml:space="preserve">91 en 2025 (−4 %)</w:t>
            </w:r>
            <w:r>
              <w:rPr>
                <w:sz w:val="17"/>
                <w:szCs w:val="17"/>
              </w:rPr>
              <w:t xml:space="preserve"> : le recul s'est presque arrêté, et l'ensemble des établissements est stable.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10 et 15 %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Habitat : 3 à 4 % de logements vides, ventes en hausse.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Lauréat de « Réinventons nos cœurs de ville »</w:t>
            </w:r>
            <w:r>
              <w:rPr>
                <w:sz w:val="17"/>
                <w:szCs w:val="17"/>
              </w:rPr>
              <w:t xml:space="preserve"> (reconversion d'un site patrimonial vacant) et </w:t>
            </w:r>
            <w:r>
              <w:rPr>
                <w:b/>
                <w:bCs/>
                <w:sz w:val="17"/>
                <w:szCs w:val="17"/>
              </w:rPr>
              <w:t xml:space="preserve">territoire pilote de sobriété foncière depuis 2020</w:t>
            </w:r>
            <w:r>
              <w:rPr>
                <w:sz w:val="17"/>
                <w:szCs w:val="17"/>
              </w:rPr>
              <w:t xml:space="preserve"> (Dracénie Provence Verdon Agglomération).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comment ces démarches se sont combinées pour stabiliser le commerce.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6. </w:t>
            </w:r>
            <w:r>
              <w:rPr>
                <w:b/>
                <w:bCs/>
                <w:sz w:val="20"/>
                <w:szCs w:val="20"/>
              </w:rPr>
              <w:t xml:space="preserve">Vitry-le-François</w:t>
            </w:r>
          </w:p>
          <w:p>
            <w:r>
              <w:rPr>
                <w:color w:val="666666"/>
                <w:sz w:val="16"/>
                <w:szCs w:val="16"/>
              </w:rPr>
              <w:t xml:space="preserve">11 500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Grand Est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Le commerce repart alors que la ville perd des habitants.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56 en 2012, 41 en 2019 (−27 %), </w:t>
            </w:r>
            <w:r>
              <w:rPr>
                <w:b/>
                <w:bCs/>
                <w:sz w:val="17"/>
                <w:szCs w:val="17"/>
              </w:rPr>
              <w:t xml:space="preserve">50 en 2025 (+22 %)</w:t>
            </w:r>
            <w:r>
              <w:rPr>
                <w:sz w:val="17"/>
                <w:szCs w:val="17"/>
              </w:rPr>
              <w:t xml:space="preserve">. L'ensemble des établissements progresse aussi (+9 %).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5 et 10 %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Contexte défavorable : population en forte baisse (−12,8 % entre 2014 et 2020) et vacance des logements élevée (plus de 7 %).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ce qui fait revenir des commerces malgré la baisse de la population (clientèle du bassin, offre ciblée, actions de la ville).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7. </w:t>
            </w:r>
            <w:r>
              <w:rPr>
                <w:b/>
                <w:bCs/>
                <w:sz w:val="20"/>
                <w:szCs w:val="20"/>
              </w:rPr>
              <w:t xml:space="preserve">Mazamet</w:t>
            </w:r>
          </w:p>
          <w:p>
            <w:r>
              <w:rPr>
                <w:color w:val="666666"/>
                <w:sz w:val="16"/>
                <w:szCs w:val="16"/>
              </w:rPr>
              <w:t xml:space="preserve">10 100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Occitanie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Une des vacances commerciales les plus basses de toutes les villes du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Vacance commerciale sous 5 % en 2025</w:t>
            </w:r>
            <w:r>
              <w:rPr>
                <w:sz w:val="17"/>
                <w:szCs w:val="17"/>
              </w:rPr>
              <w:t xml:space="preserve"> (atlas ANCT), contre 14,5 % en moyenne. Seules 7 villes ACV sont dans ce cas.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45 en 2012, 34 en 2019 (−24 %), 34 en 2025 : le recul s'est arrêté.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Démarche du programme : transition écologique.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Points de vigilance : vacance des logements élevée (plus de 7 %), population en légère baisse.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comment une petite ville garde ses locaux commerciaux occupés, et si cette situation date d'avant le programme.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8. </w:t>
            </w:r>
            <w:r>
              <w:rPr>
                <w:b/>
                <w:bCs/>
                <w:sz w:val="20"/>
                <w:szCs w:val="20"/>
              </w:rPr>
              <w:t xml:space="preserve">Vitré</w:t>
            </w:r>
          </w:p>
          <w:p>
            <w:r>
              <w:rPr>
                <w:color w:val="666666"/>
                <w:sz w:val="16"/>
                <w:szCs w:val="16"/>
              </w:rPr>
              <w:t xml:space="preserve">19 000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Bretagne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Le cas breton le plus solide : un centre qui tient, porté par une population en hausse.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55 en 2012, 48 en 2019, 46 en 2025 : le recul a nettement ralenti (−13 % avant 2019, </w:t>
            </w:r>
            <w:r>
              <w:rPr>
                <w:b/>
                <w:bCs/>
                <w:sz w:val="17"/>
                <w:szCs w:val="17"/>
              </w:rPr>
              <w:t xml:space="preserve">−4 % depuis</w:t>
            </w:r>
            <w:r>
              <w:rPr>
                <w:sz w:val="17"/>
                <w:szCs w:val="17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Moins de 3 % de logements vides</w:t>
            </w:r>
            <w:r>
              <w:rPr>
                <w:sz w:val="17"/>
                <w:szCs w:val="17"/>
              </w:rPr>
              <w:t xml:space="preserve"> et population en hausse (+5,9 % entre 2014 et 2020).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10 et 15 % en 2025.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Démarches du programme : transition écologique, design actif.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le lien entre attractivité résidentielle et commerce de centre-ville.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9. </w:t>
            </w:r>
            <w:r>
              <w:rPr>
                <w:b/>
                <w:bCs/>
                <w:sz w:val="20"/>
                <w:szCs w:val="20"/>
              </w:rPr>
              <w:t xml:space="preserve">Poissy</w:t>
            </w:r>
          </w:p>
          <w:p>
            <w:r>
              <w:rPr>
                <w:color w:val="666666"/>
                <w:sz w:val="16"/>
                <w:szCs w:val="16"/>
              </w:rPr>
              <w:t xml:space="preserve">40 000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Île-de-France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 centre-ville qui gagne des commerces depuis 2012 et compte parmi les plus fréquentés du programme.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79 en 2012, 81 en 2019, </w:t>
            </w:r>
            <w:r>
              <w:rPr>
                <w:b/>
                <w:bCs/>
                <w:sz w:val="17"/>
                <w:szCs w:val="17"/>
              </w:rPr>
              <w:t xml:space="preserve">85 en 2025</w:t>
            </w:r>
            <w:r>
              <w:rPr>
                <w:sz w:val="17"/>
                <w:szCs w:val="17"/>
              </w:rPr>
              <w:t xml:space="preserve"> : hausse continue.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Environ 2,55 millions de visites par mois</w:t>
            </w:r>
            <w:r>
              <w:rPr>
                <w:sz w:val="17"/>
                <w:szCs w:val="17"/>
              </w:rPr>
              <w:t xml:space="preserve"> en 2022-2023 (MyTraffic), 5e centre le plus fréquenté des villes ACV.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5 et 10 % en 2025, moins de 3 % de logements vides.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Population en forte hausse : +7,4 % entre 2014 et 2020. Démarche du programme : transition écologique.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la part de la croissance démographique et celle des actions de la ville dans la bonne santé du centre.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10. </w:t>
            </w:r>
            <w:r>
              <w:rPr>
                <w:b/>
                <w:bCs/>
                <w:sz w:val="20"/>
                <w:szCs w:val="20"/>
              </w:rPr>
              <w:t xml:space="preserve">Sélestat</w:t>
            </w:r>
          </w:p>
          <w:p>
            <w:r>
              <w:rPr>
                <w:color w:val="666666"/>
                <w:sz w:val="16"/>
                <w:szCs w:val="16"/>
              </w:rPr>
              <w:t xml:space="preserve">19 300 hab.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Grand Est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Une ville moyenne qui a stoppé l'érosion de son centre.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Commerces employeurs : 99 en 2012, 78 en 2019 (−21 %), </w:t>
            </w:r>
            <w:r>
              <w:rPr>
                <w:b/>
                <w:bCs/>
                <w:sz w:val="17"/>
                <w:szCs w:val="17"/>
              </w:rPr>
              <w:t xml:space="preserve">79 en 2025</w:t>
            </w:r>
            <w:r>
              <w:rPr>
                <w:sz w:val="17"/>
                <w:szCs w:val="17"/>
              </w:rPr>
              <w:t xml:space="preserve"> : le recul s'est arrêté.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L'ensemble des établissements progresse depuis 2019 (+5 %), signe d'un regain d'activité.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sz w:val="17"/>
                <w:szCs w:val="17"/>
              </w:rPr>
              <w:t xml:space="preserve">Vacance commerciale entre 5 et 10 % en 2025, 3 à 4 % de logements vides.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b/>
                <w:bCs/>
                <w:sz w:val="17"/>
                <w:szCs w:val="17"/>
              </w:rPr>
              <w:t xml:space="preserve">À comprendre :</w:t>
            </w:r>
            <w:r>
              <w:rPr>
                <w:sz w:val="17"/>
                <w:szCs w:val="17"/>
              </w:rPr>
              <w:t xml:space="preserve"> quelles actions ont stabilisé le centre, alors que l'atlas ne signale aucune démarche particulière du programme.</w:t>
            </w:r>
          </w:p>
        </w:tc>
      </w:tr>
    </w:tbl>
    <w:p>
      <w:pPr>
        <w:pStyle w:val="Heading1"/>
      </w:pPr>
      <w:r>
        <w:t xml:space="preserve">Sources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muvkyexowdq55fns6m9ev">
        <w:r>
          <w:rPr>
            <w:rStyle w:val="Hyperlink"/>
            <w:sz w:val="16"/>
            <w:szCs w:val="16"/>
          </w:rPr>
          <w:t xml:space="preserve">Insee, Base Sirene des entreprises et de leurs établissements</w:t>
        </w:r>
      </w:hyperlink>
      <w:r>
        <w:rPr>
          <w:sz w:val="16"/>
          <w:szCs w:val="16"/>
        </w:rPr>
        <w:t xml:space="preserve"> et géolocalisation des établissements, 2012-2025 ; calculs de l'auteur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tlcaw0ykagohp94ho4k4j">
        <w:r>
          <w:rPr>
            <w:rStyle w:val="Hyperlink"/>
            <w:sz w:val="16"/>
            <w:szCs w:val="16"/>
          </w:rPr>
          <w:t xml:space="preserve">Insee, Évolution et structure de la population en 2020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iii36t6w8iqkwqda-ipmc">
        <w:r>
          <w:rPr>
            <w:rStyle w:val="Hyperlink"/>
            <w:sz w:val="16"/>
            <w:szCs w:val="16"/>
          </w:rPr>
          <w:t xml:space="preserve">ANCT, Atlas national Action cœur de ville, T4 2025</w:t>
        </w:r>
      </w:hyperlink>
      <w:r>
        <w:rPr>
          <w:sz w:val="16"/>
          <w:szCs w:val="16"/>
        </w:rPr>
        <w:t xml:space="preserve"> (vacance commerciale et des logements, ventes immobilières, démarches du programme)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cxhfgmhq8gzfojz5kstq-">
        <w:r>
          <w:rPr>
            <w:rStyle w:val="Hyperlink"/>
            <w:sz w:val="16"/>
            <w:szCs w:val="16"/>
          </w:rPr>
          <w:t xml:space="preserve">Codata et FACT, Baromètre de l'offre commerciale dans les centres-villes 2026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hszbgcd0kjjzt-cod5wld">
        <w:r>
          <w:rPr>
            <w:rStyle w:val="Hyperlink"/>
            <w:sz w:val="16"/>
            <w:szCs w:val="16"/>
          </w:rPr>
          <w:t xml:space="preserve">Banque des Territoires, « Action cœur de ville : des résultats sur la vacance commerciale », 21 septembre 2023</w:t>
        </w:r>
      </w:hyperlink>
      <w:r>
        <w:rPr>
          <w:sz w:val="16"/>
          <w:szCs w:val="16"/>
        </w:rPr>
        <w:t xml:space="preserve"> (FACT et Codata 2018-2022)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jzvp5qssah82dg8ei0lud">
        <w:r>
          <w:rPr>
            <w:rStyle w:val="Hyperlink"/>
            <w:sz w:val="16"/>
            <w:szCs w:val="16"/>
          </w:rPr>
          <w:t xml:space="preserve">ANCT, Villes de France et MyTraffic, L'observatoire des mobilités dans les villes ACV, mars 2024</w:t>
        </w:r>
      </w:hyperlink>
    </w:p>
    <w:sectPr>
      <w:headerReference w:type="default" r:id="rId6"/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5"/>
        <w:szCs w:val="15"/>
      </w:rPr>
      <w:t xml:space="preserve">Villes ACV qui se démarquent · Document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240" w:hanging="220"/>
      </w:pPr>
      <w:rPr>
        <w:color w:val="666666"/>
        <w:sz w:val="17"/>
        <w:szCs w:val="17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00" w:hanging="220"/>
      </w:pPr>
      <w:rPr>
        <w:color w:val="666666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80"/>
      <w:outlineLvl w:val="0"/>
    </w:pPr>
    <w:rPr>
      <w:rFonts w:ascii="Arial" w:cs="Arial" w:eastAsia="Arial" w:hAnsi="Arial"/>
      <w:b/>
      <w:bCs/>
      <w:color w:val="1A1A1A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muvkyexowdq55fns6m9ev" Type="http://schemas.openxmlformats.org/officeDocument/2006/relationships/hyperlink" Target="https://www.data.gouv.fr/fr/datasets/base-sirene-des-entreprises-et-de-leurs-etablissements-siren-siret/" TargetMode="External"/><Relationship Id="rIdtlcaw0ykagohp94ho4k4j" Type="http://schemas.openxmlformats.org/officeDocument/2006/relationships/hyperlink" Target="https://www.insee.fr/fr/statistiques/7632446?sommaire=7632456" TargetMode="External"/><Relationship Id="rIdiii36t6w8iqkwqda-ipmc" Type="http://schemas.openxmlformats.org/officeDocument/2006/relationships/hyperlink" Target="https://media.anct.gouv.fr/ressources/2026-10/atlas-national-acv-t4-2025_0.pdf" TargetMode="External"/><Relationship Id="rIdcxhfgmhq8gzfojz5kstq-" Type="http://schemas.openxmlformats.org/officeDocument/2006/relationships/hyperlink" Target="https://8646969.fs1.hubspotusercontent-na1.net/hubfs/8646969/CODATA/Codata-Barom%C3%A8tre-offre-commerciale-dans-les-centres-villes-2026.pdf" TargetMode="External"/><Relationship Id="rIdhszbgcd0kjjzt-cod5wld" Type="http://schemas.openxmlformats.org/officeDocument/2006/relationships/hyperlink" Target="https://www.banquedesterritoires.fr/action-coeur-de-ville-des-resultats-sur-la-vacance-commerciale" TargetMode="External"/><Relationship Id="rIdjzvp5qssah82dg8ei0lud" Type="http://schemas.openxmlformats.org/officeDocument/2006/relationships/hyperlink" Target="https://agence-cohesion-territoires.gouv.fr/sites/default/files/2024-04/Observatoire%20des%20mobilit%C3%A9s%202023%20%2817%29.pdf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Dix villes Action Cœur de Ville qui se démarquent</dc:title>
  <dc:creator>OCDE – étude de cas France</dc:creator>
  <cp:lastModifiedBy>Un-named</cp:lastModifiedBy>
  <cp:revision>1</cp:revision>
  <dcterms:created xsi:type="dcterms:W3CDTF">2026-10-08T15:45:29.318Z</dcterms:created>
  <dcterms:modified xsi:type="dcterms:W3CDTF">2026-10-08T15:45:29.320Z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