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2255C"/>
          <w:spacing w:val="20"/>
          <w:sz w:val="16"/>
          <w:szCs w:val="16"/>
        </w:rPr>
        <w:t xml:space="preserve">OCDE · ÉTUDE DE CAS FRANCE · ZONES COMMERCIALES, CENTRES-VILLES ET QPV</w:t>
      </w:r>
    </w:p>
    <w:p>
      <w:pPr>
        <w:spacing w:after="100"/>
      </w:pPr>
      <w:r>
        <w:rPr>
          <w:color w:val="003087"/>
          <w:sz w:val="40"/>
          <w:szCs w:val="40"/>
        </w:rPr>
        <w:t xml:space="preserve">Proposition de missions d'entretiens dans les villes Action Cœur de Ville</w:t>
      </w:r>
    </w:p>
    <w:p>
      <w:pPr>
        <w:pBdr>
          <w:bottom w:val="single" w:color="C2255C" w:sz="8"/>
        </w:pBdr>
        <w:spacing w:after="280"/>
      </w:pPr>
      <w:r>
        <w:rPr>
          <w:color w:val="595959"/>
          <w:sz w:val="19"/>
          <w:szCs w:val="19"/>
        </w:rPr>
        <w:t xml:space="preserve">Note à l'attention de la Direction générale des Entreprises (DGE) · 8 octobre 2026 · Document de travail</w:t>
      </w:r>
    </w:p>
    <w:p>
      <w:pPr>
        <w:pStyle w:val="Heading1"/>
      </w:pPr>
      <w:r>
        <w:t xml:space="preserve">Objet et méthode de sélection</w:t>
      </w:r>
    </w:p>
    <w:p>
      <w:pPr>
        <w:spacing w:after="120" w:line="276"/>
      </w:pPr>
      <w:r>
        <w:t xml:space="preserve">Nous proposons à la DGE </w:t>
      </w:r>
      <w:r>
        <w:rPr>
          <w:b/>
          <w:bCs/>
        </w:rPr>
        <w:t xml:space="preserve">six missions d'entretiens</w:t>
      </w:r>
      <w:r>
        <w:t xml:space="preserve"> dans des villes Action Cœur de Ville (ACV) qui ont inversé ou nettement freiné le déclin de leur commerce de centre-ville, plus </w:t>
      </w:r>
      <w:r>
        <w:rPr>
          <w:b/>
          <w:bCs/>
        </w:rPr>
        <w:t xml:space="preserve">deux cas de comparaison</w:t>
      </w:r>
      <w:r>
        <w:t xml:space="preserve">. L'objectif est de documenter ce qui a fonctionné, pour l'étude de cas France de l'OCDE sur les zones commerciales périphériques.</w:t>
      </w:r>
    </w:p>
    <w:p>
      <w:pPr>
        <w:spacing w:after="120" w:line="276"/>
      </w:pPr>
      <w:r>
        <w:t xml:space="preserve">Les villes sont retenues sur trois indicateurs croisés, pour les 228 villes ACV de métropole 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Nombre de commerces employeurs du centre-ville</w:t>
      </w:r>
      <w:r>
        <w:t xml:space="preserve"> (Insee, Sirene) : évolution 2012-2019, avant le programme, comparée à 2019-2025. Centre-ville = cercle de 300 à 700 m autour de la mairie selon la taille de la ville.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Baisse de la vacance commerciale 2018-2022</w:t>
      </w:r>
      <w:r>
        <w:t xml:space="preserve"> (étude FACT et Codata) et palmarès Codata 2023 et 2024-2025.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Niveau de vacance en 2025</w:t>
      </w:r>
      <w:r>
        <w:t xml:space="preserve"> (atlas national ACV de l'ANCT, données Codata, par tranche de 5 points).</w:t>
      </w:r>
    </w:p>
    <w:p>
      <w:pPr>
        <w:spacing w:after="200" w:before="80" w:line="276"/>
      </w:pPr>
      <w:r>
        <w:t xml:space="preserve">Une ville est proposée quand au moins deux indicateurs concordent. Repères : les centres des villes ACV perdent 11,6 % de leurs commerces employeurs en 2012-2019 puis 9,1 % en 2019-2025 ; la vacance moyenne des villes ACV atteint 14,5 % en 2025.</w:t>
      </w:r>
    </w:p>
    <w:p>
      <w:pPr>
        <w:pStyle w:val="Heading1"/>
      </w:pPr>
      <w:r>
        <w:t xml:space="preserve">Missions proposées</w:t>
      </w:r>
    </w:p>
    <w:p>
      <w:pPr>
        <w:spacing w:after="120" w:line="276"/>
      </w:pPr>
      <w:r>
        <w:t xml:space="preserve">Quatre villes montrent une inversion confirmée par une vacance basse en 2025 ; deux autres ont fortement freiné leur déclin. Les commerces sont les commerces employeurs du centre-ville en 2012, 2019 et 2025.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1700"/>
        <w:gridCol w:w="2000"/>
        <w:gridCol w:w="2000"/>
        <w:gridCol w:w="2600"/>
        <w:gridCol w:w="2837"/>
        <w:gridCol w:w="1300"/>
      </w:tblGrid>
      <w:tr>
        <w:trPr>
          <w:tblHeader/>
        </w:trPr>
        <w:tc>
          <w:tcPr>
            <w:tcW w:type="dxa" w:w="10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3087"/>
                <w:sz w:val="17"/>
                <w:szCs w:val="17"/>
              </w:rPr>
              <w:t xml:space="preserve">Priorité</w:t>
            </w:r>
          </w:p>
        </w:tc>
        <w:tc>
          <w:tcPr>
            <w:tcW w:type="dxa" w:w="17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3087"/>
                <w:sz w:val="17"/>
                <w:szCs w:val="17"/>
              </w:rPr>
              <w:t xml:space="preserve">Ville</w:t>
            </w:r>
          </w:p>
        </w:tc>
        <w:tc>
          <w:tcPr>
            <w:tcW w:type="dxa" w:w="17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3087"/>
                <w:sz w:val="17"/>
                <w:szCs w:val="17"/>
              </w:rPr>
              <w:t xml:space="preserve">Profil</w:t>
            </w:r>
          </w:p>
        </w:tc>
        <w:tc>
          <w:tcPr>
            <w:tcW w:type="dxa" w:w="20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3087"/>
                <w:sz w:val="17"/>
                <w:szCs w:val="17"/>
              </w:rPr>
              <w:t xml:space="preserve">Commerces 2012 → 2019 → 2025</w:t>
            </w:r>
          </w:p>
        </w:tc>
        <w:tc>
          <w:tcPr>
            <w:tcW w:type="dxa" w:w="20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3087"/>
                <w:sz w:val="17"/>
                <w:szCs w:val="17"/>
              </w:rPr>
              <w:t xml:space="preserve">Vacance commerciale</w:t>
            </w:r>
          </w:p>
        </w:tc>
        <w:tc>
          <w:tcPr>
            <w:tcW w:type="dxa" w:w="26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3087"/>
                <w:sz w:val="17"/>
                <w:szCs w:val="17"/>
              </w:rPr>
              <w:t xml:space="preserve">Ce que la mission doit éclairer</w:t>
            </w:r>
          </w:p>
        </w:tc>
        <w:tc>
          <w:tcPr>
            <w:tcW w:type="dxa" w:w="2837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3087"/>
                <w:sz w:val="17"/>
                <w:szCs w:val="17"/>
              </w:rPr>
              <w:t xml:space="preserve">Interlocuteurs</w:t>
            </w:r>
          </w:p>
        </w:tc>
        <w:tc>
          <w:tcPr>
            <w:tcW w:type="dxa" w:w="13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3087"/>
                <w:sz w:val="17"/>
                <w:szCs w:val="17"/>
              </w:rPr>
              <w:t xml:space="preserve">Décision DGE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DEEF4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C2255C"/>
                <w:sz w:val="17"/>
                <w:szCs w:val="17"/>
              </w:rPr>
              <w:t xml:space="preserve">Haute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Sète (Hérault, 44 700 hab.)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Inversion confirmée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180 → 153 → 174 (−15 % puis +14 %)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−4,4 pts en 2018-2022 ; 5 à 10 % en 2025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Quels leviers ont ramené des commerces, et quelle part revient au programme ?</w:t>
            </w:r>
          </w:p>
        </w:tc>
        <w:tc>
          <w:tcPr>
            <w:tcW w:type="dxa" w:w="28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Élu au commerce, manager de commerce, chef de projet ACV, CCI Hérault, union commerciale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À valider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DEEF4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C2255C"/>
                <w:sz w:val="17"/>
                <w:szCs w:val="17"/>
              </w:rPr>
              <w:t xml:space="preserve">Haute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Creil (Oise, 36 100 hab.)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Inversion, sans vacance publiée avant 2025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59 → 40 → 55 (−32 % puis +38 %)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5 à 10 % en 2025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Rebond réel sur le terrain ? Articulation entre centre-ville et quartiers prioritaires</w:t>
            </w:r>
          </w:p>
        </w:tc>
        <w:tc>
          <w:tcPr>
            <w:tcW w:type="dxa" w:w="28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Chef de projet ACV, manager de commerce, agglomération, CCI de l'Oise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À valider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DEEF4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C2255C"/>
                <w:sz w:val="17"/>
                <w:szCs w:val="17"/>
              </w:rPr>
              <w:t xml:space="preserve">Haute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Vitry-le-François (Marne, 11 500 hab.)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Inversion malgré une population en baisse (−12,8 % en 2014-2020)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56 → 41 → 50 (−27 % puis +22 %)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5 à 10 % en 2025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Comment le commerce repart-il quand les habitants partent ?</w:t>
            </w:r>
          </w:p>
        </w:tc>
        <w:tc>
          <w:tcPr>
            <w:tcW w:type="dxa" w:w="28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Maire ou élu au commerce, chef de projet ACV, CCI Marne, commerçants installés depuis 2019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À valider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EBF4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3087"/>
                <w:sz w:val="17"/>
                <w:szCs w:val="17"/>
              </w:rPr>
              <w:t xml:space="preserve">Moyenne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Lunéville (Meurthe-et-Moselle, 17 800 hab.)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Inversion partielle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54 → 46 → 52 (−15 % puis +13 %) ; ensemble des établissements −5 %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5 à 10 % en 2025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Quels commerces arrivent, lesquels partent ? Effet sur la vacance</w:t>
            </w:r>
          </w:p>
        </w:tc>
        <w:tc>
          <w:tcPr>
            <w:tcW w:type="dxa" w:w="28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Chef de projet ACV, manager de commerce, union commerciale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À valider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DEEF4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C2255C"/>
                <w:sz w:val="17"/>
                <w:szCs w:val="17"/>
              </w:rPr>
              <w:t xml:space="preserve">Haute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Vierzon (Cher, 25 300 hab.)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Déclin fortement freiné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57 → 33 → 30 (−42 % puis −9 %)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−6,7 pts en 2018-2022 ; plus de 20 % en 2025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Rôle de la foncière de redynamisation (SEMVIE) ; pourquoi la vacance reste élevée</w:t>
            </w:r>
          </w:p>
        </w:tc>
        <w:tc>
          <w:tcPr>
            <w:tcW w:type="dxa" w:w="28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Foncière SEMVIE, chef de projet ACV, élu au commerce, Banque des Territoires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À valider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shd w:fill="EBF4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3087"/>
                <w:sz w:val="17"/>
                <w:szCs w:val="17"/>
              </w:rPr>
              <w:t xml:space="preserve">Moyenne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Denain (Nord, 20 600 hab.)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Inversion, vacance moyenne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50 → 36 → 43 (−28 % puis +19 %)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10 à 15 % en 2025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Quelles actions depuis 2019 ? Poids des zones commerciales voisines</w:t>
            </w:r>
          </w:p>
        </w:tc>
        <w:tc>
          <w:tcPr>
            <w:tcW w:type="dxa" w:w="2837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Chef de projet ACV, manager de commerce, CCI Grand Hainaut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shd w:fill="F2F2F2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À valider</w:t>
            </w:r>
          </w:p>
        </w:tc>
      </w:tr>
    </w:tbl>
    <w:p>
      <w:pPr>
        <w:spacing w:after="200" w:before="80"/>
      </w:pPr>
      <w:r>
        <w:rPr>
          <w:i/>
          <w:iCs/>
          <w:color w:val="595959"/>
          <w:sz w:val="17"/>
          <w:szCs w:val="17"/>
        </w:rPr>
        <w:t xml:space="preserve">Les interlocuteurs sont des fonctions : les noms seront à identifier avec les préfectures et l'ANCT.</w:t>
      </w:r>
    </w:p>
    <w:p>
      <w:pPr>
        <w:pStyle w:val="Heading1"/>
      </w:pPr>
      <w:r>
        <w:t xml:space="preserve">Cas de comparaison</w:t>
      </w:r>
    </w:p>
    <w:p>
      <w:pPr>
        <w:spacing w:after="120" w:line="276"/>
      </w:pPr>
      <w:r>
        <w:t xml:space="preserve">Deux missions courtes serviraient de points de comparaison : elles montrent ce qui distingue une réussite durable d'une réussite fragile ou d'un déclin simplement ralenti.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3800"/>
        <w:gridCol w:w="4737"/>
      </w:tblGrid>
      <w:tr>
        <w:trPr>
          <w:tblHeader/>
        </w:trPr>
        <w:tc>
          <w:tcPr>
            <w:tcW w:type="dxa" w:w="22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3087"/>
                <w:sz w:val="17"/>
                <w:szCs w:val="17"/>
              </w:rPr>
              <w:t xml:space="preserve">Ville</w:t>
            </w:r>
          </w:p>
        </w:tc>
        <w:tc>
          <w:tcPr>
            <w:tcW w:type="dxa" w:w="20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3087"/>
                <w:sz w:val="17"/>
                <w:szCs w:val="17"/>
              </w:rPr>
              <w:t xml:space="preserve">Profil</w:t>
            </w:r>
          </w:p>
        </w:tc>
        <w:tc>
          <w:tcPr>
            <w:tcW w:type="dxa" w:w="24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3087"/>
                <w:sz w:val="17"/>
                <w:szCs w:val="17"/>
              </w:rPr>
              <w:t xml:space="preserve">Commerces 2012 → 2019 → 2025</w:t>
            </w:r>
          </w:p>
        </w:tc>
        <w:tc>
          <w:tcPr>
            <w:tcW w:type="dxa" w:w="38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3087"/>
                <w:sz w:val="17"/>
                <w:szCs w:val="17"/>
              </w:rPr>
              <w:t xml:space="preserve">Vacance commerciale</w:t>
            </w:r>
          </w:p>
        </w:tc>
        <w:tc>
          <w:tcPr>
            <w:tcW w:type="dxa" w:w="4737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3087"/>
                <w:sz w:val="17"/>
                <w:szCs w:val="17"/>
              </w:rPr>
              <w:t xml:space="preserve">Intérêt pour l'étude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Calais (Pas-de-Calais)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Rechute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91 → 74 → 81 (−19 % puis +10 %)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14 % en 2022 après −7,7 pts, la plus forte baisse des villes ACV ; plus de 20 % en 2025</w:t>
            </w:r>
          </w:p>
        </w:tc>
        <w:tc>
          <w:tcPr>
            <w:tcW w:type="dxa" w:w="47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Ce qui a marché en 2018-2022 et pourquoi la vacance est remontée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Quimper (Finistère)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Déclin ralenti, dans la moyenne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268 → 213 → 194 (−20,5 % puis −8,9 %)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10 à 15 % en 2025</w:t>
            </w:r>
          </w:p>
        </w:tc>
        <w:tc>
          <w:tcPr>
            <w:tcW w:type="dxa" w:w="4737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sz w:val="17"/>
                <w:szCs w:val="17"/>
              </w:rPr>
              <w:t xml:space="preserve">Témoin d'une préfecture où la périphérie continue de croître (+22 % de commerces employeurs à moins de 10 km depuis 2012)</w:t>
            </w:r>
          </w:p>
        </w:tc>
      </w:tr>
    </w:tbl>
    <w:p>
      <w:pPr>
        <w:spacing w:after="120" w:before="160" w:line="276"/>
      </w:pPr>
      <w:r>
        <w:rPr>
          <w:b/>
          <w:bCs/>
        </w:rPr>
        <w:t xml:space="preserve">Villes écartées comme exemples de réussite</w:t>
      </w:r>
      <w:r>
        <w:t xml:space="preserve"> : Saint-Dizier, Mont-de-Marsan et Marmande ont fortement réduit leur vacance, mais leurs commerces continuent de diminuer (Mont-de-Marsan : −32 % depuis 2019). La baisse de vacance y vient sans doute de locaux reconvertis plutôt que d'un regain d'activité.</w:t>
      </w:r>
    </w:p>
    <w:p>
      <w:pPr>
        <w:spacing w:after="200" w:line="276"/>
      </w:pPr>
      <w:r>
        <w:rPr>
          <w:b/>
          <w:bCs/>
        </w:rPr>
        <w:t xml:space="preserve">Option alternative</w:t>
      </w:r>
      <w:r>
        <w:t xml:space="preserve"> : une ville accompagnée par l'ANCT dans « Mon centre-ville 2030 » (Angoulême, Cosne-Cours-sur-Loire, Douai, Mâcon, Redon), qui dispose déjà d'un diagnostic de sa politique de commerce.</w:t>
      </w:r>
    </w:p>
    <w:p>
      <w:pPr>
        <w:pStyle w:val="Heading1"/>
      </w:pPr>
      <w:r>
        <w:t xml:space="preserve">Format des missions et grille d'entretien</w:t>
      </w:r>
    </w:p>
    <w:p>
      <w:pPr>
        <w:spacing w:after="120" w:line="276"/>
      </w:pPr>
      <w:r>
        <w:t xml:space="preserve">Chaque mission dure une à deux journées sur place, avec quatre à six entretiens d'une heure et une visite du périmètre ORT avec le manager de commerce. La même grille est utilisée partout pour comparer les villes.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Diagnostic de départ</w:t>
      </w:r>
      <w:r>
        <w:t xml:space="preserve"> : situation du commerce de centre-ville vers 2018, causes perçues du déclin, place des zones commerciales périphériques.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Actions menées depuis 2018</w:t>
      </w:r>
      <w:r>
        <w:t xml:space="preserve"> : foncière, préemption, taxe sur les friches commerciales, aides au loyer, manager de commerce, aménagement, stationnement, logement en centre.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Moyens</w:t>
      </w:r>
      <w:r>
        <w:t xml:space="preserve"> : montants engagés par la ville et par ses partenaires (État, Banque des Territoires, Anah, Région), ingénierie mobilisée.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Périphérie</w:t>
      </w:r>
      <w:r>
        <w:t xml:space="preserve"> : projets refusés ou limités en CDAC, dialogue avec l'intercommunalité, reconversion de zones d'entrée de ville.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Résultats mesurés</w:t>
      </w:r>
      <w:r>
        <w:t xml:space="preserve"> : relevés locaux de vacance, ouvertures et fermetures, fréquentation ; demande des données brutes.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Facteurs extérieurs</w:t>
      </w:r>
      <w:r>
        <w:t xml:space="preserve"> : démographie, tourisme, grands employeurs, crise sanitaire.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Ce qui reste fragile</w:t>
      </w:r>
      <w:r>
        <w:t xml:space="preserve"> et ce que la ville attend de la phase 3 du programme (2027).</w:t>
      </w:r>
    </w:p>
    <w:p>
      <w:pPr>
        <w:pStyle w:val="Heading1"/>
      </w:pPr>
      <w:r>
        <w:t xml:space="preserve">Précautions et données à demander</w:t>
      </w:r>
    </w:p>
    <w:p>
      <w:pPr>
        <w:spacing w:after="120" w:line="276"/>
      </w:pPr>
      <w:r>
        <w:t xml:space="preserve">Les indicateurs décrivent des évolutions, pas l'effet du programme : la FACT conclut en 2025 que les villes ACV ont évolué au même rythme que les autres sur 2019-2024. Les missions servent justement à identifier les leviers locaux.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Les effectifs Sirene sont petits dans certaines villes (40 à 60 commerces) : une hausse de dix commerces pèse lourd.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Le centre-ville est approché par un cercle autour de la mairie, pas par le périmètre ORT.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La vacance 2025 n'est connue que par tranche de 5 points sur la carte de l'atlas.</w:t>
      </w:r>
    </w:p>
    <w:p>
      <w:pPr>
        <w:spacing w:after="80" w:before="140"/>
      </w:pPr>
      <w:r>
        <w:rPr>
          <w:b/>
          <w:bCs/>
        </w:rPr>
        <w:t xml:space="preserve">À demander à la DGE et à l'ANCT avant les missions :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Taux de vacance Codata par ville, 2018 à 2025, derrière la carte de l'atlas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Montants engagés par ville au titre de l'axe 2 (développement économique et commercial)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Décisions CDAC depuis 2018 dans les intercommunalités retenues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Contacts des chefs de projet ACV et des managers de commerce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Insee, base Sirene et géolocalisation des établissements (2012-2025), calculs de l'auteur ; liste des villes ACV : </w:t>
      </w:r>
      <w:hyperlink w:history="1" r:id="rIdkxht4ld3fru426k7zpkqt">
        <w:r>
          <w:rPr>
            <w:rStyle w:val="Hyperlink"/>
          </w:rPr>
          <w:t xml:space="preserve">Caisse des Dépôts, open data</w:t>
        </w:r>
      </w:hyperlink>
    </w:p>
    <w:p>
      <w:pPr>
        <w:pStyle w:val="ListParagraph"/>
        <w:numPr>
          <w:ilvl w:val="0"/>
          <w:numId w:val="4"/>
        </w:numPr>
        <w:spacing w:after="70"/>
      </w:pPr>
      <w:hyperlink w:history="1" r:id="rId4-2wss-oqmleraewvfv8i">
        <w:r>
          <w:rPr>
            <w:rStyle w:val="Hyperlink"/>
          </w:rPr>
          <w:t xml:space="preserve">ANCT, Atlas national Action cœur de ville, T4 2025</w:t>
        </w:r>
      </w:hyperlink>
      <w:r>
        <w:t xml:space="preserve"> (vacance 2025, foncières, Mon centre-ville 2030)</w:t>
      </w:r>
    </w:p>
    <w:p>
      <w:pPr>
        <w:pStyle w:val="ListParagraph"/>
        <w:numPr>
          <w:ilvl w:val="0"/>
          <w:numId w:val="4"/>
        </w:numPr>
        <w:spacing w:after="70"/>
      </w:pPr>
      <w:hyperlink w:history="1" r:id="rIdnnsyeyz8mplnpenyfsypl">
        <w:r>
          <w:rPr>
            <w:rStyle w:val="Hyperlink"/>
          </w:rPr>
          <w:t xml:space="preserve">Banque des Territoires, « Action cœur de ville : des résultats sur la vacance commerciale », 21 septembre 2023</w:t>
        </w:r>
      </w:hyperlink>
      <w:r>
        <w:t xml:space="preserve"> (étude FACT et Codata 2018-2022)</w:t>
      </w:r>
    </w:p>
    <w:p>
      <w:pPr>
        <w:pStyle w:val="ListParagraph"/>
        <w:numPr>
          <w:ilvl w:val="0"/>
          <w:numId w:val="4"/>
        </w:numPr>
        <w:spacing w:after="70"/>
      </w:pPr>
      <w:hyperlink w:history="1" r:id="rId45bmasy-1pq8xbt0ykhun">
        <w:r>
          <w:rPr>
            <w:rStyle w:val="Hyperlink"/>
          </w:rPr>
          <w:t xml:space="preserve">Banque des Territoires, « La progression de la vacance commerciale ralentit, surtout dans les villes moyennes »</w:t>
        </w:r>
      </w:hyperlink>
      <w:r>
        <w:t xml:space="preserve"> (étude FACT, décembre 2025)</w:t>
      </w:r>
    </w:p>
    <w:sectPr>
      <w:headerReference w:type="default" r:id="rId6"/>
      <w:footerReference w:type="default" r:id="rId7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/>
        <w:bCs/>
        <w:color w:val="00308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Missions d'entretiens ACV · Proposition à la DGE · Document de travail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■"/>
      <w:lvlJc w:val="left"/>
      <w:pPr>
        <w:ind w:left="360" w:hanging="300"/>
      </w:pPr>
      <w:rPr>
        <w:color w:val="C2255C"/>
        <w:sz w:val="14"/>
        <w:szCs w:val="14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360" w:hanging="300"/>
      </w:pPr>
      <w:rPr>
        <w:color w:val="003087"/>
        <w:sz w:val="20"/>
        <w:szCs w:val="20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  <w:rPr>
        <w:b/>
        <w:bCs/>
        <w:color w:val="003087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  <w:rPr>
        <w:b/>
        <w:bCs/>
        <w:color w:val="003087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Arial" w:cs="Arial" w:eastAsia="Arial" w:hAnsi="Arial"/>
      <w:b/>
      <w:bCs/>
      <w:color w:val="0070C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kxht4ld3fru426k7zpkqt" Type="http://schemas.openxmlformats.org/officeDocument/2006/relationships/hyperlink" Target="https://opendata.caissedesdepots.fr/explore/dataset/villes_action_coeurdeville/" TargetMode="External"/><Relationship Id="rId4-2wss-oqmleraewvfv8i" Type="http://schemas.openxmlformats.org/officeDocument/2006/relationships/hyperlink" Target="https://media.anct.gouv.fr/ressources/2026-10/atlas-national-acv-t4-2025_0.pdf" TargetMode="External"/><Relationship Id="rIdnnsyeyz8mplnpenyfsypl" Type="http://schemas.openxmlformats.org/officeDocument/2006/relationships/hyperlink" Target="https://www.banquedesterritoires.fr/action-coeur-de-ville-des-resultats-sur-la-vacance-commerciale" TargetMode="External"/><Relationship Id="rId45bmasy-1pq8xbt0ykhun" Type="http://schemas.openxmlformats.org/officeDocument/2006/relationships/hyperlink" Target="https://www.banquedesterritoires.fr/la-progression-de-la-vacance-commerciale-ralentit-surtout-dans-les-villes-moyennes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 de missions d'entretiens dans les villes Action Cœur de Ville</dc:title>
  <dc:creator>OCDE – étude de cas France</dc:creator>
  <cp:lastModifiedBy>Un-named</cp:lastModifiedBy>
  <cp:revision>1</cp:revision>
  <dcterms:created xsi:type="dcterms:W3CDTF">2026-10-08T12:46:30.496Z</dcterms:created>
  <dcterms:modified xsi:type="dcterms:W3CDTF">2026-10-08T12:46:30.502Z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