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5F"/>
          <w:sz w:val="44"/>
          <w:szCs w:val="44"/>
        </w:rPr>
        <w:t xml:space="preserve">Finding New Drug-Like Molecules with a Computer</w:t>
      </w:r>
    </w:p>
    <w:p>
      <w:pPr>
        <w:spacing w:after="400"/>
        <w:jc w:val="center"/>
      </w:pPr>
      <w:r>
        <w:rPr>
          <w:i/>
          <w:iCs/>
          <w:sz w:val="30"/>
          <w:szCs w:val="30"/>
        </w:rPr>
        <w:t xml:space="preserve">A Beginner's Guide to This Virtual Screening Pipeline</w:t>
      </w:r>
    </w:p>
    <w:p>
      <w:pPr>
        <w:spacing w:after="100"/>
        <w:jc w:val="center"/>
      </w:pPr>
      <w:r>
        <w:rPr>
          <w:sz w:val="22"/>
          <w:szCs w:val="22"/>
        </w:rPr>
        <w:t xml:space="preserve">Target: the MDM2–p53 protein interaction (a cancer drug target)</w:t>
      </w:r>
    </w:p>
    <w:p>
      <w:pPr>
        <w:spacing w:after="2000"/>
        <w:jc w:val="center"/>
      </w:pPr>
      <w:r>
        <w:rPr>
          <w:sz w:val="20"/>
          <w:szCs w:val="20"/>
        </w:rPr>
        <w:t xml:space="preserve">This document explains, step by step and in plain English, what every script in this project does, what tools it uses, and how to read every single output file it produces — no biology or chemistry background required.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The Big Picture: What Is This Project Trying To Do?</w:t>
      </w:r>
    </w:p>
    <w:p>
      <w:pPr>
        <w:spacing w:after="160"/>
      </w:pPr>
      <w:r>
        <w:t xml:space="preserve">Cancer cells often disable a natural safety mechanism in the body. This project uses a computer pipeline </w:t>
      </w:r>
      <w:r>
        <w:t xml:space="preserve">(a series of automated scripts, each one feeding the next) </w:t>
      </w:r>
      <w:r>
        <w:t xml:space="preserve">to search for new drug candidates that could restore that safety mechanism. This section explains the biology in plain terms before we go through the pipeline itself.</w:t>
      </w:r>
    </w:p>
    <w:p>
      <w:pPr>
        <w:pStyle w:val="Heading2"/>
      </w:pPr>
      <w:r>
        <w:t xml:space="preserve">1.1 The two proteins involved: p53 and MDM2</w:t>
      </w:r>
    </w:p>
    <w:p>
      <w:pPr>
        <w:pStyle w:val="ListParagraph"/>
        <w:numPr>
          <w:ilvl w:val="0"/>
          <w:numId w:val="2"/>
        </w:numPr>
        <w:spacing w:after="100"/>
      </w:pPr>
      <w:r>
        <w:t xml:space="preserve">p53 is a protein nicknamed the “guardian of the genome.” Its job is to detect damaged or cancerous cells and tell them to stop dividing or self-destruct. It is one of the most important tumor-suppressor proteins in the human body.</w:t>
      </w:r>
    </w:p>
    <w:p>
      <w:pPr>
        <w:pStyle w:val="ListParagraph"/>
        <w:numPr>
          <w:ilvl w:val="0"/>
          <w:numId w:val="2"/>
        </w:numPr>
        <w:spacing w:after="100"/>
      </w:pPr>
      <w:r>
        <w:t xml:space="preserve">MDM2 is a different protein whose job is to shut p53 off. Normally this is useful — it stops p53 from being active all the time. MDM2 does this by physically sticking to p53 and tagging it for destruction.</w:t>
      </w:r>
    </w:p>
    <w:p>
      <w:pPr>
        <w:pStyle w:val="ListParagraph"/>
        <w:numPr>
          <w:ilvl w:val="0"/>
          <w:numId w:val="2"/>
        </w:numPr>
        <w:spacing w:after="100"/>
      </w:pPr>
      <w:r>
        <w:t xml:space="preserve">In many cancers, MDM2 is overproduced, which means p53 gets shut off too much, and damaged cells are no longer told to stop growing. This is a major driver of tumor growth in cancers that still have a healthy, unmutated copy of p53.</w:t>
      </w:r>
    </w:p>
    <w:p>
      <w:pPr>
        <w:pStyle w:val="Heading2"/>
      </w:pPr>
      <w:r>
        <w:t xml:space="preserve">1.2 The drug discovery idea</w:t>
      </w:r>
    </w:p>
    <w:p>
      <w:pPr>
        <w:spacing w:after="160"/>
      </w:pPr>
      <w:r>
        <w:t xml:space="preserve">If a small molecule (a drug-sized chemical, not a protein) could wedge itself into the exact spot where MDM2 grips onto p53, it would physically block MDM2 from switching p53 off. p53 would then stay active and could resume killing or halting cancerous cells. This is called disrupting a protein-protein interaction (PPI) — blocking two proteins from touching each other, rather than blocking an enzyme's chemical reaction (which is how most older drugs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4F8FB" w:val="clear"/>
            <w:tcMar>
              <w:top w:type="dxa" w:w="140"/>
              <w:left w:type="dxa" w:w="200"/>
              <w:bottom w:type="dxa" w:w="140"/>
              <w:right w:type="dxa" w:w="200"/>
            </w:tcMar>
          </w:tcPr>
          <w:p>
            <w:pPr>
              <w:spacing w:after="80"/>
            </w:pPr>
            <w:r>
              <w:rPr>
                <w:b/>
                <w:bCs/>
              </w:rPr>
              <w:t xml:space="preserve">Key term: Allosteric vs. orthosteric</w:t>
            </w:r>
          </w:p>
          <w:p>
            <w:pPr>
              <w:spacing w:after="60"/>
            </w:pPr>
            <w:r>
              <w:t xml:space="preserve">“Orthosteric” means binding directly in a protein's main active site (e.g. where an enzyme normally does its chemistry).</w:t>
            </w:r>
          </w:p>
          <w:p>
            <w:pPr>
              <w:spacing w:after="60"/>
            </w:pPr>
            <w:r>
              <w:t xml:space="preserve">“Allosteric” (the word in this project's folder name) more broadly refers to modulating a protein's behavior by binding somewhere that changes its shape or blocks a partner from binding — which is exactly what happens here: a small molecule occupies the MDM2 groove that p53 would normally sit in.</w:t>
            </w:r>
          </w:p>
        </w:tc>
      </w:tr>
    </w:tbl>
    <w:p>
      <w:pPr>
        <w:pStyle w:val="Heading2"/>
      </w:pPr>
      <w:r>
        <w:t xml:space="preserve">1.3 What “virtual screening” means</w:t>
      </w:r>
    </w:p>
    <w:p>
      <w:pPr>
        <w:spacing w:after="160"/>
      </w:pPr>
      <w:r>
        <w:t xml:space="preserve">Testing real chemicals in a lab against a real protein is slow and expensive. “Virtual screening” means using computer simulations to estimate, before ever touching a test tube, which chemicals (out of a huge list of hundreds of thousands) are most likely to fit into the target pocket and are worth actually ordering and testing. This project starts from 161,216 candidate molecules and, through 11 stages of increasingly strict computational filtering, narrows that down to a final shortlist of 6 realistic candidates.</w:t>
      </w:r>
    </w:p>
    <w:p>
      <w:pPr>
        <w:pStyle w:val="Heading2"/>
      </w:pPr>
      <w:r>
        <w:t xml:space="preserve">1.4 The overall flow</w:t>
      </w:r>
    </w:p>
    <w:p>
      <w:pPr>
        <w:spacing w:after="160"/>
      </w:pPr>
      <w:r>
        <w:t xml:space="preserve">Think of the pipeline as a funnel with several checkpoints. Each checkpoint asks a different question and only lets through the molecules that pass:</w:t>
      </w:r>
    </w:p>
    <w:p>
      <w:pPr>
        <w:pStyle w:val="ListParagraph"/>
        <w:numPr>
          <w:ilvl w:val="0"/>
          <w:numId w:val="3"/>
        </w:numPr>
        <w:spacing w:after="100"/>
      </w:pPr>
      <w:r>
        <w:t xml:space="preserve">Where exactly does MDM2 grab onto p53? (the target “pocket”)</w:t>
      </w:r>
    </w:p>
    <w:p>
      <w:pPr>
        <w:pStyle w:val="ListParagraph"/>
        <w:numPr>
          <w:ilvl w:val="0"/>
          <w:numId w:val="3"/>
        </w:numPr>
        <w:spacing w:after="100"/>
      </w:pPr>
      <w:r>
        <w:t xml:space="preserve">Out of a huge public chemical catalog, which molecules even look drug-like and chemically “clean,” and which look structurally similar to molecules already known to work here?</w:t>
      </w:r>
    </w:p>
    <w:p>
      <w:pPr>
        <w:pStyle w:val="ListParagraph"/>
        <w:numPr>
          <w:ilvl w:val="0"/>
          <w:numId w:val="3"/>
        </w:numPr>
        <w:spacing w:after="100"/>
      </w:pPr>
      <w:r>
        <w:t xml:space="preserve">Get those molecules ready as 3D shapes a docking program can use.</w:t>
      </w:r>
    </w:p>
    <w:p>
      <w:pPr>
        <w:pStyle w:val="ListParagraph"/>
        <w:numPr>
          <w:ilvl w:val="0"/>
          <w:numId w:val="3"/>
        </w:numPr>
        <w:spacing w:after="100"/>
      </w:pPr>
      <w:r>
        <w:t xml:space="preserve">Get the target protein ready as a 3D shape a docking program can use, and define the search box (the pocket).</w:t>
      </w:r>
    </w:p>
    <w:p>
      <w:pPr>
        <w:pStyle w:val="ListParagraph"/>
        <w:numPr>
          <w:ilvl w:val="0"/>
          <w:numId w:val="3"/>
        </w:numPr>
        <w:spacing w:after="100"/>
      </w:pPr>
      <w:r>
        <w:t xml:space="preserve">Predict, for each candidate, how well it physically fits into the pocket (“docking”).</w:t>
      </w:r>
    </w:p>
    <w:p>
      <w:pPr>
        <w:pStyle w:val="ListParagraph"/>
        <w:numPr>
          <w:ilvl w:val="0"/>
          <w:numId w:val="3"/>
        </w:numPr>
        <w:spacing w:after="100"/>
      </w:pPr>
      <w:r>
        <w:t xml:space="preserve">Use a machine-learning model trained on real lab measurements to add a second, independent potency prediction.</w:t>
      </w:r>
    </w:p>
    <w:p>
      <w:pPr>
        <w:pStyle w:val="ListParagraph"/>
        <w:numPr>
          <w:ilvl w:val="0"/>
          <w:numId w:val="3"/>
        </w:numPr>
        <w:spacing w:after="100"/>
      </w:pPr>
      <w:r>
        <w:t xml:space="preserve">Check: can you actually buy each top candidate from a chemical supplier?</w:t>
      </w:r>
    </w:p>
    <w:p>
      <w:pPr>
        <w:pStyle w:val="ListParagraph"/>
        <w:numPr>
          <w:ilvl w:val="0"/>
          <w:numId w:val="3"/>
        </w:numPr>
        <w:spacing w:after="100"/>
      </w:pPr>
      <w:r>
        <w:t xml:space="preserve">Check: is each top candidate already covered by a patent (which would make it commercially risky)?</w:t>
      </w:r>
    </w:p>
    <w:p>
      <w:pPr>
        <w:pStyle w:val="ListParagraph"/>
        <w:numPr>
          <w:ilvl w:val="0"/>
          <w:numId w:val="3"/>
        </w:numPr>
        <w:spacing w:after="100"/>
      </w:pPr>
      <w:r>
        <w:t xml:space="preserve">Apply a battery of medicinal-chemistry “is this a reasonable drug” rules to the survivors.</w:t>
      </w:r>
    </w:p>
    <w:p>
      <w:pPr>
        <w:pStyle w:val="ListParagraph"/>
        <w:numPr>
          <w:ilvl w:val="0"/>
          <w:numId w:val="3"/>
        </w:numPr>
        <w:spacing w:after="100"/>
      </w:pPr>
      <w:r>
        <w:t xml:space="preserve">Remove near-duplicate candidates and produce the final shortlist.</w:t>
      </w:r>
    </w:p>
    <w:p>
      <w:pPr>
        <w:spacing w:after="200"/>
      </w:pPr>
    </w:p>
    <w:p>
      <w:r>
        <w:br w:type="page"/>
      </w:r>
    </w:p>
    <w:p>
      <w:pPr>
        <w:pStyle w:val="Heading1"/>
      </w:pPr>
      <w:r>
        <w:t xml:space="preserve">2. Glossary of Terms</w:t>
      </w:r>
    </w:p>
    <w:p>
      <w:pPr>
        <w:spacing w:after="160"/>
      </w:pPr>
      <w:r>
        <w:t xml:space="preserve">Every term used anywhere in this pipeline or its output files is explained here in plain language. Refer back to this section whenever an unfamiliar word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Term</w:t>
            </w:r>
          </w:p>
        </w:tc>
        <w:tc>
          <w:tcPr>
            <w:tcW w:type="dxa" w:w="7301"/>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Plain-language meaning</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Protein</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large molecule made of a chain of building blocks called amino acids, folded into a specific 3D shape. Proteins do almost all the work inside cells.</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Residue</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One amino-acid “link” in a protein chain. Residues are numbered along the chain (e.g. “F19” means “the amino acid Phenylalanine at position 19”).</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PDB file</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standard text file format (Protein Data Bank format) that lists the 3D x/y/z coordinates of every atom in a protein structure.</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Chain</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single continuous molecule (one protein or peptide) within a PDB file. A structure file can contain several chains, e.g. “chain A” and “chain B” for two different proteins bound together.</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Ångstrom (Å)</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unit of length used at the atomic scale: one Å = one ten-billionth of a meter. Atom-to-atom distances in proteins are typically 1–5 Å.</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AlphaFold</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An AI system that predicts a protein's 3D shape directly from its amino-acid sequence, without needing a lab experiment. Widely used because it is fast and often very accurate.</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pLDDT</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AlphaFold's own confidence score (0–100) for how sure it is about the shape it predicted at each point in the protein. Low pLDDT (roughly under 70) means “this part of the shape is not reliable” — often because that part of the real protein doesn't have one fixed shape at all.</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Intrinsically disordered region</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stretch of a protein that has no single fixed 3D shape on its own, and only folds into a definite shape when it touches its binding partner. The p53 segment that grips MDM2 is like this, which is why this project used a real experimental structure (1YCR) instead of trusting AlphaFold's isolated p53 prediction for that part.</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Interface / binding pocket</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specific patch of a protein's surface where another molecule (protein or drug) physically touches and binds. Also called the “binding site”.</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Ligand</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small molecule that binds to a protein. In this project, the ligands are the drug candidate compounds being tested.</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Receptor (in docking)</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larger, fixed molecule that the ligand binds into — here, the MDM2 protein.</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Docking</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computational technique that predicts how (and how well) a small molecule fits into a protein pocket, by trying many orientations/shapes and scoring each one.</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AutoDock Vina</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free, widely used docking program. It is the software that actually performs the docking calculations in stage 5–6 of this pipeline.</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Binding affinity (docking score)</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predicted energy value, in kilocalories per mole (kcal/mol), for how favorably a ligand pose fits its pocket. More negative = predicted to bind more tightly. It is an estimate, not a measured lab value.</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Pose</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One specific 3D orientation/shape that a docking program tried for a ligand inside the pocket.</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PDBQT file</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special version of the PDB format used specifically by AutoDock/Vina, which adds partial electrical charges and marks which bonds can rotate.</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Meeko</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software tool used to convert standard molecule files into the PDBQT format Vina needs, and to prepare the receptor for docking.</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SMILES</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compact one-line text notation for describing a molecule's structure, e.g. “CC(=O)O” for acetic acid. Almost every chemical database (including ZINC and PubChem) can export molecules as SMILES.</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ZINC (database)</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large public database of purchasable chemical compounds (many millions of molecules), commonly used as the starting pool for virtual screening.</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RDKit / datamol</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Open-source chemistry software libraries used throughout this pipeline to read, standardize, analyze and compare molecule structures. datamol is a simplified wrapper around RDKit.</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medchem</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software library of medicinal-chemistry rule sets (drug-likeness filters, structural alert catalogs, complexity scores) used to flag or filter candidate molecules.</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Molecular weight (MW)</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mass of one molecule, in daltons (Da/g·mol⁻¹). Most oral drugs fall roughly between 150–500.</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LogP</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measure of how “fatty/oily” (lipophilic) versus “watery” a molecule is. Higher logP = more fat-soluble. Needed in a middle range for a molecule to cross cell membranes without being too insoluble to dissolve in the body.</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Hydrogen bond donor (HBD) / acceptor (HBA)</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Counts of specific atoms in a molecule that can form weak electrical attractions (hydrogen bonds) with a protein or with water. Too many of either tends to hurt a drug's ability to get absorbed.</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TPSA</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Topological Polar Surface Area — a measure (in Å²) of how much of a molecule's surface is electrically “polar.” Related to how easily a molecule crosses membranes (including the blood-brain barrier).</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Rotatable bonds</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number of single bonds in a molecule that can freely spin, changing its shape. Too many makes a molecule floppy, which usually hurts binding and absorption.</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Lipinski's Rule of Five (Ro5)</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classic, simple rule of thumb for whether an orally taken drug is likely to be well absorbed: MW ≤ 500, logP ≤ 5, HBD ≤ 5, HBA ≤ 10 (numbers are multiples of 5, hence the name).</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Veber's rules</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companion rule of thumb: rotatable bonds ≤ 10 and TPSA ≤ 140 Å², again as a simple oral-absorption sanity check.</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Lead-like (soft)</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slightly stricter, narrower version of Ro5 aimed at early “lead” compounds (which tend to gain weight/complexity later in drug development, so you want headroom).</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CNS rule (rule of CNS)</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specific descriptor window associated with compounds that are more likely to cross into the brain (relevant for central-nervous-system drugs; used here simply as one more standard filter, not because this project targets the brain).</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Structural alert / PAINS / Brenk</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Catalogs of chemical substructures known to cause problems in practice — PAINS (“Pan-Assay Interference Compounds”) tend to give false-positive signals in many unrelated lab assays; Brenk flags substructures known to be reactive, toxic, or otherwise undesirable in a drug.</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NIBR filter</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structural-alert/screening-deck filter set published by the Novartis Institutes for BioMedical Research (NIBR), used as another, independently curated “avoid these problematic chemical patterns” check, with a severity score.</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ECFP4 fingerprint</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way of turning a molecule's structure into a long list of numbers (a “fingerprint”) that captures its local sub-structures, so that two molecules' fingerprints can be mathematically compared for similarity.</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Tanimoto similarity</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score from 0 to 1 measuring how similar two molecules' fingerprints are (1 = identical fingerprint, 0 = nothing in common). Used here to compare candidates to known MDM2-blocking drugs.</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Reference ligand (Nutlin-3 / idasanutlin)</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Real, previously discovered drug-like molecules already known to block the MDM2–p53 interaction. Used as a chemical “yardstick” — candidates that resemble them are prioritized, since this proves that general chemical shape can work at this pocket.</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Diverse subset / diversity picking</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method for choosing a handful of molecules from a large pool that are as chemically different from one another as possible, so the screening effort isn't wasted testing many near-identical compounds.</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QSAR</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Quantitative Structure-Activity Relationship — a machine-learning model that learns the mathematical relationship between a molecule's structure and its measured biological potency, then predicts potency for new, untested molecules.</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ChEMBL</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large public database of real, experimentally measured drug/bioactivity data (which molecules were tested against which biological targets, and how potent they were).</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IC50 / Ki / Kd</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Standard lab measurements of how potent a molecule is against a target: the lower the value, the more potent. IC50 = concentration needed to block 50% of activity; Ki and Kd are related binding-strength measurements.</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pChEMBL value</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standardized way ChEMBL reports potency: pChEMBL = −log10(molar potency, e.g. IC50 in mol/L). Higher pChEMBL = more potent. A pChEMBL of 6 corresponds to a potency of about 1 micromolar; 9 corresponds to about 1 nanomolar.</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Random Forest</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machine-learning method that builds many decision trees on random subsets of the data and averages their predictions. Used here to predict pChEMBL potency from a molecule's fingerprint.</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Cross-validation (K-fold)</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way of honestly testing a machine-learning model: the training data is split into K groups (“folds”); the model is trained on K−1 of them and tested on the one left out, repeated K times, so every data point gets a fair, unbiased prediction to check against.</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R² (R-squared)</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score from 0 to 1 (sometimes reported as negative if a model is worse than a flat average) describing how well a model's predictions match reality. 1 = perfect predictions; 0 = no better than just guessing the average every time.</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MAE (Mean Absolute Error)</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average size of the model's prediction errors, in the same units as what's being predicted (pChEMBL units here). Smaller is better.</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Z-score</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way of putting different measurements on the same scale by expressing each value as “how many standard deviations above or below the average is this?” Used here so that a Vina docking score (in kcal/mol) and a QSAR score (in pChEMBL units) can be fairly averaged together into one combined score.</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Combined score</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This pipeline's own overall ranking number: the average of the docking z-score and the QSAR z-score, so that candidates need to look good by both methods, not just one, to rank at the top.</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PubChem</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large, free public chemistry database (run by the U.S. National Institutes of Health) that cross-references millions of compounds with data from many sources, including commercial suppliers and patents.</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CID</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PubChem's own unique ID number for a specific chemical structure. Not every molecule has one — if a compound has never been catalogued in PubChem, it has no CID (“status = not_in_pubchem” in this project's output), which for early virtual-screening hits usually means it is a genuinely novel structure not held by any commercial vendor yet.</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Vendor / supplier cross-reference</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PubChem records which outside databases mention a given compound. If a commercial chemical catalog (e.g. Enamine, Mcule, ChemBridge, MolPort) is listed, that is a signal the compound can actually be purchased.</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Patent cross-reference (PatentID)</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PubChem also records which patent documents (mined from full patent text by a partner database called SureChEMBL) mention a compound's exact structure. Zero hits is an encouraging (but not conclusive) sign that a compound is not already patented.</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Freedom to operate (FTO)</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legal/business question of whether a company could sell a product without infringing someone else's patent. This pipeline's patent check is only an early, rough signal toward FTO, not a legal opinion.</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Synthetic Accessibility Score (SAS)</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score (roughly 1–10) estimating how easy or hard a molecule would be for a chemist to actually make in a lab. Lower = easier to synthesize.</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Bertz complexity</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 numeric measure of how structurally complicated a molecule is (branching, ring systems, variety of atoms, etc.). Used with a cutoff (here, the 99th percentile of complexity seen across the ZINC database) to avoid overly baroque, hard-to-make molecules.</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Privileged scaffold</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core molecular framework/shape that shows up again and again across many different successful drugs, across many different protein targets — a mild positive signal, not a requirement.</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Murcko scaffold</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“ring skeleton” of a molecule with side chains stripped away — a standard way of grouping molecules by their core shape so you can tell whether your final candidates are all subtly the same compound or genuinely different chemotypes.</w:t>
            </w:r>
          </w:p>
        </w:tc>
      </w:tr>
      <w:tr>
        <w:tc>
          <w:tcPr>
            <w:tcW w:type="dxa" w:w="205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Chemotype</w:t>
            </w:r>
          </w:p>
        </w:tc>
        <w:tc>
          <w:tcPr>
            <w:tcW w:type="dxa" w:w="730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distinct chemical “family” or core structure. Having several different chemotypes in a shortlist is valuable because if one family later fails (e.g. for toxicity), you have backup candidates that aren't chemically related to the same flaw.</w:t>
            </w:r>
          </w:p>
        </w:tc>
      </w:tr>
      <w:tr>
        <w:tc>
          <w:tcPr>
            <w:tcW w:type="dxa" w:w="205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Enantiomer / stereocenter</w:t>
            </w:r>
          </w:p>
        </w:tc>
        <w:tc>
          <w:tcPr>
            <w:tcW w:type="dxa" w:w="730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Two molecules can have the exact same atoms and bonds but be mirror images of each other (like a left and right hand) — these are enantiomers. The point where the mirroring happens is a stereocenter. Enantiomers usually have near-identical basic chemical properties, so keeping both in a shortlist adds little value.</w:t>
            </w:r>
          </w:p>
        </w:tc>
      </w:tr>
    </w:tbl>
    <w:p>
      <w:r>
        <w:br w:type="page"/>
      </w:r>
    </w:p>
    <w:p>
      <w:pPr>
        <w:pStyle w:val="Heading1"/>
      </w:pPr>
      <w:r>
        <w:t xml:space="preserve">3. How This Report Is Organized</w:t>
      </w:r>
    </w:p>
    <w:p>
      <w:pPr>
        <w:spacing w:after="160"/>
      </w:pPr>
      <w:r>
        <w:t xml:space="preserve">Section 4 below walks through the pipeline one stage at a time, in the exact order the scripts run (01 through 11). Every stage section has the same four parts:</w:t>
      </w:r>
    </w:p>
    <w:p>
      <w:pPr>
        <w:pStyle w:val="ListParagraph"/>
        <w:numPr>
          <w:ilvl w:val="0"/>
          <w:numId w:val="2"/>
        </w:numPr>
        <w:spacing w:after="100"/>
      </w:pPr>
      <w:r>
        <w:t xml:space="preserve">What it does — a plain-language description of the goal of that step.</w:t>
      </w:r>
    </w:p>
    <w:p>
      <w:pPr>
        <w:pStyle w:val="ListParagraph"/>
        <w:numPr>
          <w:ilvl w:val="0"/>
          <w:numId w:val="2"/>
        </w:numPr>
        <w:spacing w:after="100"/>
      </w:pPr>
      <w:r>
        <w:t xml:space="preserve">How it works / what tools it uses — which software libraries or external programs (the project's “skills”) did the work, and the method in everyday terms.</w:t>
      </w:r>
    </w:p>
    <w:p>
      <w:pPr>
        <w:pStyle w:val="ListParagraph"/>
        <w:numPr>
          <w:ilvl w:val="0"/>
          <w:numId w:val="2"/>
        </w:numPr>
        <w:spacing w:after="100"/>
      </w:pPr>
      <w:r>
        <w:t xml:space="preserve">Output file — the exact file this step produced, and how many rows/entries it contains.</w:t>
      </w:r>
    </w:p>
    <w:p>
      <w:pPr>
        <w:pStyle w:val="ListParagraph"/>
        <w:numPr>
          <w:ilvl w:val="0"/>
          <w:numId w:val="2"/>
        </w:numPr>
        <w:spacing w:after="100"/>
      </w:pPr>
      <w:r>
        <w:t xml:space="preserve">Column-by-column guide — every column name in that output file, explained, often with a worked example from the real data.</w:t>
      </w:r>
    </w:p>
    <w:p>
      <w:pPr>
        <w:spacing w:after="160"/>
      </w:pPr>
      <w:r>
        <w:t xml:space="preserve">Section 5 then explains the final results (the 6-candidate shortlist) in full, Section 6 lists honest caveats about what this pipeline can and can't tell you, and Section 7 lists suggested next steps.</w:t>
      </w:r>
    </w:p>
    <w:p>
      <w:r>
        <w:br w:type="page"/>
      </w:r>
    </w:p>
    <w:p>
      <w:pPr>
        <w:pStyle w:val="Heading1"/>
      </w:pPr>
      <w:r>
        <w:t xml:space="preserve">4. The Pipeline, Stage by Stage</w:t>
      </w:r>
    </w:p>
    <w:p>
      <w:pPr>
        <w:pStyle w:val="Heading2"/>
      </w:pPr>
      <w:r>
        <w:t xml:space="preserve">Stage 1: Finding the Exact Spot Where MDM2 Grabs p53</w:t>
      </w:r>
    </w:p>
    <w:p>
      <w:pPr>
        <w:spacing w:after="160"/>
      </w:pPr>
      <w:r>
        <w:rPr>
          <w:b/>
          <w:bCs/>
        </w:rPr>
        <w:t xml:space="preserve">Script: </w:t>
      </w:r>
      <w:r>
        <w:t xml:space="preserve">scripts/01_identify_interface.py</w:t>
      </w:r>
    </w:p>
    <w:p>
      <w:pPr>
        <w:pStyle w:val="Heading3"/>
      </w:pPr>
      <w:r>
        <w:t xml:space="preserve">What it does</w:t>
      </w:r>
    </w:p>
    <w:p>
      <w:pPr>
        <w:spacing w:after="160"/>
      </w:pPr>
      <w:r>
        <w:t xml:space="preserve">Before you can search for a molecule that blocks MDM2 from binding p53, you first need to know exactly which part of the MDM2 surface p53 actually touches — down to the individual amino acid. This script figures that out.</w:t>
      </w:r>
    </w:p>
    <w:p>
      <w:pPr>
        <w:pStyle w:val="Heading3"/>
      </w:pPr>
      <w:r>
        <w:t xml:space="preserve">How it works / tools used</w:t>
      </w:r>
    </w:p>
    <w:p>
      <w:pPr>
        <w:spacing w:after="160"/>
      </w:pPr>
      <w:r>
        <w:t xml:space="preserve">It uses Biopython (a widely used biology-programming toolkit, specifically its Bio.PDB module) to load a real, laboratory-solved 3D structure of MDM2 stuck to a fragment of p53 (a structure from the Protein Data Bank called “1YCR,” solved in 1996). The script scans every atom of the p53 fragment and finds every MDM2 atom within 4.5 Å of it (the standard cutoff distance for “two atoms are touching”). Every MDM2 amino acid with at least one atom that close is recorded as an “interface residue.”</w:t>
      </w:r>
    </w:p>
    <w:p>
      <w:pPr>
        <w:spacing w:after="160"/>
      </w:pPr>
      <w:r>
        <w:t xml:space="preserve">Why not just use AlphaFold for this part? AlphaFold's prediction of p53 by itself is unreliable exactly at the segment that grips MDM2, because in real life that segment of p53 has no fixed shape at all until it touches MDM2 (an “intrinsically disordered region” — see Glossary). So the script instead trusts the real experimental structure for finding the interface, and separately uses an AlphaFold-predicted model of MDM2 alone (which is reliable, since MDM2's shape doesn't depend on p53) as the actual target structure that later docking is performed against. The script double-checks that the amino-acid numbering lines up correctly between the two structures.</w:t>
      </w:r>
    </w:p>
    <w:p>
      <w:pPr>
        <w:pStyle w:val="Heading3"/>
      </w:pPr>
      <w:r>
        <w:t xml:space="preserve">Output file: data/structures/mdm2_p53_interface.json</w:t>
      </w:r>
    </w:p>
    <w:p>
      <w:pPr>
        <w:spacing w:after="160"/>
      </w:pPr>
      <w:r>
        <w:t xml:space="preserve">A small settings/results file (JSON format — a structured text format for storing named values), not a spreadsheet. It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Field</w:t>
            </w:r>
          </w:p>
        </w:tc>
        <w:tc>
          <w:tcPr>
            <w:tcW w:type="dxa" w:w="6739"/>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What it means</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source_complex</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Which real 3D structure the interface was measured from (“1YCR”).</w:t>
            </w:r>
          </w:p>
        </w:tc>
      </w:tr>
      <w:tr>
        <w:tc>
          <w:tcPr>
            <w:tcW w:type="dxa" w:w="262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contact_cutoff_angstrom</w:t>
            </w:r>
          </w:p>
        </w:tc>
        <w:tc>
          <w:tcPr>
            <w:tcW w:type="dxa" w:w="673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distance cutoff used to call two atoms “touching” (4.5 Å).</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mdm2_interface_residues</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list of MDM2 amino acids that touch p53, written as letter+number (e.g. “F91” = Phenylalanine at position 91). This is the pocket.</w:t>
            </w:r>
          </w:p>
        </w:tc>
      </w:tr>
      <w:tr>
        <w:tc>
          <w:tcPr>
            <w:tcW w:type="dxa" w:w="262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mdm2_interface_resnums</w:t>
            </w:r>
          </w:p>
        </w:tc>
        <w:tc>
          <w:tcPr>
            <w:tcW w:type="dxa" w:w="673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same list, but just the position numbers (needed later by other scripts).</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pocket_centroid_xyz</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average 3D coordinate (center point) of those interface residues, measured in 1YCR's own coordinate system.</w:t>
            </w:r>
          </w:p>
        </w:tc>
      </w:tr>
      <w:tr>
        <w:tc>
          <w:tcPr>
            <w:tcW w:type="dxa" w:w="262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p53_peptide_sequence</w:t>
            </w:r>
          </w:p>
        </w:tc>
        <w:tc>
          <w:tcPr>
            <w:tcW w:type="dxa" w:w="673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amino-acid sequence of the small p53 fragment used in the experimental structure.</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p53_key_anchor_residues</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Three p53 amino acids (F19, W23, L26) already well known in the scientific literature as the three “prongs” that plug into MDM2 — recorded here for reference.</w:t>
            </w:r>
          </w:p>
        </w:tc>
      </w:tr>
    </w:tbl>
    <w:p>
      <w:pPr>
        <w:pStyle w:val="Heading2"/>
      </w:pPr>
      <w:r>
        <w:t xml:space="preserve">Stage 2: Filtering 161,216 Candidate Molecules Down to a Manageable Pool</w:t>
      </w:r>
    </w:p>
    <w:p>
      <w:pPr>
        <w:spacing w:after="160"/>
      </w:pPr>
      <w:r>
        <w:rPr>
          <w:b/>
          <w:bCs/>
        </w:rPr>
        <w:t xml:space="preserve">Script: </w:t>
      </w:r>
      <w:r>
        <w:t xml:space="preserve">scripts/02_filter_candidates.py</w:t>
      </w:r>
    </w:p>
    <w:p>
      <w:pPr>
        <w:pStyle w:val="Heading3"/>
      </w:pPr>
      <w:r>
        <w:t xml:space="preserve">What it does</w:t>
      </w:r>
    </w:p>
    <w:p>
      <w:pPr>
        <w:spacing w:after="160"/>
      </w:pPr>
      <w:r>
        <w:t xml:space="preserve">Starting from a large list of candidate molecules pulled from the ZINC database (a public catalog of purchasable chemicals, pre-selected here to a molecular-weight/fattiness range typical of oral drugs), this script throws out anything that clearly wouldn't make a viable drug, then ranks the survivors by how chemically similar they are to molecules already proven to work at this exact pocket.</w:t>
      </w:r>
    </w:p>
    <w:p>
      <w:pPr>
        <w:pStyle w:val="Heading3"/>
      </w:pPr>
      <w:r>
        <w:t xml:space="preserve">How it works / tools used</w:t>
      </w:r>
    </w:p>
    <w:p>
      <w:pPr>
        <w:spacing w:after="160"/>
      </w:pPr>
      <w:r>
        <w:t xml:space="preserve">Uses datamol and RDKit (open-source chemistry toolkits) to read each molecule's SMILES text notation, standardize it (fix inconsistent chemical representations), and compute basic descriptors. Then it checks each molecule against the Rule of Five / Veber drug-likeness windows (see Glossary), and screens out molecules matching known problem patterns using medchem's PAINS and Brenk structural-alert catalogs.</w:t>
      </w:r>
    </w:p>
    <w:p>
      <w:pPr>
        <w:spacing w:after="160"/>
      </w:pPr>
      <w:r>
        <w:t xml:space="preserve">For everything that survives those two filters, it computes an ECFP4 fingerprint (see Glossary) for the molecule and for two real, known MDM2-blocking drugs — Nutlin-3 and idasanutlin — and calculates the Tanimoto similarity between them. This is used only to prioritize candidates (put the most promising ones first), not as a hard pass/fail filter, since a genuinely novel/different chemotype could still work well.</w:t>
      </w:r>
    </w:p>
    <w:p>
      <w:pPr>
        <w:spacing w:after="160"/>
      </w:pPr>
      <w:r>
        <w:t xml:space="preserve">Finally, it builds a 50-compound docking set: the top 30 candidates by similarity to the reference drugs, plus 20 more picked from the remaining pool specifically to be as chemically different from each other as possible (“diversity picking”), so the docking stage isn't wasted testing near-duplicates.</w:t>
      </w:r>
    </w:p>
    <w:p>
      <w:pPr>
        <w:pStyle w:val="Heading3"/>
      </w:pPr>
      <w:r>
        <w:t xml:space="preserve">Output files</w:t>
      </w:r>
    </w:p>
    <w:p>
      <w:pPr>
        <w:pStyle w:val="ListParagraph"/>
        <w:numPr>
          <w:ilvl w:val="0"/>
          <w:numId w:val="2"/>
        </w:numPr>
        <w:spacing w:after="100"/>
      </w:pPr>
      <w:r>
        <w:t xml:space="preserve">data/compounds/zinc_filtered.csv — every molecule that passed the drug-likeness + structural-alert filters, with all descriptors and similarity scores, sorted best-similarity-first.</w:t>
      </w:r>
    </w:p>
    <w:p>
      <w:pPr>
        <w:pStyle w:val="ListParagraph"/>
        <w:numPr>
          <w:ilvl w:val="0"/>
          <w:numId w:val="2"/>
        </w:numPr>
        <w:spacing w:after="100"/>
      </w:pPr>
      <w:r>
        <w:t xml:space="preserve">data/compounds/docking_set.csv — the final 50-compound set chosen for actual docking (superseded/rebuilt cleanly by Stage 3 below).</w:t>
      </w:r>
    </w:p>
    <w:p>
      <w:pPr>
        <w:pStyle w:val="Heading3"/>
      </w:pPr>
      <w:r>
        <w:t xml:space="preserve">Column-by-column guide (zinc_filtered.csv / docking_set.csv)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Column</w:t>
            </w:r>
          </w:p>
        </w:tc>
        <w:tc>
          <w:tcPr>
            <w:tcW w:type="dxa" w:w="7114"/>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What it means</w:t>
            </w:r>
          </w:p>
        </w:tc>
      </w:tr>
      <w:tr>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smiles</w:t>
            </w:r>
          </w:p>
        </w:tc>
        <w:tc>
          <w:tcPr>
            <w:tcW w:type="dxa" w:w="711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molecule's structure, written in SMILES text notation.</w:t>
            </w:r>
          </w:p>
        </w:tc>
      </w:tr>
      <w:tr>
        <w:tc>
          <w:tcPr>
            <w:tcW w:type="dxa" w:w="2246"/>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zinc_id</w:t>
            </w:r>
          </w:p>
        </w:tc>
        <w:tc>
          <w:tcPr>
            <w:tcW w:type="dxa" w:w="7114"/>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molecule's ID number in the ZINC database — use this to look the compound up online.</w:t>
            </w:r>
          </w:p>
        </w:tc>
      </w:tr>
      <w:tr>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druglike_ok</w:t>
            </w:r>
          </w:p>
        </w:tc>
        <w:tc>
          <w:tcPr>
            <w:tcW w:type="dxa" w:w="711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TRUE/FALSE: did the molecule pass the Rule of Five + Veber descriptor window?</w:t>
            </w:r>
          </w:p>
        </w:tc>
      </w:tr>
      <w:tr>
        <w:tc>
          <w:tcPr>
            <w:tcW w:type="dxa" w:w="2246"/>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mw</w:t>
            </w:r>
          </w:p>
        </w:tc>
        <w:tc>
          <w:tcPr>
            <w:tcW w:type="dxa" w:w="7114"/>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Molecular weight, in daltons.</w:t>
            </w:r>
          </w:p>
        </w:tc>
      </w:tr>
      <w:tr>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logp</w:t>
            </w:r>
          </w:p>
        </w:tc>
        <w:tc>
          <w:tcPr>
            <w:tcW w:type="dxa" w:w="711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Predicted fat-solubility (see Glossary).</w:t>
            </w:r>
          </w:p>
        </w:tc>
      </w:tr>
      <w:tr>
        <w:tc>
          <w:tcPr>
            <w:tcW w:type="dxa" w:w="2246"/>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hbd / hba</w:t>
            </w:r>
          </w:p>
        </w:tc>
        <w:tc>
          <w:tcPr>
            <w:tcW w:type="dxa" w:w="7114"/>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Hydrogen bond donor / acceptor counts.</w:t>
            </w:r>
          </w:p>
        </w:tc>
      </w:tr>
      <w:tr>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tpsa</w:t>
            </w:r>
          </w:p>
        </w:tc>
        <w:tc>
          <w:tcPr>
            <w:tcW w:type="dxa" w:w="711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Topological Polar Surface Area, in Å².</w:t>
            </w:r>
          </w:p>
        </w:tc>
      </w:tr>
      <w:tr>
        <w:tc>
          <w:tcPr>
            <w:tcW w:type="dxa" w:w="2246"/>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rotb</w:t>
            </w:r>
          </w:p>
        </w:tc>
        <w:tc>
          <w:tcPr>
            <w:tcW w:type="dxa" w:w="7114"/>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Number of rotatable (freely-spinning) bonds.</w:t>
            </w:r>
          </w:p>
        </w:tc>
      </w:tr>
      <w:tr>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has_alert</w:t>
            </w:r>
          </w:p>
        </w:tc>
        <w:tc>
          <w:tcPr>
            <w:tcW w:type="dxa" w:w="711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TRUE if the molecule matched a PAINS or Brenk problem pattern (these were removed before this file was even written, so this column is normally all FALSE in the saved file).</w:t>
            </w:r>
          </w:p>
        </w:tc>
      </w:tr>
      <w:tr>
        <w:tc>
          <w:tcPr>
            <w:tcW w:type="dxa" w:w="2246"/>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sim_nutlin-3 / sim_idasanutlin</w:t>
            </w:r>
          </w:p>
        </w:tc>
        <w:tc>
          <w:tcPr>
            <w:tcW w:type="dxa" w:w="7114"/>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Tanimoto similarity (0–1) of this molecule's fingerprint to each of the two reference drugs.</w:t>
            </w:r>
          </w:p>
        </w:tc>
      </w:tr>
      <w:tr>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max_ref_similarity</w:t>
            </w:r>
          </w:p>
        </w:tc>
        <w:tc>
          <w:tcPr>
            <w:tcW w:type="dxa" w:w="7114"/>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higher of the two similarity scores above — the main ranking column for this stage.</w:t>
            </w:r>
          </w:p>
        </w:tc>
      </w:tr>
    </w:tbl>
    <w:p>
      <w:pPr>
        <w:pStyle w:val="Heading2"/>
      </w:pPr>
      <w:r>
        <w:t xml:space="preserve">Stage 3: Rebuilding the Docking Set (Bug Fix / Resume Point)</w:t>
      </w:r>
    </w:p>
    <w:p>
      <w:pPr>
        <w:spacing w:after="160"/>
      </w:pPr>
      <w:r>
        <w:rPr>
          <w:b/>
          <w:bCs/>
        </w:rPr>
        <w:t xml:space="preserve">Script: </w:t>
      </w:r>
      <w:r>
        <w:t xml:space="preserve">scripts/03_build_docking_set.py</w:t>
      </w:r>
    </w:p>
    <w:p>
      <w:pPr>
        <w:pStyle w:val="Heading3"/>
      </w:pPr>
      <w:r>
        <w:t xml:space="preserve">What it does</w:t>
      </w:r>
    </w:p>
    <w:p>
      <w:pPr>
        <w:spacing w:after="160"/>
      </w:pPr>
      <w:r>
        <w:t xml:space="preserve">This is a small “resume” script, not a new analysis stage. Stage 2's diversity-picking step (dm.pick_diverse) initially crashed due to a coding bug in how its result was being unpacked. Rather than re-running the entire (slow) Stage 2 filtering from scratch, this script picks up from the already-saved zinc_filtered.csv and simply redoes the final “top-30 similar + 20 diverse” selection correctly.</w:t>
      </w:r>
    </w:p>
    <w:p>
      <w:pPr>
        <w:pStyle w:val="Heading3"/>
      </w:pPr>
      <w:r>
        <w:t xml:space="preserve">How it works / tools used</w:t>
      </w:r>
    </w:p>
    <w:p>
      <w:pPr>
        <w:spacing w:after="160"/>
      </w:pPr>
      <w:r>
        <w:t xml:space="preserve">Same datamol tools as Stage 2 (dm.to_mol to parse molecules, dm.pick_diverse for diversity selection).</w:t>
      </w:r>
    </w:p>
    <w:p>
      <w:pPr>
        <w:pStyle w:val="Heading3"/>
      </w:pPr>
      <w:r>
        <w:t xml:space="preserve">Output file: data/compounds/docking_set.csv</w:t>
      </w:r>
    </w:p>
    <w:p>
      <w:pPr>
        <w:spacing w:after="160"/>
      </w:pPr>
      <w:r>
        <w:t xml:space="preserve">Same columns as described for Stage 2 above — this is the final, corrected 50-molecule set that Stage 5 onward actually uses.</w:t>
      </w:r>
    </w:p>
    <w:p>
      <w:pPr>
        <w:pStyle w:val="Heading2"/>
      </w:pPr>
      <w:r>
        <w:t xml:space="preserve">Stage 4: Preparing MDM2 as a Docking Target</w:t>
      </w:r>
    </w:p>
    <w:p>
      <w:pPr>
        <w:spacing w:after="160"/>
      </w:pPr>
      <w:r>
        <w:rPr>
          <w:b/>
          <w:bCs/>
        </w:rPr>
        <w:t xml:space="preserve">Script: </w:t>
      </w:r>
      <w:r>
        <w:t xml:space="preserve">scripts/04_prepare_receptor.py</w:t>
      </w:r>
    </w:p>
    <w:p>
      <w:pPr>
        <w:pStyle w:val="Heading3"/>
      </w:pPr>
      <w:r>
        <w:t xml:space="preserve">What it does</w:t>
      </w:r>
    </w:p>
    <w:p>
      <w:pPr>
        <w:spacing w:after="160"/>
      </w:pPr>
      <w:r>
        <w:t xml:space="preserve">Converts the AlphaFold-predicted MDM2 structure into the exact file format and “search box” definition that the AutoDock Vina docking program requires.</w:t>
      </w:r>
    </w:p>
    <w:p>
      <w:pPr>
        <w:pStyle w:val="Heading3"/>
      </w:pPr>
      <w:r>
        <w:t xml:space="preserve">How it works / tools used</w:t>
      </w:r>
    </w:p>
    <w:p>
      <w:pPr>
        <w:spacing w:after="160"/>
      </w:pPr>
      <w:r>
        <w:t xml:space="preserve">An important subtlety handled here: Stage 1's pocket center coordinates were measured from the 1YCR experimental structure's own coordinate system, which is a completely different, unrelated 3D coordinate frame from the AlphaFold MDM2 model used for actual docking (even though the amino-acid numbering matches between the two files, their spatial coordinates do not). Using the wrong coordinate frame would tell the docking program to search an empty region of space. This script fixes that by using Biopython to re-find the same interface residues directly on the AlphaFold model and recompute the pocket's center and size (with 10 Å of padding) in the correct coordinate frame.</w:t>
      </w:r>
    </w:p>
    <w:p>
      <w:pPr>
        <w:spacing w:after="160"/>
      </w:pPr>
      <w:r>
        <w:t xml:space="preserve">It then calls an external command-line tool, meeko's mk_prepare_receptor, to actually generate the PDBQT receptor file and the docking search-box parameters that Vina needs.</w:t>
      </w:r>
    </w:p>
    <w:p>
      <w:pPr>
        <w:pStyle w:val="Heading3"/>
      </w:pPr>
      <w:r>
        <w:t xml:space="preserve">Output</w:t>
      </w:r>
    </w:p>
    <w:p>
      <w:pPr>
        <w:pStyle w:val="ListParagraph"/>
        <w:numPr>
          <w:ilvl w:val="0"/>
          <w:numId w:val="2"/>
        </w:numPr>
        <w:spacing w:after="100"/>
      </w:pPr>
      <w:r>
        <w:t xml:space="preserve">data/docking/mdm2_receptor* — the prepared receptor file(s) and box configuration for Vina.</w:t>
      </w:r>
    </w:p>
    <w:p>
      <w:pPr>
        <w:pStyle w:val="ListParagraph"/>
        <w:numPr>
          <w:ilvl w:val="0"/>
          <w:numId w:val="2"/>
        </w:numPr>
        <w:spacing w:after="100"/>
      </w:pPr>
      <w:r>
        <w:t xml:space="preserve">mdm2_p53_interface.json is also updated with two new fields: pocket_centroid_xyz_af_frame (the corrected pocket center) and pocket_box_size_af_frame (the search box dimensions, in Å).</w:t>
      </w:r>
    </w:p>
    <w:p>
      <w:pPr>
        <w:pStyle w:val="Heading2"/>
      </w:pPr>
      <w:r>
        <w:t xml:space="preserve">Stage 5: Preparing the 50 Candidate Molecules for Docking</w:t>
      </w:r>
    </w:p>
    <w:p>
      <w:pPr>
        <w:spacing w:after="160"/>
      </w:pPr>
      <w:r>
        <w:rPr>
          <w:b/>
          <w:bCs/>
        </w:rPr>
        <w:t xml:space="preserve">Script: </w:t>
      </w:r>
      <w:r>
        <w:t xml:space="preserve">scripts/05_prepare_ligands.py</w:t>
      </w:r>
    </w:p>
    <w:p>
      <w:pPr>
        <w:pStyle w:val="Heading3"/>
      </w:pPr>
      <w:r>
        <w:t xml:space="preserve">What it does</w:t>
      </w:r>
    </w:p>
    <w:p>
      <w:pPr>
        <w:spacing w:after="160"/>
      </w:pPr>
      <w:r>
        <w:t xml:space="preserve">Molecules from a chemical database are normally stored as flat 2D structures (which atoms connect to which). Docking needs an actual 3D shape (a “conformer”) for each molecule, plus the same PDBQT format the receptor needs.</w:t>
      </w:r>
    </w:p>
    <w:p>
      <w:pPr>
        <w:pStyle w:val="Heading3"/>
      </w:pPr>
      <w:r>
        <w:t xml:space="preserve">How it works / tools used</w:t>
      </w:r>
    </w:p>
    <w:p>
      <w:pPr>
        <w:spacing w:after="160"/>
      </w:pPr>
      <w:r>
        <w:t xml:space="preserve">For each of the 50 candidates, datamol generates one reasonable 3D conformer and energy-minimizes it (relaxes it into a low-energy, physically sensible shape) using a standard molecular mechanics force field called MMFF94s. Hydrogen atoms are then explicitly added. All 50 3D structures are saved together in one SDF file (a standard multi-molecule chemistry file format), then converted one-by-one into individual PDBQT ligand files using meeko's mk_prepare_ligand tool, which also automatically works out which bonds should be treated as rotatable during docking.</w:t>
      </w:r>
    </w:p>
    <w:p>
      <w:pPr>
        <w:pStyle w:val="Heading3"/>
      </w:pPr>
      <w:r>
        <w:t xml:space="preserve">Output</w:t>
      </w:r>
    </w:p>
    <w:p>
      <w:pPr>
        <w:pStyle w:val="ListParagraph"/>
        <w:numPr>
          <w:ilvl w:val="0"/>
          <w:numId w:val="2"/>
        </w:numPr>
        <w:spacing w:after="100"/>
      </w:pPr>
      <w:r>
        <w:t xml:space="preserve">data/docking/ligands_3d.sdf — all 50 candidates as 3D structures.</w:t>
      </w:r>
    </w:p>
    <w:p>
      <w:pPr>
        <w:pStyle w:val="ListParagraph"/>
        <w:numPr>
          <w:ilvl w:val="0"/>
          <w:numId w:val="2"/>
        </w:numPr>
        <w:spacing w:after="100"/>
      </w:pPr>
      <w:r>
        <w:t xml:space="preserve">data/docking/ligands_pdbqt/ — one PDBQT file per candidate, ready for Vina.</w:t>
      </w:r>
    </w:p>
    <w:p>
      <w:pPr>
        <w:pStyle w:val="Heading2"/>
      </w:pPr>
      <w:r>
        <w:t xml:space="preserve">Stage 6: Running the Docking Predictions and Ranking the Results</w:t>
      </w:r>
    </w:p>
    <w:p>
      <w:pPr>
        <w:spacing w:after="160"/>
      </w:pPr>
      <w:r>
        <w:rPr>
          <w:b/>
          <w:bCs/>
        </w:rPr>
        <w:t xml:space="preserve">Script: </w:t>
      </w:r>
      <w:r>
        <w:t xml:space="preserve">scripts/06_rank_docking_results.py</w:t>
      </w:r>
    </w:p>
    <w:p>
      <w:pPr>
        <w:pStyle w:val="Heading3"/>
      </w:pPr>
      <w:r>
        <w:t xml:space="preserve">What it does</w:t>
      </w:r>
    </w:p>
    <w:p>
      <w:pPr>
        <w:spacing w:after="160"/>
      </w:pPr>
      <w:r>
        <w:t xml:space="preserve">(AutoDock Vina itself was run separately, outside this specific script, producing one output pose file per candidate in data/docking/poses/ — the log of that run is saved at results/reports/vina_batch.log.) This script reads all of Vina's raw output files, pulls out each molecule's best predicted binding score, and merges that with the molecule's properties into one ranked table.</w:t>
      </w:r>
    </w:p>
    <w:p>
      <w:pPr>
        <w:pStyle w:val="Heading3"/>
      </w:pPr>
      <w:r>
        <w:t xml:space="preserve">How it works / tools used</w:t>
      </w:r>
    </w:p>
    <w:p>
      <w:pPr>
        <w:spacing w:after="160"/>
      </w:pPr>
      <w:r>
        <w:t xml:space="preserve">Vina writes each candidate's results as a PDBQT file containing one or more “poses” (candidate 3D orientations inside the pocket), each with a line reading “REMARK VINA RESULT: &lt;score&gt;”. Poses are always listed best-first, so the script just reads the first such line per file to get each molecule's best (most negative / most favorable) predicted binding affinity. It then merges this onto the docking_set.csv properties table and sorts everything from best to worst predicted binder.</w:t>
      </w:r>
    </w:p>
    <w:p>
      <w:pPr>
        <w:pStyle w:val="Heading3"/>
      </w:pPr>
      <w:r>
        <w:t xml:space="preserve">Output file: results/rankings/docking_ranked.csv (50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Column</w:t>
            </w:r>
          </w:p>
        </w:tc>
        <w:tc>
          <w:tcPr>
            <w:tcW w:type="dxa" w:w="6365"/>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What it means</w:t>
            </w:r>
          </w:p>
        </w:tc>
      </w:tr>
      <w:tr>
        <w:tc>
          <w:tcPr>
            <w:tcW w:type="dxa" w:w="299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docking_rank</w:t>
            </w:r>
          </w:p>
        </w:tc>
        <w:tc>
          <w:tcPr>
            <w:tcW w:type="dxa" w:w="636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1 = best predicted docking score in this batch of 50, and so on.</w:t>
            </w:r>
          </w:p>
        </w:tc>
      </w:tr>
      <w:tr>
        <w:tc>
          <w:tcPr>
            <w:tcW w:type="dxa" w:w="2995"/>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zinc_id, smiles, mw, logp, hbd, hba, tpsa, rotb, has_alert, sim_*, max_ref_similarity, druglike_ok</w:t>
            </w:r>
          </w:p>
        </w:tc>
        <w:tc>
          <w:tcPr>
            <w:tcW w:type="dxa" w:w="6365"/>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Carried over unchanged from the docking set (see Stage 2 table above).</w:t>
            </w:r>
          </w:p>
        </w:tc>
      </w:tr>
      <w:tr>
        <w:tc>
          <w:tcPr>
            <w:tcW w:type="dxa" w:w="299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vina_affinity_kcal_mol</w:t>
            </w:r>
          </w:p>
        </w:tc>
        <w:tc>
          <w:tcPr>
            <w:tcW w:type="dxa" w:w="636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AutoDock Vina's predicted binding affinity for this molecule's best pose, in kilocalories per mole. More negative = predicted to bind MDM2's pocket more tightly. Typical useful hits in this project range roughly −7 to −8.4 kcal/mol.</w:t>
            </w:r>
          </w:p>
        </w:tc>
      </w:tr>
    </w:tbl>
    <w:p>
      <w:pPr>
        <w:pStyle w:val="Heading2"/>
      </w:pPr>
      <w:r>
        <w:t xml:space="preserve">Stage 7: Adding a Machine-Learning Potency Prediction (QSAR)</w:t>
      </w:r>
    </w:p>
    <w:p>
      <w:pPr>
        <w:spacing w:after="160"/>
      </w:pPr>
      <w:r>
        <w:rPr>
          <w:b/>
          <w:bCs/>
        </w:rPr>
        <w:t xml:space="preserve">Script: </w:t>
      </w:r>
      <w:r>
        <w:t xml:space="preserve">scripts/07_train_qsar_model.py</w:t>
      </w:r>
    </w:p>
    <w:p>
      <w:pPr>
        <w:pStyle w:val="Heading3"/>
      </w:pPr>
      <w:r>
        <w:t xml:space="preserve">What it does</w:t>
      </w:r>
    </w:p>
    <w:p>
      <w:pPr>
        <w:spacing w:after="160"/>
      </w:pPr>
      <w:r>
        <w:t xml:space="preserve">Docking scores are a useful but fairly crude “does it fit the pocket” estimate. This stage adds a second, independent line of evidence: a machine-learning model trained on real, previously measured lab potency data for other molecules tested against MDM2, then used to predict potency for the 50 candidates.</w:t>
      </w:r>
    </w:p>
    <w:p>
      <w:pPr>
        <w:pStyle w:val="Heading3"/>
      </w:pPr>
      <w:r>
        <w:t xml:space="preserve">How it works / tools used</w:t>
      </w:r>
    </w:p>
    <w:p>
      <w:pPr>
        <w:spacing w:after="160"/>
      </w:pPr>
      <w:r>
        <w:t xml:space="preserve">Training data comes from ChEMBL (a public database of real experimentally-measured drug bioactivity), specifically records against MDM2 (ChEMBL target ID CHEMBL5023), combining a batch of very potent known compounds with a batch of only moderately potent ones (1–100 micromolar) so the model isn't only ever shown “great” examples. Multiple lab measurements for the same molecule are averaged into one pChEMBL value per compound.</w:t>
      </w:r>
    </w:p>
    <w:p>
      <w:pPr>
        <w:spacing w:after="160"/>
      </w:pPr>
      <w:r>
        <w:t xml:space="preserve">Each training molecule is converted into an ECFP fingerprint (2048-bit, radius 2 — the same style of fingerprint used in Stage 2) using datamol, and a Random Forest regression model (500 trees) from the widely used scikit-learn machine-learning library is trained to predict pChEMBL potency from the fingerprint. The model's honesty is checked with 5-fold cross-validation (see Glossary) before trusting it on new molecules, reporting an R² and MAE score in the terminal log.</w:t>
      </w:r>
    </w:p>
    <w:p>
      <w:pPr>
        <w:spacing w:after="160"/>
      </w:pPr>
      <w:r>
        <w:t xml:space="preserve">The trained model is then applied to the 50 docking candidates to get a predicted pChEMBL for each. Finally, since the docking score (kcal/mol, lower=better) and the QSAR score (pChEMBL, higher=better) are on completely different scales, both are converted to z-scores (see Glossary) and averaged into one combined_score, which becomes the pipeline's main overall ranking from this point forward.</w:t>
      </w:r>
    </w:p>
    <w:p>
      <w:pPr>
        <w:pStyle w:val="Heading3"/>
      </w:pPr>
      <w:r>
        <w:t xml:space="preserve">Output file: results/rankings/docking_ranked_with_qsar.csv (50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Column</w:t>
            </w:r>
          </w:p>
        </w:tc>
        <w:tc>
          <w:tcPr>
            <w:tcW w:type="dxa" w:w="6552"/>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What it means</w:t>
            </w:r>
          </w:p>
        </w:tc>
      </w:tr>
      <w:tr>
        <w:tc>
          <w:tcPr>
            <w:tcW w:type="dxa" w:w="28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combined_rank</w:t>
            </w:r>
          </w:p>
        </w:tc>
        <w:tc>
          <w:tcPr>
            <w:tcW w:type="dxa" w:w="655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1 = best overall combined_score in this batch of 50. This becomes the pipeline's main ranking from here on.</w:t>
            </w:r>
          </w:p>
        </w:tc>
      </w:tr>
      <w:tr>
        <w:tc>
          <w:tcPr>
            <w:tcW w:type="dxa" w:w="2808"/>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docking_rank, zinc_id, smiles, mw, logp, ..., vina_affinity_kcal_mol</w:t>
            </w:r>
          </w:p>
        </w:tc>
        <w:tc>
          <w:tcPr>
            <w:tcW w:type="dxa" w:w="655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Carried over from Stage 6 (see table above).</w:t>
            </w:r>
          </w:p>
        </w:tc>
      </w:tr>
      <w:tr>
        <w:tc>
          <w:tcPr>
            <w:tcW w:type="dxa" w:w="28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qsar_pred_pchembl</w:t>
            </w:r>
          </w:p>
        </w:tc>
        <w:tc>
          <w:tcPr>
            <w:tcW w:type="dxa" w:w="655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QSAR model's predicted potency for this molecule, in pChEMBL units. Higher = predicted more potent (see Glossary for how pChEMBL relates to real-world concentrations).</w:t>
            </w:r>
          </w:p>
        </w:tc>
      </w:tr>
      <w:tr>
        <w:tc>
          <w:tcPr>
            <w:tcW w:type="dxa" w:w="2808"/>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combined_score</w:t>
            </w:r>
          </w:p>
        </w:tc>
        <w:tc>
          <w:tcPr>
            <w:tcW w:type="dxa" w:w="655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average of the docking z-score and the QSAR z-score. Higher = better by both methods combined. This is an internal, unitless ranking number, not a real physical measurement.</w:t>
            </w:r>
          </w:p>
        </w:tc>
      </w:tr>
    </w:tbl>
    <w:p>
      <w:pPr>
        <w:pStyle w:val="Heading2"/>
      </w:pPr>
      <w:r>
        <w:t xml:space="preserve">Stage 8: Can You Actually Buy These Molecules? (Supplier Check)</w:t>
      </w:r>
    </w:p>
    <w:p>
      <w:pPr>
        <w:spacing w:after="160"/>
      </w:pPr>
      <w:r>
        <w:rPr>
          <w:b/>
          <w:bCs/>
        </w:rPr>
        <w:t xml:space="preserve">Script: </w:t>
      </w:r>
      <w:r>
        <w:t xml:space="preserve">scripts/08_check_supplier_availability.py</w:t>
      </w:r>
    </w:p>
    <w:p>
      <w:pPr>
        <w:pStyle w:val="Heading3"/>
      </w:pPr>
      <w:r>
        <w:t xml:space="preserve">What it does</w:t>
      </w:r>
    </w:p>
    <w:p>
      <w:pPr>
        <w:spacing w:after="160"/>
      </w:pPr>
      <w:r>
        <w:t xml:space="preserve">A great-scoring virtual candidate is useless if it can't actually be purchased for lab testing. This stage checks real-world commercial availability for the top 15 candidates by combined_score.</w:t>
      </w:r>
    </w:p>
    <w:p>
      <w:pPr>
        <w:pStyle w:val="Heading3"/>
      </w:pPr>
      <w:r>
        <w:t xml:space="preserve">How it works / tools used</w:t>
      </w:r>
    </w:p>
    <w:p>
      <w:pPr>
        <w:spacing w:after="160"/>
      </w:pPr>
      <w:r>
        <w:t xml:space="preserve">ZINC's own website now blocks automated lookups with a CAPTCHA, so this script instead queries the PubChem PUG REST API (a free public web service) directly, using Python's requests library. For each candidate: (1) it looks up the molecule's SMILES to find its PubChem CID (PubChem's own ID number, if the compound is even in PubChem at all); (2) if found, it retrieves that CID's list of cross-referenced outside data sources; (3) it checks whether any of those sources are known commercial chemical vendors (a fixed list including Enamine, MolPort, Mcule, ChemBridge, and others). The script pauses briefly (0.35 seconds) between requests to respect PubChem's rate-limit guidance.</w:t>
      </w:r>
    </w:p>
    <w:p>
      <w:pPr>
        <w:pStyle w:val="Heading3"/>
      </w:pPr>
      <w:r>
        <w:t xml:space="preserve">Output file: results/rankings/top_candidates_supplier_check.csv (15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Column</w:t>
            </w:r>
          </w:p>
        </w:tc>
        <w:tc>
          <w:tcPr>
            <w:tcW w:type="dxa" w:w="6739"/>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What it means</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(all Stage 7 columns)</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Carried over for the top 15 candidates by combined_rank.</w:t>
            </w:r>
          </w:p>
        </w:tc>
      </w:tr>
      <w:tr>
        <w:tc>
          <w:tcPr>
            <w:tcW w:type="dxa" w:w="262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pubchem_status</w:t>
            </w:r>
          </w:p>
        </w:tc>
        <w:tc>
          <w:tcPr>
            <w:tcW w:type="dxa" w:w="673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“found” = the exact structure exists in PubChem; “not_in_pubchem” = PubChem returned no match (often means the molecule is a genuinely novel/uncatalogued structure); “lookup_error” = the web request itself failed.</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pubchem_cid</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PubChem's ID number for this molecule, if found (blank/NaN otherwise). You can look up e.g. pubchem.ncbi.nlm.nih.gov/compound/&lt;cid&gt; in a browser.</w:t>
            </w:r>
          </w:p>
        </w:tc>
      </w:tr>
      <w:tr>
        <w:tc>
          <w:tcPr>
            <w:tcW w:type="dxa" w:w="262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n_vendor_sources</w:t>
            </w:r>
          </w:p>
        </w:tc>
        <w:tc>
          <w:tcPr>
            <w:tcW w:type="dxa" w:w="673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How many known commercial vendor databases list this exact compound.</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vendor_sources</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The actual vendor names found (e.g. “Enamine; MolPort”).</w:t>
            </w:r>
          </w:p>
        </w:tc>
      </w:tr>
      <w:tr>
        <w:tc>
          <w:tcPr>
            <w:tcW w:type="dxa" w:w="262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likely_purchasable</w:t>
            </w:r>
          </w:p>
        </w:tc>
        <w:tc>
          <w:tcPr>
            <w:tcW w:type="dxa" w:w="673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TRUE if at least one known vendor was found — the main pass/fail signal from this stage.</w:t>
            </w:r>
          </w:p>
        </w:tc>
      </w:tr>
    </w:tbl>
    <w:p>
      <w:pPr>
        <w:pStyle w:val="Heading2"/>
      </w:pPr>
      <w:r>
        <w:t xml:space="preserve">Stage 9: Is This Molecule Already Patented? (Early Freedom-to-Operate Check)</w:t>
      </w:r>
    </w:p>
    <w:p>
      <w:pPr>
        <w:spacing w:after="160"/>
      </w:pPr>
      <w:r>
        <w:rPr>
          <w:b/>
          <w:bCs/>
        </w:rPr>
        <w:t xml:space="preserve">Script: </w:t>
      </w:r>
      <w:r>
        <w:t xml:space="preserve">scripts/09_check_patent_landscape.py</w:t>
      </w:r>
    </w:p>
    <w:p>
      <w:pPr>
        <w:pStyle w:val="Heading3"/>
      </w:pPr>
      <w:r>
        <w:t xml:space="preserve">What it does</w:t>
      </w:r>
    </w:p>
    <w:p>
      <w:pPr>
        <w:spacing w:after="160"/>
      </w:pPr>
      <w:r>
        <w:t xml:space="preserve">Even a purchasable, well-scoring molecule may not be commercially usable if someone else already holds a patent on it. This stage gives an early, rough signal on that question for every candidate that has a resolved PubChem CID (compounds with no CID at all can't be checked this way, but also have no supplier path anyway, so they were already excluded from consideration by Stage 8).</w:t>
      </w:r>
    </w:p>
    <w:p>
      <w:pPr>
        <w:pStyle w:val="Heading3"/>
      </w:pPr>
      <w:r>
        <w:t xml:space="preserve">How it works / tools used</w:t>
      </w:r>
    </w:p>
    <w:p>
      <w:pPr>
        <w:spacing w:after="160"/>
      </w:pPr>
      <w:r>
        <w:t xml:space="preserve">Again using the PubChem PUG REST API, this time requesting each CID's PatentID cross-references. These come from SureChEMBL, a database that automatically mines the full text of patent documents worldwide for chemical structures. If a compound's exact structure has never turned up in that mining process, that is a useful (not conclusive) early sign that the molecule isn't already claimed by an existing patent.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4F8FB" w:val="clear"/>
            <w:tcMar>
              <w:top w:type="dxa" w:w="140"/>
              <w:left w:type="dxa" w:w="200"/>
              <w:bottom w:type="dxa" w:w="140"/>
              <w:right w:type="dxa" w:w="200"/>
            </w:tcMar>
          </w:tcPr>
          <w:p>
            <w:pPr>
              <w:spacing w:after="80"/>
            </w:pPr>
            <w:r>
              <w:rPr>
                <w:b/>
                <w:bCs/>
              </w:rPr>
              <w:t xml:space="preserve">Important limitation</w:t>
            </w:r>
          </w:p>
          <w:p>
            <w:pPr>
              <w:spacing w:after="60"/>
            </w:pPr>
            <w:r>
              <w:t xml:space="preserve">Zero patent cross-references is NOT a formal legal freedom-to-operate (FTO) clearance. Patents can claim broad chemical families (“Markush structures”) that cover a molecule's structure without ever writing out that exact structure in the patent text, so SureChEMBL's text-mining approach can miss those. A real FTO opinion requires an attorney to manually search active patent claims.</w:t>
            </w:r>
          </w:p>
        </w:tc>
      </w:tr>
    </w:tbl>
    <w:p>
      <w:pPr>
        <w:pStyle w:val="Heading3"/>
      </w:pPr>
      <w:r>
        <w:t xml:space="preserve">Output file: results/rankings/top_candidates_patent_check.csv (15 rows, 9 actually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Column</w:t>
            </w:r>
          </w:p>
        </w:tc>
        <w:tc>
          <w:tcPr>
            <w:tcW w:type="dxa" w:w="6739"/>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What it means</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(all Stage 8 columns)</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Carried over.</w:t>
            </w:r>
          </w:p>
        </w:tc>
      </w:tr>
      <w:tr>
        <w:tc>
          <w:tcPr>
            <w:tcW w:type="dxa" w:w="262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n_patents</w:t>
            </w:r>
          </w:p>
        </w:tc>
        <w:tc>
          <w:tcPr>
            <w:tcW w:type="dxa" w:w="673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How many patent documents SureChEMBL found mentioning this exact structure. Blank if the compound had no PubChem CID to check.</w:t>
            </w:r>
          </w:p>
        </w:tc>
      </w:tr>
      <w:tr>
        <w:tc>
          <w:tcPr>
            <w:tcW w:type="dxa" w:w="2621"/>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sample_patent_ids</w:t>
            </w:r>
          </w:p>
        </w:tc>
        <w:tc>
          <w:tcPr>
            <w:tcW w:type="dxa" w:w="673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Up to 5 example patent ID numbers, if any were found.</w:t>
            </w:r>
          </w:p>
        </w:tc>
      </w:tr>
      <w:tr>
        <w:tc>
          <w:tcPr>
            <w:tcW w:type="dxa" w:w="2621"/>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likely_clear_ip</w:t>
            </w:r>
          </w:p>
        </w:tc>
        <w:tc>
          <w:tcPr>
            <w:tcW w:type="dxa" w:w="673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TRUE if n_patents is exactly 0 — the main pass/fail signal from this stage (with the caveat above).</w:t>
            </w:r>
          </w:p>
        </w:tc>
      </w:tr>
    </w:tbl>
    <w:p>
      <w:pPr>
        <w:pStyle w:val="Heading2"/>
      </w:pPr>
      <w:r>
        <w:t xml:space="preserve">Stage 10: Full Medicinal-Chemistry Quality Check on the 7 Survivors</w:t>
      </w:r>
    </w:p>
    <w:p>
      <w:pPr>
        <w:spacing w:after="160"/>
      </w:pPr>
      <w:r>
        <w:rPr>
          <w:b/>
          <w:bCs/>
        </w:rPr>
        <w:t xml:space="preserve">Script: </w:t>
      </w:r>
      <w:r>
        <w:t xml:space="preserve">scripts/10_lead_optimization_profile.py</w:t>
      </w:r>
    </w:p>
    <w:p>
      <w:pPr>
        <w:pStyle w:val="Heading3"/>
      </w:pPr>
      <w:r>
        <w:t xml:space="preserve">What it does</w:t>
      </w:r>
    </w:p>
    <w:p>
      <w:pPr>
        <w:spacing w:after="160"/>
      </w:pPr>
      <w:r>
        <w:t xml:space="preserve">Of the candidates checked so far, 7 passed every prior gate (drug-like, purchasable, and showing zero patent cross-references). This stage puts those 7 through a much more thorough battery of medicinal-chemistry quality checks that real drug-discovery teams use to judge whether a hit is worth advancing, going well beyond the basic Rule-of-Five check from Stage 2.</w:t>
      </w:r>
    </w:p>
    <w:p>
      <w:pPr>
        <w:pStyle w:val="Heading3"/>
      </w:pPr>
      <w:r>
        <w:t xml:space="preserve">How it works / tools used</w:t>
      </w:r>
    </w:p>
    <w:p>
      <w:pPr>
        <w:spacing w:after="160"/>
      </w:pPr>
      <w:r>
        <w:t xml:space="preserve">Uses the medchem library's rule engines to re-check Rule of Five, Veber, lead-like (soft), and the CNS descriptor rule; runs the NIBR structural-alert/screening-deck filter (with its own severity score, and specific reasons when something is flagged); runs a separate “common alerts” structural-alert catalog; computes a Synthetic Accessibility Score (SAS) via datamol (estimating how hard each molecule would be to actually make in a lab); checks whether each molecule's structural complexity (Bertz complexity) falls below the 99th-percentile cutoff seen across the ZINC database (i.e. isn't unusually over-complicated); checks each molecule against a catalog of “privileged scaffolds” (core shapes known to recur across many successful drugs); and finally computes each molecule's Murcko scaffold (its stripped-down ring skeleton) via RDKit, so the 7 survivors can be grouped by how chemically distinct they really are from each other.</w:t>
      </w:r>
    </w:p>
    <w:p>
      <w:pPr>
        <w:spacing w:after="160"/>
      </w:pPr>
      <w:r>
        <w:t xml:space="preserve">Note: the molfeat library (originally planned for featurization) turned out to be incompatible with this project's Python 3.11 environment, so datamol + RDKit were used directly instead — they cover the same descriptor/fingerprint functionality molfeat would otherwise have wrapped.</w:t>
      </w:r>
    </w:p>
    <w:p>
      <w:pPr>
        <w:pStyle w:val="Heading3"/>
      </w:pPr>
      <w:r>
        <w:t xml:space="preserve">Output file: results/rankings/lead_optimization_profile.csv (7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Column</w:t>
            </w:r>
          </w:p>
        </w:tc>
        <w:tc>
          <w:tcPr>
            <w:tcW w:type="dxa" w:w="6552"/>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What it means</w:t>
            </w:r>
          </w:p>
        </w:tc>
      </w:tr>
      <w:tr>
        <w:tc>
          <w:tcPr>
            <w:tcW w:type="dxa" w:w="28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(all Stage 9 columns)</w:t>
            </w:r>
          </w:p>
        </w:tc>
        <w:tc>
          <w:tcPr>
            <w:tcW w:type="dxa" w:w="655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Carried over for the 7 IP-clear survivors.</w:t>
            </w:r>
          </w:p>
        </w:tc>
      </w:tr>
      <w:tr>
        <w:tc>
          <w:tcPr>
            <w:tcW w:type="dxa" w:w="2808"/>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rule_of_five, rule_of_veber, rule_of_leadlike_soft, rule_of_cns</w:t>
            </w:r>
          </w:p>
        </w:tc>
        <w:tc>
          <w:tcPr>
            <w:tcW w:type="dxa" w:w="655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TRUE/FALSE pass/fail for each named drug-likeness rule set (see Glossary for each).</w:t>
            </w:r>
          </w:p>
        </w:tc>
      </w:tr>
      <w:tr>
        <w:tc>
          <w:tcPr>
            <w:tcW w:type="dxa" w:w="28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nibr_pass</w:t>
            </w:r>
          </w:p>
        </w:tc>
        <w:tc>
          <w:tcPr>
            <w:tcW w:type="dxa" w:w="655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TRUE/FALSE: did the molecule pass the NIBR screening-deck filter?</w:t>
            </w:r>
          </w:p>
        </w:tc>
      </w:tr>
      <w:tr>
        <w:tc>
          <w:tcPr>
            <w:tcW w:type="dxa" w:w="2808"/>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nibr_severity</w:t>
            </w:r>
          </w:p>
        </w:tc>
        <w:tc>
          <w:tcPr>
            <w:tcW w:type="dxa" w:w="655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 numeric severity score for any NIBR flags raised (0 = no concerns).</w:t>
            </w:r>
          </w:p>
        </w:tc>
      </w:tr>
      <w:tr>
        <w:tc>
          <w:tcPr>
            <w:tcW w:type="dxa" w:w="28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nibr_reasons</w:t>
            </w:r>
          </w:p>
        </w:tc>
        <w:tc>
          <w:tcPr>
            <w:tcW w:type="dxa" w:w="655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Plain-text reasons for any NIBR flag, if nibr_pass is FALSE.</w:t>
            </w:r>
          </w:p>
        </w:tc>
      </w:tr>
      <w:tr>
        <w:tc>
          <w:tcPr>
            <w:tcW w:type="dxa" w:w="2808"/>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common_alerts_pass / common_alerts_reasons</w:t>
            </w:r>
          </w:p>
        </w:tc>
        <w:tc>
          <w:tcPr>
            <w:tcW w:type="dxa" w:w="655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Same idea, for a second, independent structural-alert catalog.</w:t>
            </w:r>
          </w:p>
        </w:tc>
      </w:tr>
      <w:tr>
        <w:tc>
          <w:tcPr>
            <w:tcW w:type="dxa" w:w="28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sas_score</w:t>
            </w:r>
          </w:p>
        </w:tc>
        <w:tc>
          <w:tcPr>
            <w:tcW w:type="dxa" w:w="655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Synthetic Accessibility Score (roughly 1–10). Lower means easier to make in a lab; all 6 final candidates score 2.3–3.2, which is excellent.</w:t>
            </w:r>
          </w:p>
        </w:tc>
      </w:tr>
      <w:tr>
        <w:tc>
          <w:tcPr>
            <w:tcW w:type="dxa" w:w="2808"/>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bertz_complexity_ok_p99</w:t>
            </w:r>
          </w:p>
        </w:tc>
        <w:tc>
          <w:tcPr>
            <w:tcW w:type="dxa" w:w="655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TRUE if the molecule's structural complexity is below the 99th-percentile threshold calibrated on the ZINC database (i.e. not unusually over-engineered).</w:t>
            </w:r>
          </w:p>
        </w:tc>
      </w:tr>
      <w:tr>
        <w:tc>
          <w:tcPr>
            <w:tcW w:type="dxa" w:w="280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has_privileged_scaffold</w:t>
            </w:r>
          </w:p>
        </w:tc>
        <w:tc>
          <w:tcPr>
            <w:tcW w:type="dxa" w:w="655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TRUE if the molecule's core structure matches a catalog of shapes known to recur across many successful drugs (a bonus signal, not a requirement).</w:t>
            </w:r>
          </w:p>
        </w:tc>
      </w:tr>
      <w:tr>
        <w:tc>
          <w:tcPr>
            <w:tcW w:type="dxa" w:w="2808"/>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murcko_scaffold</w:t>
            </w:r>
          </w:p>
        </w:tc>
        <w:tc>
          <w:tcPr>
            <w:tcW w:type="dxa" w:w="655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The molecule's core ring skeleton (as a SMILES string), used to group/compare candidates by their fundamental chemical family.</w:t>
            </w:r>
          </w:p>
        </w:tc>
      </w:tr>
    </w:tbl>
    <w:p>
      <w:pPr>
        <w:pStyle w:val="Heading2"/>
      </w:pPr>
      <w:r>
        <w:t xml:space="preserve">Stage 11: Building the Final Shortlist</w:t>
      </w:r>
    </w:p>
    <w:p>
      <w:pPr>
        <w:spacing w:after="160"/>
      </w:pPr>
      <w:r>
        <w:rPr>
          <w:b/>
          <w:bCs/>
        </w:rPr>
        <w:t xml:space="preserve">Script: </w:t>
      </w:r>
      <w:r>
        <w:t xml:space="preserve">scripts/11_final_shortlist.py</w:t>
      </w:r>
    </w:p>
    <w:p>
      <w:pPr>
        <w:pStyle w:val="Heading3"/>
      </w:pPr>
      <w:r>
        <w:t xml:space="preserve">What it does</w:t>
      </w:r>
    </w:p>
    <w:p>
      <w:pPr>
        <w:spacing w:after="160"/>
      </w:pPr>
      <w:r>
        <w:t xml:space="preserve">The last step: looking at the 7 survivors' Murcko scaffolds from Stage 10, two of them (ZINC5030661 and ZINC5030666) turned out to be enantiomers of each other — the exact same atoms and bonds, differing only in one mirror-image 3D arrangement (see Glossary: Enantiomer). Their computed properties (molecular weight, logP, SAS, complexity) are essentially identical. Keeping both in a shortlist would waste a synthesis/testing slot on a near-duplicate rather than a genuinely different backup chemotype, so this script removes the weaker-scoring one of the pair.</w:t>
      </w:r>
    </w:p>
    <w:p>
      <w:pPr>
        <w:pStyle w:val="Heading3"/>
      </w:pPr>
      <w:r>
        <w:t xml:space="preserve">How it works / tools used</w:t>
      </w:r>
    </w:p>
    <w:p>
      <w:pPr>
        <w:spacing w:after="160"/>
      </w:pPr>
      <w:r>
        <w:t xml:space="preserve">A short, simple pandas (a standard Python data-table library) filtering script: it drops ZINC5030666 (the lower-ranked, weaker-docking enantiomer, combined_rank 15) and keeps ZINC5030661 (combined_rank 13), then re-saves the remaining 6 rows sorted by combined_rank, along with a printed scaffold-diversity check confirming all 6 remaining candidates have distinct Murcko scaffolds.</w:t>
      </w:r>
    </w:p>
    <w:p>
      <w:pPr>
        <w:pStyle w:val="Heading3"/>
      </w:pPr>
      <w:r>
        <w:t xml:space="preserve">Output file: results/rankings/final_shortlist.csv (6 rows)</w:t>
      </w:r>
    </w:p>
    <w:p>
      <w:pPr>
        <w:spacing w:after="160"/>
      </w:pPr>
      <w:r>
        <w:t xml:space="preserve">Exactly the same columns as Stage 10's lead_optimization_profile.csv (see table above), just with the redundant enantiomer removed and re-sorted. This is the project's final deliverable list of candidates.</w:t>
      </w:r>
    </w:p>
    <w:p>
      <w:r>
        <w:br w:type="page"/>
      </w:r>
    </w:p>
    <w:p>
      <w:pPr>
        <w:pStyle w:val="Heading1"/>
      </w:pPr>
      <w:r>
        <w:t xml:space="preserve">5. The Final Results: 6 Shortlisted Candidates</w:t>
      </w:r>
    </w:p>
    <w:p>
      <w:pPr>
        <w:spacing w:after="160"/>
      </w:pPr>
      <w:r>
        <w:t xml:space="preserve">Out of 161,216 candidate molecules that started this pipeline, these 6 survived every single filtering stage — drug-likeness, no structural chemistry red flags, favorable docking + machine-learning potency scores, real commercial purchasability, no existing patent hits, and passing the full medicinal-chemistry quality battery — while also being 6 chemically distinct core scaffolds rather than near-duplicates of one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310"/>
        <w:gridCol w:w="1123"/>
        <w:gridCol w:w="1030"/>
        <w:gridCol w:w="2246"/>
        <w:gridCol w:w="842"/>
        <w:gridCol w:w="655"/>
        <w:gridCol w:w="1405"/>
      </w:tblGrid>
      <w:tr>
        <w:trPr>
          <w:tblHeader/>
        </w:trPr>
        <w:tc>
          <w:tcPr>
            <w:tcW w:type="dxa" w:w="749"/>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Rank</w:t>
            </w:r>
          </w:p>
        </w:tc>
        <w:tc>
          <w:tcPr>
            <w:tcW w:type="dxa" w:w="131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ZINC ID</w:t>
            </w:r>
          </w:p>
        </w:tc>
        <w:tc>
          <w:tcPr>
            <w:tcW w:type="dxa" w:w="1123"/>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Vina (kcal/mol)</w:t>
            </w:r>
          </w:p>
        </w:tc>
        <w:tc>
          <w:tcPr>
            <w:tcW w:type="dxa" w:w="103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QSAR pChEMBL</w:t>
            </w:r>
          </w:p>
        </w:tc>
        <w:tc>
          <w:tcPr>
            <w:tcW w:type="dxa" w:w="2246"/>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Vendors</w:t>
            </w:r>
          </w:p>
        </w:tc>
        <w:tc>
          <w:tcPr>
            <w:tcW w:type="dxa" w:w="842"/>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Patents</w:t>
            </w:r>
          </w:p>
        </w:tc>
        <w:tc>
          <w:tcPr>
            <w:tcW w:type="dxa" w:w="655"/>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SAS</w:t>
            </w:r>
          </w:p>
        </w:tc>
        <w:tc>
          <w:tcPr>
            <w:tcW w:type="dxa" w:w="1405"/>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r>
              <w:rPr>
                <w:b/>
                <w:bCs/>
                <w:color w:val="FFFFFF"/>
              </w:rPr>
              <w:t xml:space="preserve">Scaffold family</w:t>
            </w:r>
          </w:p>
        </w:tc>
      </w:tr>
      <w:tr>
        <w:tc>
          <w:tcPr>
            <w:tcW w:type="dxa" w:w="74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3</w:t>
            </w:r>
          </w:p>
        </w:tc>
        <w:tc>
          <w:tcPr>
            <w:tcW w:type="dxa" w:w="131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2382308675</w:t>
            </w:r>
          </w:p>
        </w:tc>
        <w:tc>
          <w:tcPr>
            <w:tcW w:type="dxa" w:w="1123"/>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-6.712</w:t>
            </w:r>
          </w:p>
        </w:tc>
        <w:tc>
          <w:tcPr>
            <w:tcW w:type="dxa" w:w="103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6.48</w:t>
            </w:r>
          </w:p>
        </w:tc>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ChemBridge, Mcule</w:t>
            </w:r>
          </w:p>
        </w:tc>
        <w:tc>
          <w:tcPr>
            <w:tcW w:type="dxa" w:w="84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0</w:t>
            </w:r>
          </w:p>
        </w:tc>
        <w:tc>
          <w:tcPr>
            <w:tcW w:type="dxa" w:w="65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3.15</w:t>
            </w:r>
          </w:p>
        </w:tc>
        <w:tc>
          <w:tcPr>
            <w:tcW w:type="dxa" w:w="140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Triazole-piperidine</w:t>
            </w:r>
          </w:p>
        </w:tc>
      </w:tr>
      <w:tr>
        <w:tc>
          <w:tcPr>
            <w:tcW w:type="dxa" w:w="74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5</w:t>
            </w:r>
          </w:p>
        </w:tc>
        <w:tc>
          <w:tcPr>
            <w:tcW w:type="dxa" w:w="1310"/>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4488995</w:t>
            </w:r>
          </w:p>
        </w:tc>
        <w:tc>
          <w:tcPr>
            <w:tcW w:type="dxa" w:w="1123"/>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-8.426</w:t>
            </w:r>
          </w:p>
        </w:tc>
        <w:tc>
          <w:tcPr>
            <w:tcW w:type="dxa" w:w="1030"/>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5.44</w:t>
            </w:r>
          </w:p>
        </w:tc>
        <w:tc>
          <w:tcPr>
            <w:tcW w:type="dxa" w:w="2246"/>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ZINC</w:t>
            </w:r>
          </w:p>
        </w:tc>
        <w:tc>
          <w:tcPr>
            <w:tcW w:type="dxa" w:w="84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0</w:t>
            </w:r>
          </w:p>
        </w:tc>
        <w:tc>
          <w:tcPr>
            <w:tcW w:type="dxa" w:w="655"/>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2.62</w:t>
            </w:r>
          </w:p>
        </w:tc>
        <w:tc>
          <w:tcPr>
            <w:tcW w:type="dxa" w:w="1405"/>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Dihydroisoquinolinone</w:t>
            </w:r>
          </w:p>
        </w:tc>
      </w:tr>
      <w:tr>
        <w:tc>
          <w:tcPr>
            <w:tcW w:type="dxa" w:w="74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6</w:t>
            </w:r>
          </w:p>
        </w:tc>
        <w:tc>
          <w:tcPr>
            <w:tcW w:type="dxa" w:w="131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55154650</w:t>
            </w:r>
          </w:p>
        </w:tc>
        <w:tc>
          <w:tcPr>
            <w:tcW w:type="dxa" w:w="1123"/>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-7.699</w:t>
            </w:r>
          </w:p>
        </w:tc>
        <w:tc>
          <w:tcPr>
            <w:tcW w:type="dxa" w:w="103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5.60</w:t>
            </w:r>
          </w:p>
        </w:tc>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Ambinter, ChemBridge, Mcule, Molport, ZINC</w:t>
            </w:r>
          </w:p>
        </w:tc>
        <w:tc>
          <w:tcPr>
            <w:tcW w:type="dxa" w:w="84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0</w:t>
            </w:r>
          </w:p>
        </w:tc>
        <w:tc>
          <w:tcPr>
            <w:tcW w:type="dxa" w:w="65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2.34</w:t>
            </w:r>
          </w:p>
        </w:tc>
        <w:tc>
          <w:tcPr>
            <w:tcW w:type="dxa" w:w="140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Piperazinone-pyrazole (A)</w:t>
            </w:r>
          </w:p>
        </w:tc>
      </w:tr>
      <w:tr>
        <w:tc>
          <w:tcPr>
            <w:tcW w:type="dxa" w:w="74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7</w:t>
            </w:r>
          </w:p>
        </w:tc>
        <w:tc>
          <w:tcPr>
            <w:tcW w:type="dxa" w:w="1310"/>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2325804728</w:t>
            </w:r>
          </w:p>
        </w:tc>
        <w:tc>
          <w:tcPr>
            <w:tcW w:type="dxa" w:w="1123"/>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-8.126</w:t>
            </w:r>
          </w:p>
        </w:tc>
        <w:tc>
          <w:tcPr>
            <w:tcW w:type="dxa" w:w="1030"/>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5.28</w:t>
            </w:r>
          </w:p>
        </w:tc>
        <w:tc>
          <w:tcPr>
            <w:tcW w:type="dxa" w:w="2246"/>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Enamine</w:t>
            </w:r>
          </w:p>
        </w:tc>
        <w:tc>
          <w:tcPr>
            <w:tcW w:type="dxa" w:w="84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0</w:t>
            </w:r>
          </w:p>
        </w:tc>
        <w:tc>
          <w:tcPr>
            <w:tcW w:type="dxa" w:w="655"/>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2.58</w:t>
            </w:r>
          </w:p>
        </w:tc>
        <w:tc>
          <w:tcPr>
            <w:tcW w:type="dxa" w:w="1405"/>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Aminopyridinone</w:t>
            </w:r>
          </w:p>
        </w:tc>
      </w:tr>
      <w:tr>
        <w:tc>
          <w:tcPr>
            <w:tcW w:type="dxa" w:w="74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12</w:t>
            </w:r>
          </w:p>
        </w:tc>
        <w:tc>
          <w:tcPr>
            <w:tcW w:type="dxa" w:w="131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14539886</w:t>
            </w:r>
          </w:p>
        </w:tc>
        <w:tc>
          <w:tcPr>
            <w:tcW w:type="dxa" w:w="1123"/>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-7.751</w:t>
            </w:r>
          </w:p>
        </w:tc>
        <w:tc>
          <w:tcPr>
            <w:tcW w:type="dxa" w:w="103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5.22</w:t>
            </w:r>
          </w:p>
        </w:tc>
        <w:tc>
          <w:tcPr>
            <w:tcW w:type="dxa" w:w="2246"/>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Ambinter, ChemBridge, Mcule, Molport</w:t>
            </w:r>
          </w:p>
        </w:tc>
        <w:tc>
          <w:tcPr>
            <w:tcW w:type="dxa" w:w="842"/>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0</w:t>
            </w:r>
          </w:p>
        </w:tc>
        <w:tc>
          <w:tcPr>
            <w:tcW w:type="dxa" w:w="65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2.50</w:t>
            </w:r>
          </w:p>
        </w:tc>
        <w:tc>
          <w:tcPr>
            <w:tcW w:type="dxa" w:w="1405"/>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sz w:val="19"/>
                <w:szCs w:val="19"/>
              </w:rPr>
              <w:t xml:space="preserve">Piperazinone-pyrazole (B)</w:t>
            </w:r>
          </w:p>
        </w:tc>
      </w:tr>
      <w:tr>
        <w:tc>
          <w:tcPr>
            <w:tcW w:type="dxa" w:w="749"/>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13</w:t>
            </w:r>
          </w:p>
        </w:tc>
        <w:tc>
          <w:tcPr>
            <w:tcW w:type="dxa" w:w="1310"/>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5030661</w:t>
            </w:r>
          </w:p>
        </w:tc>
        <w:tc>
          <w:tcPr>
            <w:tcW w:type="dxa" w:w="1123"/>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-7.176</w:t>
            </w:r>
          </w:p>
        </w:tc>
        <w:tc>
          <w:tcPr>
            <w:tcW w:type="dxa" w:w="1030"/>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5.45</w:t>
            </w:r>
          </w:p>
        </w:tc>
        <w:tc>
          <w:tcPr>
            <w:tcW w:type="dxa" w:w="2246"/>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ZINC</w:t>
            </w:r>
          </w:p>
        </w:tc>
        <w:tc>
          <w:tcPr>
            <w:tcW w:type="dxa" w:w="842"/>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0</w:t>
            </w:r>
          </w:p>
        </w:tc>
        <w:tc>
          <w:tcPr>
            <w:tcW w:type="dxa" w:w="655"/>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2.70</w:t>
            </w:r>
          </w:p>
        </w:tc>
        <w:tc>
          <w:tcPr>
            <w:tcW w:type="dxa" w:w="1405"/>
            <w:tcBorders>
              <w:top w:val="single" w:color="CCCCCC" w:sz="2"/>
              <w:left w:val="single" w:color="CCCCCC" w:sz="2"/>
              <w:bottom w:val="single" w:color="CCCCCC" w:sz="2"/>
              <w:right w:val="single" w:color="CCCCCC" w:sz="2"/>
            </w:tcBorders>
            <w:shd w:fill="EAF2F5" w:val="clear"/>
            <w:tcMar>
              <w:top w:type="dxa" w:w="70"/>
              <w:left w:type="dxa" w:w="120"/>
              <w:bottom w:type="dxa" w:w="70"/>
              <w:right w:type="dxa" w:w="120"/>
            </w:tcMar>
          </w:tcPr>
          <w:p>
            <w:r>
              <w:rPr>
                <w:sz w:val="19"/>
                <w:szCs w:val="19"/>
              </w:rPr>
              <w:t xml:space="preserve">Isoxazoline</w:t>
            </w:r>
          </w:p>
        </w:tc>
      </w:tr>
    </w:tbl>
    <w:p>
      <w:pPr>
        <w:spacing w:after="200"/>
      </w:pPr>
    </w:p>
    <w:p>
      <w:pPr>
        <w:spacing w:after="160"/>
      </w:pPr>
      <w:r>
        <w:rPr>
          <w:b/>
          <w:bCs/>
        </w:rPr>
        <w:t xml:space="preserve">How to read this table: </w:t>
      </w:r>
      <w:r>
        <w:t xml:space="preserve">“Rank” is the overall combined_rank from Stage 7 (lower number = better combined docking + QSAR score, out of the original 50 candidates). “Vina” is the docking prediction — more negative is a tighter predicted fit. “QSAR pChEMBL” is the machine-learning potency prediction — higher is more potent. “Vendors” lists which commercial chemical suppliers carry this exact molecule. “Patents” is the number of patent documents mentioning this exact structure (0 for every finalist). “SAS” is how easy the molecule would be to synthesize (lower = easier; all 6 are in the 2.3–3.2 range, which is excellent). “Scaffold family” is the core chemical shape — 6 different families means these are 6 genuinely distinct chemical ideas, not 6 variations on one theme.</w:t>
      </w:r>
    </w:p>
    <w:p>
      <w:pPr>
        <w:pStyle w:val="Heading2"/>
      </w:pPr>
      <w:r>
        <w:t xml:space="preserve">5.1 A noteworthy pattern</w:t>
      </w:r>
    </w:p>
    <w:p>
      <w:pPr>
        <w:spacing w:after="160"/>
      </w:pPr>
      <w:r>
        <w:t xml:space="preserve">ZINC55154650 and ZINC14539886 (“Piperazinone-pyrazole A” and “B” above) were discovered completely independently by the pipeline, yet both share the same underlying chemical pharmacophore (the same core arrangement believed responsible for binding). Two unrelated hits converging on the same idea is a mildly reassuring sign that this particular chemical shape is a real, repeatable way to occupy the MDM2 pocket — and gives a built-in backup/comparison pair for early structure-activity (SAR) work.</w:t>
      </w:r>
    </w:p>
    <w:p>
      <w:r>
        <w:br w:type="page"/>
      </w:r>
    </w:p>
    <w:p>
      <w:pPr>
        <w:pStyle w:val="Heading1"/>
      </w:pPr>
      <w:r>
        <w:t xml:space="preserve">6. Honest Limitations — What This Pipeline Can and Can't Tell You</w:t>
      </w:r>
    </w:p>
    <w:p>
      <w:pPr>
        <w:spacing w:after="160"/>
      </w:pPr>
      <w:r>
        <w:t xml:space="preserve">Every computational shortcut used in this pipeline trades some accuracy for speed and cost, compared to doing everything in a wet lab. None of the following invalidate the results — they are the normal, expected caveats of any virtual screening study — but they matter for deciding what to do next.</w:t>
      </w:r>
    </w:p>
    <w:p>
      <w:pPr>
        <w:pStyle w:val="ListParagraph"/>
        <w:numPr>
          <w:ilvl w:val="0"/>
          <w:numId w:val="2"/>
        </w:numPr>
        <w:spacing w:after="100"/>
      </w:pPr>
      <w:r>
        <w:t xml:space="preserve">Pocket shape: the binding pocket was mapped from a real experimental structure (1YCR), but docking itself was run against an AlphaFold-predicted MDM2 model, not a structure solved specifically with any of these candidate molecules already bound. The true pocket shape when a real candidate binds could differ subtly (proteins can flex).</w:t>
      </w:r>
    </w:p>
    <w:p>
      <w:pPr>
        <w:pStyle w:val="ListParagraph"/>
        <w:numPr>
          <w:ilvl w:val="0"/>
          <w:numId w:val="2"/>
        </w:numPr>
        <w:spacing w:after="100"/>
      </w:pPr>
      <w:r>
        <w:t xml:space="preserve">Docking is a single static snapshot: AutoDock Vina tests one fixed receptor shape and does not model the protein flexing to accommodate a ligand (“induced fit”), nor does it try multiple different starting protein shapes (“ensemble docking”). Vina scores are a useful ranking signal, not a real measured binding strength.</w:t>
      </w:r>
    </w:p>
    <w:p>
      <w:pPr>
        <w:pStyle w:val="ListParagraph"/>
        <w:numPr>
          <w:ilvl w:val="0"/>
          <w:numId w:val="2"/>
        </w:numPr>
        <w:spacing w:after="100"/>
      </w:pPr>
      <w:r>
        <w:t xml:space="preserve">QSAR model size: the machine-learning potency model was trained on a relatively modest, mixed set of ChEMBL measurements (different labs, different assay types, combined top-potency and mid-potency batches). Its predictions are a secondary, supporting signal, not a substitute for an actual lab-measured potency.</w:t>
      </w:r>
    </w:p>
    <w:p>
      <w:pPr>
        <w:pStyle w:val="ListParagraph"/>
        <w:numPr>
          <w:ilvl w:val="0"/>
          <w:numId w:val="2"/>
        </w:numPr>
        <w:spacing w:after="100"/>
      </w:pPr>
      <w:r>
        <w:t xml:space="preserve">Patent screen is a rough signal, not a legal opinion: zero SureChEMBL/PubChem patent hits means no patent's mined full text names this exact structure — it does not rule out a broader claim (a “Markush” genus) that could still legally cover the compound without spelling it out. Real freedom-to-operate requires an attorney's review.</w:t>
      </w:r>
    </w:p>
    <w:p>
      <w:pPr>
        <w:pStyle w:val="ListParagraph"/>
        <w:numPr>
          <w:ilvl w:val="0"/>
          <w:numId w:val="2"/>
        </w:numPr>
        <w:spacing w:after="100"/>
      </w:pPr>
      <w:r>
        <w:t xml:space="preserve">Supplier check is a catalog match, not a live quote: a vendor cross-reference means the structure appears in that vendor's catalog listing somewhere in PubChem's records; it does not confirm current stock, price, or lead time. Always get a live quote from the vendor before committing.</w:t>
      </w:r>
    </w:p>
    <w:p>
      <w:r>
        <w:br w:type="page"/>
      </w:r>
    </w:p>
    <w:p>
      <w:pPr>
        <w:pStyle w:val="Heading1"/>
      </w:pPr>
      <w:r>
        <w:t xml:space="preserve">7. Suggested Next Steps</w:t>
      </w:r>
    </w:p>
    <w:p>
      <w:pPr>
        <w:pStyle w:val="ListParagraph"/>
        <w:numPr>
          <w:ilvl w:val="0"/>
          <w:numId w:val="3"/>
        </w:numPr>
        <w:spacing w:after="100"/>
      </w:pPr>
      <w:r>
        <w:t xml:space="preserve">Get live supplier quotes (stock, price, lead time) for all 6 shortlisted ZINC IDs before committing to purchase or synthesis.</w:t>
      </w:r>
    </w:p>
    <w:p>
      <w:pPr>
        <w:pStyle w:val="ListParagraph"/>
        <w:numPr>
          <w:ilvl w:val="0"/>
          <w:numId w:val="3"/>
        </w:numPr>
        <w:spacing w:after="100"/>
      </w:pPr>
      <w:r>
        <w:t xml:space="preserve">Prioritize a real in vitro binding assay (e.g. fluorescence polarization or surface plasmon resonance against MDM2) for the top candidates by combined score — ZINC4488995, ZINC2325804728, and ZINC55154650 stand out.</w:t>
      </w:r>
    </w:p>
    <w:p>
      <w:pPr>
        <w:pStyle w:val="ListParagraph"/>
        <w:numPr>
          <w:ilvl w:val="0"/>
          <w:numId w:val="3"/>
        </w:numPr>
        <w:spacing w:after="100"/>
      </w:pPr>
      <w:r>
        <w:t xml:space="preserve">Consider testing both piperazinone-pyrazole hits (ZINC55154650 and ZINC14539886) together as an early structure-activity (SAR) pair, since they share a pharmacophore but differ in the rest of the molecule.</w:t>
      </w:r>
    </w:p>
    <w:p>
      <w:pPr>
        <w:pStyle w:val="ListParagraph"/>
        <w:numPr>
          <w:ilvl w:val="0"/>
          <w:numId w:val="3"/>
        </w:numPr>
        <w:spacing w:after="100"/>
      </w:pPr>
      <w:r>
        <w:t xml:space="preserve">Before any serious development investment, escalate the 6 shortlisted structures to an attorney for a proper Markush/genus patent search — this pipeline's zero-hit patent screen is only an early, rough signal.</w:t>
      </w:r>
    </w:p>
    <w:p>
      <w:pPr>
        <w:spacing w:after="400"/>
      </w:pPr>
    </w:p>
    <w:p>
      <w:pPr>
        <w:jc w:val="center"/>
      </w:pPr>
      <w:r>
        <w:rPr>
          <w:i/>
          <w:iCs/>
          <w:color w:val="888888"/>
          <w:sz w:val="18"/>
          <w:szCs w:val="18"/>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Virtual Screening Pipeline —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20" w:before="360"/>
      <w:outlineLvl w:val="0"/>
    </w:pPr>
    <w:rPr>
      <w:rFonts w:ascii="Calibri" w:cs="Calibri" w:eastAsia="Calibri" w:hAnsi="Calibri"/>
      <w:b/>
      <w:bCs/>
      <w:color w:val="1F4E5F"/>
      <w:sz w:val="34"/>
      <w:szCs w:val="34"/>
    </w:rPr>
  </w:style>
  <w:style w:type="paragraph" w:styleId="Heading2">
    <w:name w:val="Heading 2"/>
    <w:basedOn w:val="Normal"/>
    <w:next w:val="Normal"/>
    <w:qFormat/>
    <w:pPr>
      <w:spacing w:after="160" w:before="260"/>
      <w:outlineLvl w:val="1"/>
    </w:pPr>
    <w:rPr>
      <w:rFonts w:ascii="Calibri" w:cs="Calibri" w:eastAsia="Calibri" w:hAnsi="Calibri"/>
      <w:b/>
      <w:bCs/>
      <w:color w:val="1F4E5F"/>
      <w:sz w:val="27"/>
      <w:szCs w:val="27"/>
    </w:rPr>
  </w:style>
  <w:style w:type="paragraph" w:styleId="Heading3">
    <w:name w:val="Heading 3"/>
    <w:basedOn w:val="Normal"/>
    <w:next w:val="Normal"/>
    <w:qFormat/>
    <w:pPr>
      <w:spacing w:after="120" w:before="180"/>
      <w:outlineLvl w:val="2"/>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Screening Pipeline — Beginner's Guide</dc:title>
  <dc:creator>Claude Code</dc:creator>
  <cp:lastModifiedBy>Un-named</cp:lastModifiedBy>
  <cp:revision>1</cp:revision>
  <dcterms:created xsi:type="dcterms:W3CDTF">2026-07-14T08:30:37.500Z</dcterms:created>
  <dcterms:modified xsi:type="dcterms:W3CDTF">2026-07-14T08:30:37.500Z</dcterms:modified>
</cp:coreProperties>
</file>

<file path=docProps/custom.xml><?xml version="1.0" encoding="utf-8"?>
<Properties xmlns="http://schemas.openxmlformats.org/officeDocument/2006/custom-properties" xmlns:vt="http://schemas.openxmlformats.org/officeDocument/2006/docPropsVTypes"/>
</file>