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Análise de Vendas do Mercado</w:t>
      </w:r>
    </w:p>
    <w:p>
      <w:r>
        <w:t>Este relatório apresenta uma análise detalhada das vendas do mercado, com base nos dados fornecidos. As análises incluem vendas por loja, vendas por produto, evolução das vendas ao longo do tempo e análise por categoria de produto e UF para meses específicos.</w:t>
      </w:r>
    </w:p>
    <w:p>
      <w:pPr>
        <w:pStyle w:val="Heading2"/>
      </w:pPr>
      <w:r>
        <w:t>Vendas por Loja</w:t>
      </w:r>
    </w:p>
    <w:p>
      <w:r>
        <w:t>A tabela abaixo mostra o ranking das lojas com maior valor total vendido em reais:</w:t>
      </w:r>
    </w:p>
    <w:tbl>
      <w:tblPr>
        <w:tblW w:type="auto" w:w="0"/>
        <w:tblLook w:firstColumn="1" w:firstRow="1" w:lastColumn="0" w:lastRow="0" w:noHBand="0" w:noVBand="1" w:val="04A0"/>
      </w:tblPr>
      <w:tblGrid>
        <w:gridCol w:w="4320"/>
        <w:gridCol w:w="4320"/>
      </w:tblGrid>
      <w:tr>
        <w:tc>
          <w:tcPr>
            <w:tcW w:type="dxa" w:w="4320"/>
          </w:tcPr>
          <w:p>
            <w:r>
              <w:t>Nome da Loja</w:t>
            </w:r>
          </w:p>
        </w:tc>
        <w:tc>
          <w:tcPr>
            <w:tcW w:type="dxa" w:w="4320"/>
          </w:tcPr>
          <w:p>
            <w:r>
              <w:t>Valor Total Vendido (R$)</w:t>
            </w:r>
          </w:p>
        </w:tc>
      </w:tr>
      <w:tr>
        <w:tc>
          <w:tcPr>
            <w:tcW w:type="dxa" w:w="4320"/>
          </w:tcPr>
          <w:p>
            <w:r>
              <w:t>Supermercado Mundial</w:t>
            </w:r>
          </w:p>
        </w:tc>
        <w:tc>
          <w:tcPr>
            <w:tcW w:type="dxa" w:w="4320"/>
          </w:tcPr>
          <w:p>
            <w:r>
              <w:t>81830.56</w:t>
            </w:r>
          </w:p>
        </w:tc>
      </w:tr>
      <w:tr>
        <w:tc>
          <w:tcPr>
            <w:tcW w:type="dxa" w:w="4320"/>
          </w:tcPr>
          <w:p>
            <w:r>
              <w:t>Mini Mercado SÃ£o JoÃ£o</w:t>
            </w:r>
          </w:p>
        </w:tc>
        <w:tc>
          <w:tcPr>
            <w:tcW w:type="dxa" w:w="4320"/>
          </w:tcPr>
          <w:p>
            <w:r>
              <w:t>79003.25</w:t>
            </w:r>
          </w:p>
        </w:tc>
      </w:tr>
      <w:tr>
        <w:tc>
          <w:tcPr>
            <w:tcW w:type="dxa" w:w="4320"/>
          </w:tcPr>
          <w:p>
            <w:r>
              <w:t>Supermarket Plus</w:t>
            </w:r>
          </w:p>
        </w:tc>
        <w:tc>
          <w:tcPr>
            <w:tcW w:type="dxa" w:w="4320"/>
          </w:tcPr>
          <w:p>
            <w:r>
              <w:t>78092.81</w:t>
            </w:r>
          </w:p>
        </w:tc>
      </w:tr>
      <w:tr>
        <w:tc>
          <w:tcPr>
            <w:tcW w:type="dxa" w:w="4320"/>
          </w:tcPr>
          <w:p>
            <w:r>
              <w:t>Hipermercado EconÃ´mico</w:t>
            </w:r>
          </w:p>
        </w:tc>
        <w:tc>
          <w:tcPr>
            <w:tcW w:type="dxa" w:w="4320"/>
          </w:tcPr>
          <w:p>
            <w:r>
              <w:t>77238.64</w:t>
            </w:r>
          </w:p>
        </w:tc>
      </w:tr>
      <w:tr>
        <w:tc>
          <w:tcPr>
            <w:tcW w:type="dxa" w:w="4320"/>
          </w:tcPr>
          <w:p>
            <w:r>
              <w:t>Quitanda da Esquina</w:t>
            </w:r>
          </w:p>
        </w:tc>
        <w:tc>
          <w:tcPr>
            <w:tcW w:type="dxa" w:w="4320"/>
          </w:tcPr>
          <w:p>
            <w:r>
              <w:t>76878.07</w:t>
            </w:r>
          </w:p>
        </w:tc>
      </w:tr>
      <w:tr>
        <w:tc>
          <w:tcPr>
            <w:tcW w:type="dxa" w:w="4320"/>
          </w:tcPr>
          <w:p>
            <w:r>
              <w:t>Mercadinho do Lar</w:t>
            </w:r>
          </w:p>
        </w:tc>
        <w:tc>
          <w:tcPr>
            <w:tcW w:type="dxa" w:w="4320"/>
          </w:tcPr>
          <w:p>
            <w:r>
              <w:t>76614.17</w:t>
            </w:r>
          </w:p>
        </w:tc>
      </w:tr>
      <w:tr>
        <w:tc>
          <w:tcPr>
            <w:tcW w:type="dxa" w:w="4320"/>
          </w:tcPr>
          <w:p>
            <w:r>
              <w:t>Lojinha do Bairro</w:t>
            </w:r>
          </w:p>
        </w:tc>
        <w:tc>
          <w:tcPr>
            <w:tcW w:type="dxa" w:w="4320"/>
          </w:tcPr>
          <w:p>
            <w:r>
              <w:t>76570.05</w:t>
            </w:r>
          </w:p>
        </w:tc>
      </w:tr>
      <w:tr>
        <w:tc>
          <w:tcPr>
            <w:tcW w:type="dxa" w:w="4320"/>
          </w:tcPr>
          <w:p>
            <w:r>
              <w:t>Mercadinho Central</w:t>
            </w:r>
          </w:p>
        </w:tc>
        <w:tc>
          <w:tcPr>
            <w:tcW w:type="dxa" w:w="4320"/>
          </w:tcPr>
          <w:p>
            <w:r>
              <w:t>76178.90</w:t>
            </w:r>
          </w:p>
        </w:tc>
      </w:tr>
      <w:tr>
        <w:tc>
          <w:tcPr>
            <w:tcW w:type="dxa" w:w="4320"/>
          </w:tcPr>
          <w:p>
            <w:r>
              <w:t>Mercado Fresquinho</w:t>
            </w:r>
          </w:p>
        </w:tc>
        <w:tc>
          <w:tcPr>
            <w:tcW w:type="dxa" w:w="4320"/>
          </w:tcPr>
          <w:p>
            <w:r>
              <w:t>76022.32</w:t>
            </w:r>
          </w:p>
        </w:tc>
      </w:tr>
      <w:tr>
        <w:tc>
          <w:tcPr>
            <w:tcW w:type="dxa" w:w="4320"/>
          </w:tcPr>
          <w:p>
            <w:r>
              <w:t>Mercadinho do Povo</w:t>
            </w:r>
          </w:p>
        </w:tc>
        <w:tc>
          <w:tcPr>
            <w:tcW w:type="dxa" w:w="4320"/>
          </w:tcPr>
          <w:p>
            <w:r>
              <w:t>75711.65</w:t>
            </w:r>
          </w:p>
        </w:tc>
      </w:tr>
      <w:tr>
        <w:tc>
          <w:tcPr>
            <w:tcW w:type="dxa" w:w="4320"/>
          </w:tcPr>
          <w:p>
            <w:r>
              <w:t>Mercado da FamÃ­lia</w:t>
            </w:r>
          </w:p>
        </w:tc>
        <w:tc>
          <w:tcPr>
            <w:tcW w:type="dxa" w:w="4320"/>
          </w:tcPr>
          <w:p>
            <w:r>
              <w:t>75704.85</w:t>
            </w:r>
          </w:p>
        </w:tc>
      </w:tr>
      <w:tr>
        <w:tc>
          <w:tcPr>
            <w:tcW w:type="dxa" w:w="4320"/>
          </w:tcPr>
          <w:p>
            <w:r>
              <w:t>Supermercado Bom PreÃ§o</w:t>
            </w:r>
          </w:p>
        </w:tc>
        <w:tc>
          <w:tcPr>
            <w:tcW w:type="dxa" w:w="4320"/>
          </w:tcPr>
          <w:p>
            <w:r>
              <w:t>75395.00</w:t>
            </w:r>
          </w:p>
        </w:tc>
      </w:tr>
      <w:tr>
        <w:tc>
          <w:tcPr>
            <w:tcW w:type="dxa" w:w="4320"/>
          </w:tcPr>
          <w:p>
            <w:r>
              <w:t>Mercado Total</w:t>
            </w:r>
          </w:p>
        </w:tc>
        <w:tc>
          <w:tcPr>
            <w:tcW w:type="dxa" w:w="4320"/>
          </w:tcPr>
          <w:p>
            <w:r>
              <w:t>75077.13</w:t>
            </w:r>
          </w:p>
        </w:tc>
      </w:tr>
      <w:tr>
        <w:tc>
          <w:tcPr>
            <w:tcW w:type="dxa" w:w="4320"/>
          </w:tcPr>
          <w:p>
            <w:r>
              <w:t>Supermercado Popular</w:t>
            </w:r>
          </w:p>
        </w:tc>
        <w:tc>
          <w:tcPr>
            <w:tcW w:type="dxa" w:w="4320"/>
          </w:tcPr>
          <w:p>
            <w:r>
              <w:t>74838.31</w:t>
            </w:r>
          </w:p>
        </w:tc>
      </w:tr>
      <w:tr>
        <w:tc>
          <w:tcPr>
            <w:tcW w:type="dxa" w:w="4320"/>
          </w:tcPr>
          <w:p>
            <w:r>
              <w:t>Supermercado EsperanÃ§a</w:t>
            </w:r>
          </w:p>
        </w:tc>
        <w:tc>
          <w:tcPr>
            <w:tcW w:type="dxa" w:w="4320"/>
          </w:tcPr>
          <w:p>
            <w:r>
              <w:t>74611.89</w:t>
            </w:r>
          </w:p>
        </w:tc>
      </w:tr>
      <w:tr>
        <w:tc>
          <w:tcPr>
            <w:tcW w:type="dxa" w:w="4320"/>
          </w:tcPr>
          <w:p>
            <w:r>
              <w:t>Supermercado VarejÃ£o</w:t>
            </w:r>
          </w:p>
        </w:tc>
        <w:tc>
          <w:tcPr>
            <w:tcW w:type="dxa" w:w="4320"/>
          </w:tcPr>
          <w:p>
            <w:r>
              <w:t>74291.92</w:t>
            </w:r>
          </w:p>
        </w:tc>
      </w:tr>
      <w:tr>
        <w:tc>
          <w:tcPr>
            <w:tcW w:type="dxa" w:w="4320"/>
          </w:tcPr>
          <w:p>
            <w:r>
              <w:t>Hiper Center</w:t>
            </w:r>
          </w:p>
        </w:tc>
        <w:tc>
          <w:tcPr>
            <w:tcW w:type="dxa" w:w="4320"/>
          </w:tcPr>
          <w:p>
            <w:r>
              <w:t>74195.74</w:t>
            </w:r>
          </w:p>
        </w:tc>
      </w:tr>
      <w:tr>
        <w:tc>
          <w:tcPr>
            <w:tcW w:type="dxa" w:w="4320"/>
          </w:tcPr>
          <w:p>
            <w:r>
              <w:t>MercadÃ£o Central</w:t>
            </w:r>
          </w:p>
        </w:tc>
        <w:tc>
          <w:tcPr>
            <w:tcW w:type="dxa" w:w="4320"/>
          </w:tcPr>
          <w:p>
            <w:r>
              <w:t>73803.37</w:t>
            </w:r>
          </w:p>
        </w:tc>
      </w:tr>
      <w:tr>
        <w:tc>
          <w:tcPr>
            <w:tcW w:type="dxa" w:w="4320"/>
          </w:tcPr>
          <w:p>
            <w:r>
              <w:t>Supermercado Tudo de Bom</w:t>
            </w:r>
          </w:p>
        </w:tc>
        <w:tc>
          <w:tcPr>
            <w:tcW w:type="dxa" w:w="4320"/>
          </w:tcPr>
          <w:p>
            <w:r>
              <w:t>73380.47</w:t>
            </w:r>
          </w:p>
        </w:tc>
      </w:tr>
      <w:tr>
        <w:tc>
          <w:tcPr>
            <w:tcW w:type="dxa" w:w="4320"/>
          </w:tcPr>
          <w:p>
            <w:r>
              <w:t>AtacadÃ£o da Dutra</w:t>
            </w:r>
          </w:p>
        </w:tc>
        <w:tc>
          <w:tcPr>
            <w:tcW w:type="dxa" w:w="4320"/>
          </w:tcPr>
          <w:p>
            <w:r>
              <w:t>69752.97</w:t>
            </w:r>
          </w:p>
        </w:tc>
      </w:tr>
    </w:tbl>
    <w:p>
      <w:pPr>
        <w:pStyle w:val="Heading2"/>
      </w:pPr>
      <w:r>
        <w:t>Vendas por Produto</w:t>
      </w:r>
    </w:p>
    <w:p>
      <w:r>
        <w:t>O gráfico abaixo mostra os 10 produtos que mais vendem em reais:</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top_10_products.png"/>
                    <pic:cNvPicPr/>
                  </pic:nvPicPr>
                  <pic:blipFill>
                    <a:blip r:embed="rId9"/>
                    <a:stretch>
                      <a:fillRect/>
                    </a:stretch>
                  </pic:blipFill>
                  <pic:spPr>
                    <a:xfrm>
                      <a:off x="0" y="0"/>
                      <a:ext cx="5486400" cy="3657600"/>
                    </a:xfrm>
                    <a:prstGeom prst="rect"/>
                  </pic:spPr>
                </pic:pic>
              </a:graphicData>
            </a:graphic>
          </wp:inline>
        </w:drawing>
      </w:r>
    </w:p>
    <w:p>
      <w:pPr>
        <w:pStyle w:val="Heading2"/>
      </w:pPr>
      <w:r>
        <w:t>Vendas por UF</w:t>
      </w:r>
    </w:p>
    <w:p>
      <w:r>
        <w:t>O gráfico abaixo mostra a distribuição das vendas por UF:</w:t>
      </w:r>
    </w:p>
    <w:p>
      <w:r>
        <w:drawing>
          <wp:inline xmlns:a="http://schemas.openxmlformats.org/drawingml/2006/main" xmlns:pic="http://schemas.openxmlformats.org/drawingml/2006/picture">
            <wp:extent cx="5486400" cy="3840480"/>
            <wp:docPr id="2" name="Picture 2"/>
            <wp:cNvGraphicFramePr>
              <a:graphicFrameLocks noChangeAspect="1"/>
            </wp:cNvGraphicFramePr>
            <a:graphic>
              <a:graphicData uri="http://schemas.openxmlformats.org/drawingml/2006/picture">
                <pic:pic>
                  <pic:nvPicPr>
                    <pic:cNvPr id="0" name="sales_by_uf.png"/>
                    <pic:cNvPicPr/>
                  </pic:nvPicPr>
                  <pic:blipFill>
                    <a:blip r:embed="rId10"/>
                    <a:stretch>
                      <a:fillRect/>
                    </a:stretch>
                  </pic:blipFill>
                  <pic:spPr>
                    <a:xfrm>
                      <a:off x="0" y="0"/>
                      <a:ext cx="5486400" cy="3840480"/>
                    </a:xfrm>
                    <a:prstGeom prst="rect"/>
                  </pic:spPr>
                </pic:pic>
              </a:graphicData>
            </a:graphic>
          </wp:inline>
        </w:drawing>
      </w:r>
    </w:p>
    <w:p>
      <w:pPr>
        <w:pStyle w:val="Heading2"/>
      </w:pPr>
      <w:r>
        <w:t>Vendas por Marca</w:t>
      </w:r>
    </w:p>
    <w:p>
      <w:r>
        <w:t>O gráfico abaixo mostra as vendas por marca para as 5 marcas que mais vendem:</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top_5_brands.png"/>
                    <pic:cNvPicPr/>
                  </pic:nvPicPr>
                  <pic:blipFill>
                    <a:blip r:embed="rId11"/>
                    <a:stretch>
                      <a:fillRect/>
                    </a:stretch>
                  </pic:blipFill>
                  <pic:spPr>
                    <a:xfrm>
                      <a:off x="0" y="0"/>
                      <a:ext cx="5486400" cy="3657600"/>
                    </a:xfrm>
                    <a:prstGeom prst="rect"/>
                  </pic:spPr>
                </pic:pic>
              </a:graphicData>
            </a:graphic>
          </wp:inline>
        </w:drawing>
      </w:r>
    </w:p>
    <w:p>
      <w:pPr>
        <w:pStyle w:val="Heading2"/>
      </w:pPr>
      <w:r>
        <w:t>Evolução das Vendas ao Longo do Tempo</w:t>
      </w:r>
    </w:p>
    <w:p>
      <w:r>
        <w:t>O gráfico abaixo mostra a evolução do total vendido em reais ao longo do período da base de dados:</w:t>
      </w:r>
    </w:p>
    <w:p>
      <w:r>
        <w:drawing>
          <wp:inline xmlns:a="http://schemas.openxmlformats.org/drawingml/2006/main" xmlns:pic="http://schemas.openxmlformats.org/drawingml/2006/picture">
            <wp:extent cx="5486400" cy="3135086"/>
            <wp:docPr id="4" name="Picture 4"/>
            <wp:cNvGraphicFramePr>
              <a:graphicFrameLocks noChangeAspect="1"/>
            </wp:cNvGraphicFramePr>
            <a:graphic>
              <a:graphicData uri="http://schemas.openxmlformats.org/drawingml/2006/picture">
                <pic:pic>
                  <pic:nvPicPr>
                    <pic:cNvPr id="0" name="sales_over_time.png"/>
                    <pic:cNvPicPr/>
                  </pic:nvPicPr>
                  <pic:blipFill>
                    <a:blip r:embed="rId12"/>
                    <a:stretch>
                      <a:fillRect/>
                    </a:stretch>
                  </pic:blipFill>
                  <pic:spPr>
                    <a:xfrm>
                      <a:off x="0" y="0"/>
                      <a:ext cx="5486400" cy="3135086"/>
                    </a:xfrm>
                    <a:prstGeom prst="rect"/>
                  </pic:spPr>
                </pic:pic>
              </a:graphicData>
            </a:graphic>
          </wp:inline>
        </w:drawing>
      </w:r>
    </w:p>
    <w:p>
      <w:pPr>
        <w:pStyle w:val="Heading2"/>
      </w:pPr>
      <w:r>
        <w:t>Análise para Meses com Menores Vendas</w:t>
      </w:r>
    </w:p>
    <w:p>
      <w:r>
        <w:t>A tabela abaixo mostra os valores vendidos por categoria de produto e UF para os meses de fevereiro de 2022, novembro de 2022 e fevereiro de 2023:</w:t>
      </w:r>
    </w:p>
    <w:tbl>
      <w:tblPr>
        <w:tblW w:type="auto" w:w="0"/>
        <w:tblLook w:firstColumn="1" w:firstRow="1" w:lastColumn="0" w:lastRow="0" w:noHBand="0" w:noVBand="1" w:val="04A0"/>
      </w:tblPr>
      <w:tblGrid>
        <w:gridCol w:w="2880"/>
        <w:gridCol w:w="2880"/>
        <w:gridCol w:w="2880"/>
      </w:tblGrid>
      <w:tr>
        <w:tc>
          <w:tcPr>
            <w:tcW w:type="dxa" w:w="2880"/>
          </w:tcPr>
          <w:p>
            <w:r>
              <w:t>Categoria do Produto</w:t>
            </w:r>
          </w:p>
        </w:tc>
        <w:tc>
          <w:tcPr>
            <w:tcW w:type="dxa" w:w="2880"/>
          </w:tcPr>
          <w:p>
            <w:r>
              <w:t>UF da Compra</w:t>
            </w:r>
          </w:p>
        </w:tc>
        <w:tc>
          <w:tcPr>
            <w:tcW w:type="dxa" w:w="2880"/>
          </w:tcPr>
          <w:p>
            <w:r>
              <w:t>Valor Total Vendido (R$)</w:t>
            </w:r>
          </w:p>
        </w:tc>
      </w:tr>
      <w:tr>
        <w:tc>
          <w:tcPr>
            <w:tcW w:type="dxa" w:w="2880"/>
          </w:tcPr>
          <w:p>
            <w:r>
              <w:t>Carnes</w:t>
            </w:r>
          </w:p>
        </w:tc>
        <w:tc>
          <w:tcPr>
            <w:tcW w:type="dxa" w:w="2880"/>
          </w:tcPr>
          <w:p>
            <w:r>
              <w:t>MG</w:t>
            </w:r>
          </w:p>
        </w:tc>
        <w:tc>
          <w:tcPr>
            <w:tcW w:type="dxa" w:w="2880"/>
          </w:tcPr>
          <w:p>
            <w:r>
              <w:t>14433.11</w:t>
            </w:r>
          </w:p>
        </w:tc>
      </w:tr>
      <w:tr>
        <w:tc>
          <w:tcPr>
            <w:tcW w:type="dxa" w:w="2880"/>
          </w:tcPr>
          <w:p>
            <w:r>
              <w:t>Carnes</w:t>
            </w:r>
          </w:p>
        </w:tc>
        <w:tc>
          <w:tcPr>
            <w:tcW w:type="dxa" w:w="2880"/>
          </w:tcPr>
          <w:p>
            <w:r>
              <w:t>RJ</w:t>
            </w:r>
          </w:p>
        </w:tc>
        <w:tc>
          <w:tcPr>
            <w:tcW w:type="dxa" w:w="2880"/>
          </w:tcPr>
          <w:p>
            <w:r>
              <w:t>17016.85</w:t>
            </w:r>
          </w:p>
        </w:tc>
      </w:tr>
      <w:tr>
        <w:tc>
          <w:tcPr>
            <w:tcW w:type="dxa" w:w="2880"/>
          </w:tcPr>
          <w:p>
            <w:r>
              <w:t>Carnes</w:t>
            </w:r>
          </w:p>
        </w:tc>
        <w:tc>
          <w:tcPr>
            <w:tcW w:type="dxa" w:w="2880"/>
          </w:tcPr>
          <w:p>
            <w:r>
              <w:t>RS</w:t>
            </w:r>
          </w:p>
        </w:tc>
        <w:tc>
          <w:tcPr>
            <w:tcW w:type="dxa" w:w="2880"/>
          </w:tcPr>
          <w:p>
            <w:r>
              <w:t>14036.05</w:t>
            </w:r>
          </w:p>
        </w:tc>
      </w:tr>
      <w:tr>
        <w:tc>
          <w:tcPr>
            <w:tcW w:type="dxa" w:w="2880"/>
          </w:tcPr>
          <w:p>
            <w:r>
              <w:t>Carnes</w:t>
            </w:r>
          </w:p>
        </w:tc>
        <w:tc>
          <w:tcPr>
            <w:tcW w:type="dxa" w:w="2880"/>
          </w:tcPr>
          <w:p>
            <w:r>
              <w:t>SP</w:t>
            </w:r>
          </w:p>
        </w:tc>
        <w:tc>
          <w:tcPr>
            <w:tcW w:type="dxa" w:w="2880"/>
          </w:tcPr>
          <w:p>
            <w:r>
              <w:t>14539.19</w:t>
            </w:r>
          </w:p>
        </w:tc>
      </w:tr>
      <w:tr>
        <w:tc>
          <w:tcPr>
            <w:tcW w:type="dxa" w:w="2880"/>
          </w:tcPr>
          <w:p>
            <w:r>
              <w:t>Frutas</w:t>
            </w:r>
          </w:p>
        </w:tc>
        <w:tc>
          <w:tcPr>
            <w:tcW w:type="dxa" w:w="2880"/>
          </w:tcPr>
          <w:p>
            <w:r>
              <w:t>MG</w:t>
            </w:r>
          </w:p>
        </w:tc>
        <w:tc>
          <w:tcPr>
            <w:tcW w:type="dxa" w:w="2880"/>
          </w:tcPr>
          <w:p>
            <w:r>
              <w:t>14381.60</w:t>
            </w:r>
          </w:p>
        </w:tc>
      </w:tr>
      <w:tr>
        <w:tc>
          <w:tcPr>
            <w:tcW w:type="dxa" w:w="2880"/>
          </w:tcPr>
          <w:p>
            <w:r>
              <w:t>Frutas</w:t>
            </w:r>
          </w:p>
        </w:tc>
        <w:tc>
          <w:tcPr>
            <w:tcW w:type="dxa" w:w="2880"/>
          </w:tcPr>
          <w:p>
            <w:r>
              <w:t>RJ</w:t>
            </w:r>
          </w:p>
        </w:tc>
        <w:tc>
          <w:tcPr>
            <w:tcW w:type="dxa" w:w="2880"/>
          </w:tcPr>
          <w:p>
            <w:r>
              <w:t>14235.76</w:t>
            </w:r>
          </w:p>
        </w:tc>
      </w:tr>
      <w:tr>
        <w:tc>
          <w:tcPr>
            <w:tcW w:type="dxa" w:w="2880"/>
          </w:tcPr>
          <w:p>
            <w:r>
              <w:t>Frutas</w:t>
            </w:r>
          </w:p>
        </w:tc>
        <w:tc>
          <w:tcPr>
            <w:tcW w:type="dxa" w:w="2880"/>
          </w:tcPr>
          <w:p>
            <w:r>
              <w:t>RS</w:t>
            </w:r>
          </w:p>
        </w:tc>
        <w:tc>
          <w:tcPr>
            <w:tcW w:type="dxa" w:w="2880"/>
          </w:tcPr>
          <w:p>
            <w:r>
              <w:t>13312.11</w:t>
            </w:r>
          </w:p>
        </w:tc>
      </w:tr>
      <w:tr>
        <w:tc>
          <w:tcPr>
            <w:tcW w:type="dxa" w:w="2880"/>
          </w:tcPr>
          <w:p>
            <w:r>
              <w:t>Frutas</w:t>
            </w:r>
          </w:p>
        </w:tc>
        <w:tc>
          <w:tcPr>
            <w:tcW w:type="dxa" w:w="2880"/>
          </w:tcPr>
          <w:p>
            <w:r>
              <w:t>SP</w:t>
            </w:r>
          </w:p>
        </w:tc>
        <w:tc>
          <w:tcPr>
            <w:tcW w:type="dxa" w:w="2880"/>
          </w:tcPr>
          <w:p>
            <w:r>
              <w:t>14637.28</w:t>
            </w:r>
          </w:p>
        </w:tc>
      </w:tr>
      <w:tr>
        <w:tc>
          <w:tcPr>
            <w:tcW w:type="dxa" w:w="2880"/>
          </w:tcPr>
          <w:p>
            <w:r>
              <w:t>LaticÃ­nios</w:t>
            </w:r>
          </w:p>
        </w:tc>
        <w:tc>
          <w:tcPr>
            <w:tcW w:type="dxa" w:w="2880"/>
          </w:tcPr>
          <w:p>
            <w:r>
              <w:t>MG</w:t>
            </w:r>
          </w:p>
        </w:tc>
        <w:tc>
          <w:tcPr>
            <w:tcW w:type="dxa" w:w="2880"/>
          </w:tcPr>
          <w:p>
            <w:r>
              <w:t>16675.40</w:t>
            </w:r>
          </w:p>
        </w:tc>
      </w:tr>
      <w:tr>
        <w:tc>
          <w:tcPr>
            <w:tcW w:type="dxa" w:w="2880"/>
          </w:tcPr>
          <w:p>
            <w:r>
              <w:t>LaticÃ­nios</w:t>
            </w:r>
          </w:p>
        </w:tc>
        <w:tc>
          <w:tcPr>
            <w:tcW w:type="dxa" w:w="2880"/>
          </w:tcPr>
          <w:p>
            <w:r>
              <w:t>RJ</w:t>
            </w:r>
          </w:p>
        </w:tc>
        <w:tc>
          <w:tcPr>
            <w:tcW w:type="dxa" w:w="2880"/>
          </w:tcPr>
          <w:p>
            <w:r>
              <w:t>16663.06</w:t>
            </w:r>
          </w:p>
        </w:tc>
      </w:tr>
      <w:tr>
        <w:tc>
          <w:tcPr>
            <w:tcW w:type="dxa" w:w="2880"/>
          </w:tcPr>
          <w:p>
            <w:r>
              <w:t>LaticÃ­nios</w:t>
            </w:r>
          </w:p>
        </w:tc>
        <w:tc>
          <w:tcPr>
            <w:tcW w:type="dxa" w:w="2880"/>
          </w:tcPr>
          <w:p>
            <w:r>
              <w:t>RS</w:t>
            </w:r>
          </w:p>
        </w:tc>
        <w:tc>
          <w:tcPr>
            <w:tcW w:type="dxa" w:w="2880"/>
          </w:tcPr>
          <w:p>
            <w:r>
              <w:t>13855.34</w:t>
            </w:r>
          </w:p>
        </w:tc>
      </w:tr>
      <w:tr>
        <w:tc>
          <w:tcPr>
            <w:tcW w:type="dxa" w:w="2880"/>
          </w:tcPr>
          <w:p>
            <w:r>
              <w:t>LaticÃ­nios</w:t>
            </w:r>
          </w:p>
        </w:tc>
        <w:tc>
          <w:tcPr>
            <w:tcW w:type="dxa" w:w="2880"/>
          </w:tcPr>
          <w:p>
            <w:r>
              <w:t>SP</w:t>
            </w:r>
          </w:p>
        </w:tc>
        <w:tc>
          <w:tcPr>
            <w:tcW w:type="dxa" w:w="2880"/>
          </w:tcPr>
          <w:p>
            <w:r>
              <w:t>15236.03</w:t>
            </w:r>
          </w:p>
        </w:tc>
      </w:tr>
      <w:tr>
        <w:tc>
          <w:tcPr>
            <w:tcW w:type="dxa" w:w="2880"/>
          </w:tcPr>
          <w:p>
            <w:r>
              <w:t>Vegetais</w:t>
            </w:r>
          </w:p>
        </w:tc>
        <w:tc>
          <w:tcPr>
            <w:tcW w:type="dxa" w:w="2880"/>
          </w:tcPr>
          <w:p>
            <w:r>
              <w:t>MG</w:t>
            </w:r>
          </w:p>
        </w:tc>
        <w:tc>
          <w:tcPr>
            <w:tcW w:type="dxa" w:w="2880"/>
          </w:tcPr>
          <w:p>
            <w:r>
              <w:t>13095.78</w:t>
            </w:r>
          </w:p>
        </w:tc>
      </w:tr>
      <w:tr>
        <w:tc>
          <w:tcPr>
            <w:tcW w:type="dxa" w:w="2880"/>
          </w:tcPr>
          <w:p>
            <w:r>
              <w:t>Vegetais</w:t>
            </w:r>
          </w:p>
        </w:tc>
        <w:tc>
          <w:tcPr>
            <w:tcW w:type="dxa" w:w="2880"/>
          </w:tcPr>
          <w:p>
            <w:r>
              <w:t>RJ</w:t>
            </w:r>
          </w:p>
        </w:tc>
        <w:tc>
          <w:tcPr>
            <w:tcW w:type="dxa" w:w="2880"/>
          </w:tcPr>
          <w:p>
            <w:r>
              <w:t>14324.33</w:t>
            </w:r>
          </w:p>
        </w:tc>
      </w:tr>
      <w:tr>
        <w:tc>
          <w:tcPr>
            <w:tcW w:type="dxa" w:w="2880"/>
          </w:tcPr>
          <w:p>
            <w:r>
              <w:t>Vegetais</w:t>
            </w:r>
          </w:p>
        </w:tc>
        <w:tc>
          <w:tcPr>
            <w:tcW w:type="dxa" w:w="2880"/>
          </w:tcPr>
          <w:p>
            <w:r>
              <w:t>RS</w:t>
            </w:r>
          </w:p>
        </w:tc>
        <w:tc>
          <w:tcPr>
            <w:tcW w:type="dxa" w:w="2880"/>
          </w:tcPr>
          <w:p>
            <w:r>
              <w:t>13951.90</w:t>
            </w:r>
          </w:p>
        </w:tc>
      </w:tr>
      <w:tr>
        <w:tc>
          <w:tcPr>
            <w:tcW w:type="dxa" w:w="2880"/>
          </w:tcPr>
          <w:p>
            <w:r>
              <w:t>Vegetais</w:t>
            </w:r>
          </w:p>
        </w:tc>
        <w:tc>
          <w:tcPr>
            <w:tcW w:type="dxa" w:w="2880"/>
          </w:tcPr>
          <w:p>
            <w:r>
              <w:t>SP</w:t>
            </w:r>
          </w:p>
        </w:tc>
        <w:tc>
          <w:tcPr>
            <w:tcW w:type="dxa" w:w="2880"/>
          </w:tcPr>
          <w:p>
            <w:r>
              <w:t>16177.13</w:t>
            </w:r>
          </w:p>
        </w:tc>
      </w:tr>
    </w:tbl>
    <w:p>
      <w:pPr>
        <w:pStyle w:val="Heading2"/>
      </w:pPr>
      <w:r>
        <w:t>Conclusão</w:t>
      </w:r>
    </w:p>
    <w:p>
      <w:r>
        <w:t>As vendas ao longo do período analisado mostraram algumas flutuações, com picos e quedas em determinados meses. As menores vendas foram observadas nos meses de fevereiro de 2022, novembro de 2022 e fevereiro de 2023. Possíveis justificativas incluem fatores sazonais, efeitos econômicos, e possíveis problemas logísticos ou internos. No geral, as vendas apresentam um padrão relativamente estável com tendência de crescimento ao longo do tempo.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