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line="480" w:lineRule="auto"/>
        <w:jc w:val="center"/>
      </w:pPr>
      <w:r>
        <w:rPr>
          <w:rFonts w:ascii="Times New Roman" w:hAnsi="Times New Roman" w:cs="Times New Roman" w:eastAsia="Times New Roman"/>
          <w:b/>
          <w:i w:val="0"/>
          <w:color w:val="000000"/>
          <w:sz w:val="24"/>
        </w:rPr>
        <w:t>Manual de Usuario</w:t>
      </w:r>
    </w:p>
    <w:p>
      <w:pPr>
        <w:jc w:val="center"/>
      </w:pPr>
      <w:r>
        <w:rPr>
          <w:rFonts w:ascii="Times New Roman" w:hAnsi="Times New Roman" w:cs="Times New Roman" w:eastAsia="Times New Roman"/>
          <w:b/>
          <w:i w:val="0"/>
          <w:color w:val="000000"/>
          <w:sz w:val="24"/>
        </w:rPr>
        <w:t>Guía operativa del sistema LoanSoft</w:t>
      </w:r>
    </w:p>
    <w:p/>
    <w:p>
      <w:pPr>
        <w:jc w:val="center"/>
      </w:pPr>
      <w:r>
        <w:rPr>
          <w:rFonts w:ascii="Times New Roman" w:hAnsi="Times New Roman" w:cs="Times New Roman" w:eastAsia="Times New Roman"/>
          <w:b w:val="0"/>
          <w:i w:val="0"/>
          <w:color w:val="000000"/>
          <w:sz w:val="24"/>
        </w:rPr>
        <w:t>Equipo de Ingeniería de Software · LoanSoft</w:t>
      </w:r>
    </w:p>
    <w:p>
      <w:pPr>
        <w:jc w:val="center"/>
      </w:pPr>
      <w:r>
        <w:rPr>
          <w:rFonts w:ascii="Times New Roman" w:hAnsi="Times New Roman" w:cs="Times New Roman" w:eastAsia="Times New Roman"/>
          <w:b w:val="0"/>
          <w:i w:val="0"/>
          <w:color w:val="000000"/>
          <w:sz w:val="24"/>
        </w:rPr>
        <w:t>LoanSoft · Sistema de Gestión de Préstamos</w:t>
      </w:r>
    </w:p>
    <w:p>
      <w:pPr>
        <w:jc w:val="center"/>
      </w:pPr>
      <w:r>
        <w:rPr>
          <w:rFonts w:ascii="Times New Roman" w:hAnsi="Times New Roman" w:cs="Times New Roman" w:eastAsia="Times New Roman"/>
          <w:b w:val="0"/>
          <w:i w:val="0"/>
          <w:color w:val="000000"/>
          <w:sz w:val="24"/>
        </w:rPr>
        <w:t>28 de septiembre de 2026</w:t>
      </w:r>
    </w:p>
    <w:p/>
    <w:p>
      <w:pPr>
        <w:jc w:val="center"/>
      </w:pPr>
      <w:r>
        <w:rPr>
          <w:rFonts w:ascii="Times New Roman" w:hAnsi="Times New Roman" w:cs="Times New Roman" w:eastAsia="Times New Roman"/>
          <w:b w:val="0"/>
          <w:i w:val="0"/>
          <w:color w:val="000000"/>
          <w:sz w:val="24"/>
        </w:rPr>
        <w:t>Versión 1.0</w:t>
      </w:r>
    </w:p>
    <w:p>
      <w:pPr>
        <w:jc w:val="center"/>
      </w:pPr>
      <w:r>
        <w:rPr>
          <w:rFonts w:ascii="Times New Roman" w:hAnsi="Times New Roman" w:cs="Times New Roman" w:eastAsia="Times New Roman"/>
          <w:b w:val="0"/>
          <w:i w:val="0"/>
          <w:color w:val="000000"/>
          <w:sz w:val="24"/>
        </w:rPr>
        <w:t>Dirigido a gestores, administradores y personal de cobranza</w:t>
      </w:r>
    </w:p>
    <w:p>
      <w:r>
        <w:br w:type="page"/>
      </w:r>
    </w:p>
    <w:p>
      <w:pPr>
        <w:pStyle w:val="Heading1"/>
      </w:pPr>
      <w:r>
        <w:t>Resumen</w:t>
      </w:r>
    </w:p>
    <w:p>
      <w:pPr>
        <w:jc w:val="both"/>
      </w:pPr>
      <w:r>
        <w:rPr>
          <w:rFonts w:ascii="Times New Roman" w:hAnsi="Times New Roman" w:cs="Times New Roman" w:eastAsia="Times New Roman"/>
          <w:b w:val="0"/>
          <w:i w:val="0"/>
          <w:color w:val="000000"/>
          <w:sz w:val="24"/>
        </w:rPr>
        <w:t>Este manual explica, paso a paso, cómo operar LoanSoft en la rutina de un negocio de préstamos: acceder al sistema, registrar clientes, crear préstamos, cobrar cuotas, revisar moras, mover capital y producir reportes. Describe cada pantalla tal como está construida hoy, con los campos reales del formulario, las validaciones que aplica el sistema y las limitaciones conocidas que el usuario debe tener presentes.</w:t>
      </w:r>
    </w:p>
    <w:p>
      <w:r>
        <w:br w:type="page"/>
      </w:r>
    </w:p>
    <w:p>
      <w:r>
        <w:br w:type="page"/>
      </w:r>
    </w:p>
    <w:p>
      <w:pPr>
        <w:pStyle w:val="Heading1"/>
      </w:pPr>
      <w:r>
        <w:t>1. Introducción</w:t>
      </w:r>
    </w:p>
    <w:p>
      <w:r>
        <w:rPr>
          <w:rFonts w:ascii="Times New Roman" w:hAnsi="Times New Roman" w:cs="Times New Roman" w:eastAsia="Times New Roman"/>
          <w:b w:val="0"/>
          <w:i w:val="0"/>
          <w:color w:val="000000"/>
          <w:sz w:val="24"/>
        </w:rPr>
        <w:t>LoanSoft centraliza la operación de préstamos en un solo lugar. En lugar de llevar cuadernos de cobro, cálculos manuales y hojas de cálculo dispersas, el sistema mantiene la ficha de cada cliente, el detalle de cada préstamo, el estado de cada cuota y un registro de cada movimiento de dinero. Cuando un dato se registra en el sistema, queda disponible para el resto de las pantallas: lo que se cobra en el módulo de préstamos alimenta el tablero, los reportes y el libro de capital.</w:t>
      </w:r>
    </w:p>
    <w:p>
      <w:pPr>
        <w:pStyle w:val="Heading2"/>
      </w:pPr>
      <w:r>
        <w:t>1.1 Para quién es este manual</w:t>
      </w:r>
    </w:p>
    <w:p>
      <w:r>
        <w:rPr>
          <w:rFonts w:ascii="Times New Roman" w:hAnsi="Times New Roman" w:cs="Times New Roman" w:eastAsia="Times New Roman"/>
          <w:b w:val="0"/>
          <w:i w:val="0"/>
          <w:color w:val="000000"/>
          <w:sz w:val="24"/>
        </w:rPr>
        <w:t xml:space="preserve">El manual está pensado para tres perfiles. El </w:t>
      </w:r>
      <w:r>
        <w:rPr>
          <w:rFonts w:ascii="Times New Roman" w:hAnsi="Times New Roman" w:cs="Times New Roman" w:eastAsia="Times New Roman"/>
          <w:b/>
          <w:i w:val="0"/>
          <w:color w:val="000000"/>
          <w:sz w:val="24"/>
        </w:rPr>
        <w:t>gestor</w:t>
      </w:r>
      <w:r>
        <w:rPr>
          <w:rFonts w:ascii="Times New Roman" w:hAnsi="Times New Roman" w:cs="Times New Roman" w:eastAsia="Times New Roman"/>
          <w:b w:val="0"/>
          <w:i w:val="0"/>
          <w:color w:val="000000"/>
          <w:sz w:val="24"/>
        </w:rPr>
        <w:t xml:space="preserve"> atiende clientes, registra préstamos y cobra cuotas. El </w:t>
      </w:r>
      <w:r>
        <w:rPr>
          <w:rFonts w:ascii="Times New Roman" w:hAnsi="Times New Roman" w:cs="Times New Roman" w:eastAsia="Times New Roman"/>
          <w:b/>
          <w:i w:val="0"/>
          <w:color w:val="000000"/>
          <w:sz w:val="24"/>
        </w:rPr>
        <w:t>administrador</w:t>
      </w:r>
      <w:r>
        <w:rPr>
          <w:rFonts w:ascii="Times New Roman" w:hAnsi="Times New Roman" w:cs="Times New Roman" w:eastAsia="Times New Roman"/>
          <w:b w:val="0"/>
          <w:i w:val="0"/>
          <w:color w:val="000000"/>
          <w:sz w:val="24"/>
        </w:rPr>
        <w:t xml:space="preserve"> además administra usuarios, catálogos y parámetros del sistema, y ejecuta el procesamiento de moras. El </w:t>
      </w:r>
      <w:r>
        <w:rPr>
          <w:rFonts w:ascii="Times New Roman" w:hAnsi="Times New Roman" w:cs="Times New Roman" w:eastAsia="Times New Roman"/>
          <w:b/>
          <w:i w:val="0"/>
          <w:color w:val="000000"/>
          <w:sz w:val="24"/>
        </w:rPr>
        <w:t>responsable de cobranza</w:t>
      </w:r>
      <w:r>
        <w:rPr>
          <w:rFonts w:ascii="Times New Roman" w:hAnsi="Times New Roman" w:cs="Times New Roman" w:eastAsia="Times New Roman"/>
          <w:b w:val="0"/>
          <w:i w:val="0"/>
          <w:color w:val="000000"/>
          <w:sz w:val="24"/>
        </w:rPr>
        <w:t xml:space="preserve"> consulta los vencimientos y da seguimiento a las deudas atrasadas. Cada procedimiento indica en su momento cuál de los perfiles puede realizarlo.</w:t>
      </w:r>
    </w:p>
    <w:p>
      <w:pPr>
        <w:pStyle w:val="Heading2"/>
      </w:pPr>
      <w:r>
        <w:t>1.2 Requisitos de acceso</w:t>
      </w:r>
    </w:p>
    <w:p>
      <w:r>
        <w:rPr>
          <w:rFonts w:ascii="Times New Roman" w:hAnsi="Times New Roman" w:cs="Times New Roman" w:eastAsia="Times New Roman"/>
          <w:b w:val="0"/>
          <w:i w:val="0"/>
          <w:color w:val="000000"/>
          <w:sz w:val="24"/>
        </w:rPr>
        <w:t>Se necesita un navegador actualizado en una computadora o un dispositivo móvil con conexión a internet, una cuenta activa entregada por el administrador y la dirección pública del sistema. La primera vez que se ingresa conviene cambiar la contraseña asignada desde el perfil. La aplicación también puede instalarse en el dispositivo para abrirse como una ventana independiente.</w:t>
      </w:r>
    </w:p>
    <w:p>
      <w:pPr>
        <w:pStyle w:val="Heading2"/>
      </w:pPr>
      <w:r>
        <w:t>1.3 Cómo está organizado el manual</w:t>
      </w:r>
    </w:p>
    <w:p>
      <w:r>
        <w:rPr>
          <w:rFonts w:ascii="Times New Roman" w:hAnsi="Times New Roman" w:cs="Times New Roman" w:eastAsia="Times New Roman"/>
          <w:b w:val="0"/>
          <w:i w:val="0"/>
          <w:color w:val="000000"/>
          <w:sz w:val="24"/>
        </w:rPr>
        <w:t>El capítulo 2 describe el acceso y el perfil. El capítulo 3 explica los elementos de navegación comunes a todas las pantallas. De los capítulos 4 a 11 se describe cada módulo con su procedimiento de trabajo. El capítulo 12 reúne los problemas frecuentes con su solución y el capítulo 13 define la terminología utilizada.</w:t>
      </w:r>
    </w:p>
    <w:p>
      <w:r>
        <w:br w:type="page"/>
      </w:r>
    </w:p>
    <w:p>
      <w:pPr>
        <w:pStyle w:val="Heading1"/>
      </w:pPr>
      <w:r>
        <w:t>2. Primeros pasos: acceso y perfil</w:t>
      </w:r>
    </w:p>
    <w:p>
      <w:pPr>
        <w:pStyle w:val="Heading2"/>
      </w:pPr>
      <w:r>
        <w:t>2.1 Inicio de sesión</w:t>
      </w:r>
    </w:p>
    <w:p>
      <w:r>
        <w:rPr>
          <w:rFonts w:ascii="Times New Roman" w:hAnsi="Times New Roman" w:cs="Times New Roman" w:eastAsia="Times New Roman"/>
          <w:b w:val="0"/>
          <w:i w:val="0"/>
          <w:color w:val="000000"/>
          <w:sz w:val="24"/>
        </w:rPr>
        <w:t>Al abrir el sistema aparece la pantalla de acceso con dos campos: correo electrónico y contraseña. Se escribe el correo asignado, la contraseña de al menos seis caracteres y se pulsa el botón de ingreso. Si las credenciales son correctas, el sistema guarda la sesión y muestra el tablero. Si no lo son, aparece un mensaje de error sin indicar si el problema está en el correo o en la contraseña; en ese caso se revisan ambos datos y se vuelve a intentar.</w:t>
      </w:r>
    </w:p>
    <w:p>
      <w:r>
        <w:rPr>
          <w:rFonts w:ascii="Times New Roman" w:hAnsi="Times New Roman" w:cs="Times New Roman" w:eastAsia="Times New Roman"/>
          <w:b w:val="0"/>
          <w:i w:val="0"/>
          <w:color w:val="000000"/>
          <w:sz w:val="24"/>
        </w:rPr>
        <w:t>La sesión permanece activa durante la jornada. Si el navegador la da por vencida, el sistema intenta renovarla de forma automática; si ya no es posible, devuelve a la pantalla de acceso. Para salir de forma deliberada se usa la opción de cierre de sesión del menú de usuario, situado en la parte superior derecha junto al nombre.</w:t>
      </w:r>
    </w:p>
    <w:p>
      <w:pPr>
        <w:pStyle w:val="Heading2"/>
      </w:pPr>
      <w:r>
        <w:t>2.2 Cambio de contraseña</w:t>
      </w:r>
    </w:p>
    <w:p>
      <w:r>
        <w:rPr>
          <w:rFonts w:ascii="Times New Roman" w:hAnsi="Times New Roman" w:cs="Times New Roman" w:eastAsia="Times New Roman"/>
          <w:b w:val="0"/>
          <w:i w:val="0"/>
          <w:color w:val="000000"/>
          <w:sz w:val="24"/>
        </w:rPr>
        <w:t>Desde el perfil se actualiza la contraseña. El formulario pide la contraseña actual, la nueva y su confirmación; la nueva debe tener al menos seis caracteres y las dos últimas entradas deben coincidir. Al guardar, el sistema valida la contraseña actual, aplica el cambio y limpia los campos. Si la contraseña actual es incorrecta, el formulario lo indica y no se modifica nada.</w:t>
      </w:r>
    </w:p>
    <w:p>
      <w:pPr>
        <w:pStyle w:val="Heading2"/>
      </w:pPr>
      <w:r>
        <w:t>2.3 Asistente de configuración inicial</w:t>
      </w:r>
    </w:p>
    <w:p>
      <w:r>
        <w:rPr>
          <w:rFonts w:ascii="Times New Roman" w:hAnsi="Times New Roman" w:cs="Times New Roman" w:eastAsia="Times New Roman"/>
          <w:b w:val="0"/>
          <w:i w:val="0"/>
          <w:color w:val="000000"/>
          <w:sz w:val="24"/>
        </w:rPr>
        <w:t>En el primer ingreso el sistema ofrece un asistente breve para dejar la operación lista: se registran los tipos de préstamo con su interés mensual y su máximo de cuotas, los tipos de pago disponibles, el capital inicial con el que cuenta la caja y un primer cliente. El asistente permite omitir cualquier paso y retomarse después, de modo que nunca bloquea el uso normal del sistema.</w:t>
      </w:r>
    </w:p>
    <w:p>
      <w:r>
        <w:br w:type="page"/>
      </w:r>
    </w:p>
    <w:p>
      <w:pPr>
        <w:pStyle w:val="Heading1"/>
      </w:pPr>
      <w:r>
        <w:t>3. Navegación general</w:t>
      </w:r>
    </w:p>
    <w:p>
      <w:r>
        <w:rPr>
          <w:rFonts w:ascii="Times New Roman" w:hAnsi="Times New Roman" w:cs="Times New Roman" w:eastAsia="Times New Roman"/>
          <w:b w:val="0"/>
          <w:i w:val="0"/>
          <w:color w:val="000000"/>
          <w:sz w:val="24"/>
        </w:rPr>
        <w:t>La aplicación se organiza en un conjunto reducido de pantallas accesibles desde el menú lateral. El siguiente mapa resume dónde está cada función y en qué orden se suele recorrer: se parte del tablero, se trabaja con clientes, préstamos y pagos, y se cierra con la gestión, la cobranza y el control administrativo.</w:t>
      </w:r>
    </w:p>
    <w:p>
      <w:pPr>
        <w:spacing w:line="240" w:lineRule="auto" w:before="240"/>
        <w:jc w:val="center"/>
      </w:pPr>
      <w:r>
        <w:drawing>
          <wp:inline xmlns:a="http://schemas.openxmlformats.org/drawingml/2006/main" xmlns:pic="http://schemas.openxmlformats.org/drawingml/2006/picture">
            <wp:extent cx="5120640" cy="3302831"/>
            <wp:docPr id="1" name="Picture 1"/>
            <wp:cNvGraphicFramePr>
              <a:graphicFrameLocks noChangeAspect="1"/>
            </wp:cNvGraphicFramePr>
            <a:graphic>
              <a:graphicData uri="http://schemas.openxmlformats.org/drawingml/2006/picture">
                <pic:pic>
                  <pic:nvPicPr>
                    <pic:cNvPr id="0" name="fig8_mapa_navegacion.png"/>
                    <pic:cNvPicPr/>
                  </pic:nvPicPr>
                  <pic:blipFill>
                    <a:blip r:embed="rId10"/>
                    <a:stretch>
                      <a:fillRect/>
                    </a:stretch>
                  </pic:blipFill>
                  <pic:spPr>
                    <a:xfrm>
                      <a:off x="0" y="0"/>
                      <a:ext cx="5120640" cy="3302831"/>
                    </a:xfrm>
                    <a:prstGeom prst="rect"/>
                  </pic:spPr>
                </pic:pic>
              </a:graphicData>
            </a:graphic>
          </wp:inline>
        </w:drawing>
      </w:r>
    </w:p>
    <w:p>
      <w:pPr>
        <w:spacing w:line="240" w:lineRule="auto" w:after="240"/>
        <w:jc w:val="center"/>
      </w:pPr>
      <w:r>
        <w:rPr>
          <w:rFonts w:ascii="Times New Roman" w:hAnsi="Times New Roman" w:cs="Times New Roman" w:eastAsia="Times New Roman"/>
          <w:b/>
          <w:i w:val="0"/>
          <w:color w:val="000000"/>
          <w:sz w:val="20"/>
        </w:rPr>
        <w:t>Figura 1</w:t>
      </w:r>
      <w:r>
        <w:rPr>
          <w:rFonts w:ascii="Times New Roman" w:hAnsi="Times New Roman" w:cs="Times New Roman" w:eastAsia="Times New Roman"/>
          <w:b w:val="0"/>
          <w:i/>
          <w:color w:val="000000"/>
          <w:sz w:val="20"/>
        </w:rPr>
        <w:t xml:space="preserve">  Mapa de navegación de las pantallas principales de LoanSoft.</w:t>
      </w:r>
    </w:p>
    <w:p>
      <w:pPr>
        <w:keepNext/>
        <w:spacing w:line="240" w:lineRule="auto" w:before="240" w:after="120"/>
      </w:pPr>
      <w:r>
        <w:rPr>
          <w:rFonts w:ascii="Times New Roman" w:hAnsi="Times New Roman" w:cs="Times New Roman" w:eastAsia="Times New Roman"/>
          <w:b/>
          <w:i w:val="0"/>
          <w:color w:val="000000"/>
          <w:sz w:val="20"/>
        </w:rPr>
        <w:t>Tabla 1</w:t>
      </w:r>
      <w:r>
        <w:rPr>
          <w:rFonts w:ascii="Times New Roman" w:hAnsi="Times New Roman" w:cs="Times New Roman" w:eastAsia="Times New Roman"/>
          <w:b w:val="0"/>
          <w:i/>
          <w:color w:val="000000"/>
          <w:sz w:val="20"/>
        </w:rPr>
        <w:t xml:space="preserve">  Pantallas del sistema y su propósito</w:t>
      </w:r>
    </w:p>
    <w:tbl>
      <w:tblPr>
        <w:tblW w:type="auto" w:w="0"/>
        <w:jc w:val="center"/>
        <w:tblLayout w:type="fixed"/>
        <w:tblLook w:firstColumn="1" w:firstRow="1" w:lastColumn="0" w:lastRow="0" w:noHBand="0" w:noVBand="1" w:val="04A0"/>
        <w:tblBorders>
          <w:top w:val="single" w:sz="12" w:color="000000"/>
          <w:bottom w:val="single" w:sz="12" w:color="000000"/>
          <w:left w:val="nil"/>
          <w:right w:val="nil"/>
          <w:insideH w:val="single" w:sz="4" w:color="000000"/>
          <w:insideV w:val="nil"/>
        </w:tblBorders>
      </w:tblPr>
      <w:tblGrid>
        <w:gridCol w:w="3120"/>
        <w:gridCol w:w="3120"/>
        <w:gridCol w:w="3120"/>
      </w:tblGrid>
      <w:tr>
        <w:trPr>
          <w:tblHeader w:val="true"/>
        </w:trPr>
        <w:tc>
          <w:tcPr>
            <w:tcW w:type="dxa" w:w="2273"/>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Pantalla</w:t>
            </w:r>
          </w:p>
        </w:tc>
        <w:tc>
          <w:tcPr>
            <w:tcW w:type="dxa" w:w="2139"/>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Ruta</w:t>
            </w:r>
          </w:p>
        </w:tc>
        <w:tc>
          <w:tcPr>
            <w:tcW w:type="dxa" w:w="4947"/>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Qué se hace allí</w:t>
            </w:r>
          </w:p>
        </w:tc>
      </w:tr>
      <w:tr>
        <w:tc>
          <w:tcPr>
            <w:tcW w:type="dxa" w:w="227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Tablero</w:t>
            </w:r>
          </w:p>
        </w:tc>
        <w:tc>
          <w:tcPr>
            <w:tcW w:type="dxa" w:w="213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w:t>
            </w:r>
          </w:p>
        </w:tc>
        <w:tc>
          <w:tcPr>
            <w:tcW w:type="dxa" w:w="494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Revisar los indicadores del negocio de un vistazo.</w:t>
            </w:r>
          </w:p>
        </w:tc>
      </w:tr>
      <w:tr>
        <w:tc>
          <w:tcPr>
            <w:tcW w:type="dxa" w:w="227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Clientes</w:t>
            </w:r>
          </w:p>
        </w:tc>
        <w:tc>
          <w:tcPr>
            <w:tcW w:type="dxa" w:w="213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/clientes</w:t>
            </w:r>
          </w:p>
        </w:tc>
        <w:tc>
          <w:tcPr>
            <w:tcW w:type="dxa" w:w="494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Registrar, buscar, editar y dar de baja clientes.</w:t>
            </w:r>
          </w:p>
        </w:tc>
      </w:tr>
      <w:tr>
        <w:tc>
          <w:tcPr>
            <w:tcW w:type="dxa" w:w="227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Préstamos</w:t>
            </w:r>
          </w:p>
        </w:tc>
        <w:tc>
          <w:tcPr>
            <w:tcW w:type="dxa" w:w="213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/prestamos</w:t>
            </w:r>
          </w:p>
        </w:tc>
        <w:tc>
          <w:tcPr>
            <w:tcW w:type="dxa" w:w="494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Listar y filtrar préstamos; crear uno nuevo.</w:t>
            </w:r>
          </w:p>
        </w:tc>
      </w:tr>
      <w:tr>
        <w:tc>
          <w:tcPr>
            <w:tcW w:type="dxa" w:w="227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Detalle de préstamo</w:t>
            </w:r>
          </w:p>
        </w:tc>
        <w:tc>
          <w:tcPr>
            <w:tcW w:type="dxa" w:w="213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/prestamos/{id}</w:t>
            </w:r>
          </w:p>
        </w:tc>
        <w:tc>
          <w:tcPr>
            <w:tcW w:type="dxa" w:w="494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Ver cuotas, registrar pagos, renovar o marcar como perdido.</w:t>
            </w:r>
          </w:p>
        </w:tc>
      </w:tr>
      <w:tr>
        <w:tc>
          <w:tcPr>
            <w:tcW w:type="dxa" w:w="227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Nuevo préstamo</w:t>
            </w:r>
          </w:p>
        </w:tc>
        <w:tc>
          <w:tcPr>
            <w:tcW w:type="dxa" w:w="213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/prestamos/nuevo</w:t>
            </w:r>
          </w:p>
        </w:tc>
        <w:tc>
          <w:tcPr>
            <w:tcW w:type="dxa" w:w="494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Originar un préstamo con su plan de cuotas.</w:t>
            </w:r>
          </w:p>
        </w:tc>
      </w:tr>
      <w:tr>
        <w:tc>
          <w:tcPr>
            <w:tcW w:type="dxa" w:w="227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Pagos</w:t>
            </w:r>
          </w:p>
        </w:tc>
        <w:tc>
          <w:tcPr>
            <w:tcW w:type="dxa" w:w="213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/pagos</w:t>
            </w:r>
          </w:p>
        </w:tc>
        <w:tc>
          <w:tcPr>
            <w:tcW w:type="dxa" w:w="494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Revisar el cobro registrado en el día.</w:t>
            </w:r>
          </w:p>
        </w:tc>
      </w:tr>
      <w:tr>
        <w:tc>
          <w:tcPr>
            <w:tcW w:type="dxa" w:w="227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Cobranza</w:t>
            </w:r>
          </w:p>
        </w:tc>
        <w:tc>
          <w:tcPr>
            <w:tcW w:type="dxa" w:w="213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/cobranza</w:t>
            </w:r>
          </w:p>
        </w:tc>
        <w:tc>
          <w:tcPr>
            <w:tcW w:type="dxa" w:w="494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Trabajar las deudas vencidas.</w:t>
            </w:r>
          </w:p>
        </w:tc>
      </w:tr>
      <w:tr>
        <w:tc>
          <w:tcPr>
            <w:tcW w:type="dxa" w:w="227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Moras</w:t>
            </w:r>
          </w:p>
        </w:tc>
        <w:tc>
          <w:tcPr>
            <w:tcW w:type="dxa" w:w="213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/moras</w:t>
            </w:r>
          </w:p>
        </w:tc>
        <w:tc>
          <w:tcPr>
            <w:tcW w:type="dxa" w:w="494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Consultar y procesar las penalizaciones.</w:t>
            </w:r>
          </w:p>
        </w:tc>
      </w:tr>
      <w:tr>
        <w:tc>
          <w:tcPr>
            <w:tcW w:type="dxa" w:w="227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Capital</w:t>
            </w:r>
          </w:p>
        </w:tc>
        <w:tc>
          <w:tcPr>
            <w:tcW w:type="dxa" w:w="213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/capital</w:t>
            </w:r>
          </w:p>
        </w:tc>
        <w:tc>
          <w:tcPr>
            <w:tcW w:type="dxa" w:w="494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Ver el saldo disponible y su historial de movimientos.</w:t>
            </w:r>
          </w:p>
        </w:tc>
      </w:tr>
      <w:tr>
        <w:tc>
          <w:tcPr>
            <w:tcW w:type="dxa" w:w="227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Reportes</w:t>
            </w:r>
          </w:p>
        </w:tc>
        <w:tc>
          <w:tcPr>
            <w:tcW w:type="dxa" w:w="213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/reportes</w:t>
            </w:r>
          </w:p>
        </w:tc>
        <w:tc>
          <w:tcPr>
            <w:tcW w:type="dxa" w:w="494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Producir ganancias, pérdidas y exportaciones.</w:t>
            </w:r>
          </w:p>
        </w:tc>
      </w:tr>
      <w:tr>
        <w:tc>
          <w:tcPr>
            <w:tcW w:type="dxa" w:w="227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Usuarios</w:t>
            </w:r>
          </w:p>
        </w:tc>
        <w:tc>
          <w:tcPr>
            <w:tcW w:type="dxa" w:w="213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/usuarios</w:t>
            </w:r>
          </w:p>
        </w:tc>
        <w:tc>
          <w:tcPr>
            <w:tcW w:type="dxa" w:w="494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Administrar cuentas y roles.</w:t>
            </w:r>
          </w:p>
        </w:tc>
      </w:tr>
      <w:tr>
        <w:tc>
          <w:tcPr>
            <w:tcW w:type="dxa" w:w="227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Tipos de préstamo</w:t>
            </w:r>
          </w:p>
        </w:tc>
        <w:tc>
          <w:tcPr>
            <w:tcW w:type="dxa" w:w="213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/tipos-prestamo</w:t>
            </w:r>
          </w:p>
        </w:tc>
        <w:tc>
          <w:tcPr>
            <w:tcW w:type="dxa" w:w="494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Administrar el catálogo de crédito.</w:t>
            </w:r>
          </w:p>
        </w:tc>
      </w:tr>
      <w:tr>
        <w:tc>
          <w:tcPr>
            <w:tcW w:type="dxa" w:w="227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Tipos de pago</w:t>
            </w:r>
          </w:p>
        </w:tc>
        <w:tc>
          <w:tcPr>
            <w:tcW w:type="dxa" w:w="213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/tipos-pago</w:t>
            </w:r>
          </w:p>
        </w:tc>
        <w:tc>
          <w:tcPr>
            <w:tcW w:type="dxa" w:w="494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Administrar los medios de cobro.</w:t>
            </w:r>
          </w:p>
        </w:tc>
      </w:tr>
      <w:tr>
        <w:tc>
          <w:tcPr>
            <w:tcW w:type="dxa" w:w="227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Perfil</w:t>
            </w:r>
          </w:p>
        </w:tc>
        <w:tc>
          <w:tcPr>
            <w:tcW w:type="dxa" w:w="213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/perfil</w:t>
            </w:r>
          </w:p>
        </w:tc>
        <w:tc>
          <w:tcPr>
            <w:tcW w:type="dxa" w:w="494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Consultar los datos propios y cambiar la contraseña.</w:t>
            </w:r>
          </w:p>
        </w:tc>
      </w:tr>
    </w:tbl>
    <w:p>
      <w:pPr>
        <w:spacing w:line="240" w:lineRule="auto" w:after="120"/>
      </w:pPr>
    </w:p>
    <w:p>
      <w:pPr>
        <w:pStyle w:val="Heading2"/>
      </w:pPr>
      <w:r>
        <w:t>3.1 Elementos comunes</w:t>
      </w:r>
    </w:p>
    <w:p>
      <w:r>
        <w:rPr>
          <w:rFonts w:ascii="Times New Roman" w:hAnsi="Times New Roman" w:cs="Times New Roman" w:eastAsia="Times New Roman"/>
          <w:b w:val="0"/>
          <w:i w:val="0"/>
          <w:color w:val="000000"/>
          <w:sz w:val="24"/>
        </w:rPr>
        <w:t>La cabecera muestra el nombre del usuario, que además da acceso a su perfil y al cierre de sesión, e incluye el botón de importación de extractos, cuya pantalla aún funciona con datos de demostración y por lo tanto no debe usarse en operación real. Junto a la navegación aparecen elementos de apoyo: un indicador de sincronización que informa si hay operaciones pendientes de envío, un aviso de conexión cuando la red se interrumpe, una calculadora rápida para resolver operaciones sin salir de la pantalla y un asistente de instalación cuando el navegador permite añadir la aplicación al escritorio.</w:t>
      </w:r>
    </w:p>
    <w:p>
      <w:r>
        <w:rPr>
          <w:rFonts w:ascii="Times New Roman" w:hAnsi="Times New Roman" w:cs="Times New Roman" w:eastAsia="Times New Roman"/>
          <w:b w:val="0"/>
          <w:i w:val="0"/>
          <w:color w:val="000000"/>
          <w:sz w:val="24"/>
        </w:rPr>
        <w:t>Los listados comparten un mismo comportamiento: encabezado con título y acción principal, barra de filtros, tabla con sus columnas y control de paginación en la parte inferior. Los estados vacíos explican por qué no hay datos y, cuando corresponde, ofrecen el botón para crear el primer registro.</w:t>
      </w:r>
    </w:p>
    <w:p>
      <w:r>
        <w:br w:type="page"/>
      </w:r>
    </w:p>
    <w:p>
      <w:pPr>
        <w:pStyle w:val="Heading1"/>
      </w:pPr>
      <w:r>
        <w:t>4. El tablero</w:t>
      </w:r>
    </w:p>
    <w:p>
      <w:r>
        <w:rPr>
          <w:rFonts w:ascii="Times New Roman" w:hAnsi="Times New Roman" w:cs="Times New Roman" w:eastAsia="Times New Roman"/>
          <w:b w:val="0"/>
          <w:i w:val="0"/>
          <w:color w:val="000000"/>
          <w:sz w:val="24"/>
        </w:rPr>
        <w:t>El tablero es la primera pantalla después del ingreso y reúne los indicadores que definen la salud del negocio. Se organiza en tarjetas de resumen y gráficos de distribución.</w:t>
      </w:r>
    </w:p>
    <w:p>
      <w:pPr>
        <w:keepNext/>
        <w:spacing w:line="240" w:lineRule="auto" w:before="240" w:after="120"/>
      </w:pPr>
      <w:r>
        <w:rPr>
          <w:rFonts w:ascii="Times New Roman" w:hAnsi="Times New Roman" w:cs="Times New Roman" w:eastAsia="Times New Roman"/>
          <w:b/>
          <w:i w:val="0"/>
          <w:color w:val="000000"/>
          <w:sz w:val="20"/>
        </w:rPr>
        <w:t>Tabla 2</w:t>
      </w:r>
      <w:r>
        <w:rPr>
          <w:rFonts w:ascii="Times New Roman" w:hAnsi="Times New Roman" w:cs="Times New Roman" w:eastAsia="Times New Roman"/>
          <w:b w:val="0"/>
          <w:i/>
          <w:color w:val="000000"/>
          <w:sz w:val="20"/>
        </w:rPr>
        <w:t xml:space="preserve">  Indicadores del tablero</w:t>
      </w:r>
    </w:p>
    <w:tbl>
      <w:tblPr>
        <w:tblW w:type="auto" w:w="0"/>
        <w:jc w:val="center"/>
        <w:tblLayout w:type="fixed"/>
        <w:tblLook w:firstColumn="1" w:firstRow="1" w:lastColumn="0" w:lastRow="0" w:noHBand="0" w:noVBand="1" w:val="04A0"/>
        <w:tblBorders>
          <w:top w:val="single" w:sz="12" w:color="000000"/>
          <w:bottom w:val="single" w:sz="12" w:color="000000"/>
          <w:left w:val="nil"/>
          <w:right w:val="nil"/>
          <w:insideH w:val="single" w:sz="4" w:color="000000"/>
          <w:insideV w:val="nil"/>
        </w:tblBorders>
      </w:tblPr>
      <w:tblGrid>
        <w:gridCol w:w="3120"/>
        <w:gridCol w:w="3120"/>
        <w:gridCol w:w="3120"/>
      </w:tblGrid>
      <w:tr>
        <w:trPr>
          <w:tblHeader w:val="true"/>
        </w:trPr>
        <w:tc>
          <w:tcPr>
            <w:tcW w:type="dxa" w:w="2080"/>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Indicador</w:t>
            </w:r>
          </w:p>
        </w:tc>
        <w:tc>
          <w:tcPr>
            <w:tcW w:type="dxa" w:w="3380"/>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Qué representa</w:t>
            </w:r>
          </w:p>
        </w:tc>
        <w:tc>
          <w:tcPr>
            <w:tcW w:type="dxa" w:w="3900"/>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Cómo se calcula</w:t>
            </w:r>
          </w:p>
        </w:tc>
      </w:tr>
      <w:tr>
        <w:tc>
          <w:tcPr>
            <w:tcW w:type="dxa" w:w="208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Capital actual</w:t>
            </w:r>
          </w:p>
        </w:tc>
        <w:tc>
          <w:tcPr>
            <w:tcW w:type="dxa" w:w="338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Dinero disponible para prestar en este momento.</w:t>
            </w:r>
          </w:p>
        </w:tc>
        <w:tc>
          <w:tcPr>
            <w:tcW w:type="dxa" w:w="390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Capital total menos los préstamos otorgados más los cobros de capital.</w:t>
            </w:r>
          </w:p>
        </w:tc>
      </w:tr>
      <w:tr>
        <w:tc>
          <w:tcPr>
            <w:tcW w:type="dxa" w:w="208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Préstamos activos</w:t>
            </w:r>
          </w:p>
        </w:tc>
        <w:tc>
          <w:tcPr>
            <w:tcW w:type="dxa" w:w="338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Cantidad de préstamos vigentes que se están pagando.</w:t>
            </w:r>
          </w:p>
        </w:tc>
        <w:tc>
          <w:tcPr>
            <w:tcW w:type="dxa" w:w="390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Préstamos en estado activo.</w:t>
            </w:r>
          </w:p>
        </w:tc>
      </w:tr>
      <w:tr>
        <w:tc>
          <w:tcPr>
            <w:tcW w:type="dxa" w:w="208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Saldo pendiente total</w:t>
            </w:r>
          </w:p>
        </w:tc>
        <w:tc>
          <w:tcPr>
            <w:tcW w:type="dxa" w:w="338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Dinero que falta por cobrar de toda la cartera.</w:t>
            </w:r>
          </w:p>
        </w:tc>
        <w:tc>
          <w:tcPr>
            <w:tcW w:type="dxa" w:w="390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Suma de los saldos pendientes de los préstamos activos.</w:t>
            </w:r>
          </w:p>
        </w:tc>
      </w:tr>
      <w:tr>
        <w:tc>
          <w:tcPr>
            <w:tcW w:type="dxa" w:w="208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Ganancia del periodo</w:t>
            </w:r>
          </w:p>
        </w:tc>
        <w:tc>
          <w:tcPr>
            <w:tcW w:type="dxa" w:w="338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Utilidad reconocida en el periodo consultado.</w:t>
            </w:r>
          </w:p>
        </w:tc>
        <w:tc>
          <w:tcPr>
            <w:tcW w:type="dxa" w:w="390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Intereses efectivamente cobrados.</w:t>
            </w:r>
          </w:p>
        </w:tc>
      </w:tr>
      <w:tr>
        <w:tc>
          <w:tcPr>
            <w:tcW w:type="dxa" w:w="208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Total prestado</w:t>
            </w:r>
          </w:p>
        </w:tc>
        <w:tc>
          <w:tcPr>
            <w:tcW w:type="dxa" w:w="338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Monto desembolsado históricamente.</w:t>
            </w:r>
          </w:p>
        </w:tc>
        <w:tc>
          <w:tcPr>
            <w:tcW w:type="dxa" w:w="390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Suma de los capitales prestados.</w:t>
            </w:r>
          </w:p>
        </w:tc>
      </w:tr>
      <w:tr>
        <w:tc>
          <w:tcPr>
            <w:tcW w:type="dxa" w:w="208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Préstamos perdidos</w:t>
            </w:r>
          </w:p>
        </w:tc>
        <w:tc>
          <w:tcPr>
            <w:tcW w:type="dxa" w:w="338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Declaraciones de incobrabilidad registradas.</w:t>
            </w:r>
          </w:p>
        </w:tc>
        <w:tc>
          <w:tcPr>
            <w:tcW w:type="dxa" w:w="390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Préstamos marcados como perdidos.</w:t>
            </w:r>
          </w:p>
        </w:tc>
      </w:tr>
    </w:tbl>
    <w:p>
      <w:pPr>
        <w:spacing w:line="240" w:lineRule="auto" w:after="120"/>
      </w:pPr>
    </w:p>
    <w:p>
      <w:r>
        <w:rPr>
          <w:rFonts w:ascii="Times New Roman" w:hAnsi="Times New Roman" w:cs="Times New Roman" w:eastAsia="Times New Roman"/>
          <w:b w:val="0"/>
          <w:i w:val="0"/>
          <w:color w:val="000000"/>
          <w:sz w:val="24"/>
        </w:rPr>
        <w:t>Cuando el sistema no tiene información suficiente para un indicador, la tarjeta muestra la leyenda de ausencia de datos en lugar de un cero engañoso. Los importes se presentan con el formato monetario configurado y se actualizan al recargar la pantalla o al abrir una nueva sesión.</w:t>
      </w:r>
    </w:p>
    <w:p>
      <w:r>
        <w:br w:type="page"/>
      </w:r>
    </w:p>
    <w:p>
      <w:pPr>
        <w:pStyle w:val="Heading1"/>
      </w:pPr>
      <w:r>
        <w:t>5. Gestión de clientes</w:t>
      </w:r>
    </w:p>
    <w:p>
      <w:r>
        <w:rPr>
          <w:rFonts w:ascii="Times New Roman" w:hAnsi="Times New Roman" w:cs="Times New Roman" w:eastAsia="Times New Roman"/>
          <w:b w:val="0"/>
          <w:i w:val="0"/>
          <w:color w:val="000000"/>
          <w:sz w:val="24"/>
        </w:rPr>
        <w:t>El cliente es la puerta de entrada de la operación: no se puede originar un préstamo sin una ficha de cliente registrada. La pantalla de clientes concentra el alta, la búsqueda, la edición y la baja lógica.</w:t>
      </w:r>
    </w:p>
    <w:p>
      <w:pPr>
        <w:pStyle w:val="Heading2"/>
      </w:pPr>
      <w:r>
        <w:t>5.1 Registro de un cliente</w:t>
      </w:r>
    </w:p>
    <w:p>
      <w:r>
        <w:rPr>
          <w:rFonts w:ascii="Times New Roman" w:hAnsi="Times New Roman" w:cs="Times New Roman" w:eastAsia="Times New Roman"/>
          <w:b w:val="0"/>
          <w:i w:val="0"/>
          <w:color w:val="000000"/>
          <w:sz w:val="24"/>
        </w:rPr>
        <w:t>Se abre el formulario de cliente desde el botón de alta y se completan los campos. Los obligatorios están marcados con asterisco: nombre completo y cédula. Teléfono, dirección, persona de referencia, teléfono de referencia y observaciones son opcionales, pero cuanto más completa esté la ficha, más fácil será el cobro posterior. El campo de estado permite dejar el cliente activo o inactivo; un cliente inactivo no podrá recibir préstamos nuevos.</w:t>
      </w:r>
    </w:p>
    <w:p>
      <w:pPr>
        <w:keepNext/>
        <w:spacing w:line="240" w:lineRule="auto" w:before="240" w:after="120"/>
      </w:pPr>
      <w:r>
        <w:rPr>
          <w:rFonts w:ascii="Times New Roman" w:hAnsi="Times New Roman" w:cs="Times New Roman" w:eastAsia="Times New Roman"/>
          <w:b/>
          <w:i w:val="0"/>
          <w:color w:val="000000"/>
          <w:sz w:val="20"/>
        </w:rPr>
        <w:t>Tabla 3</w:t>
      </w:r>
      <w:r>
        <w:rPr>
          <w:rFonts w:ascii="Times New Roman" w:hAnsi="Times New Roman" w:cs="Times New Roman" w:eastAsia="Times New Roman"/>
          <w:b w:val="0"/>
          <w:i/>
          <w:color w:val="000000"/>
          <w:sz w:val="20"/>
        </w:rPr>
        <w:t xml:space="preserve">  Campos del formulario de cliente</w:t>
      </w:r>
    </w:p>
    <w:tbl>
      <w:tblPr>
        <w:tblW w:type="auto" w:w="0"/>
        <w:jc w:val="center"/>
        <w:tblLayout w:type="fixed"/>
        <w:tblLook w:firstColumn="1" w:firstRow="1" w:lastColumn="0" w:lastRow="0" w:noHBand="0" w:noVBand="1" w:val="04A0"/>
        <w:tblBorders>
          <w:top w:val="single" w:sz="12" w:color="000000"/>
          <w:bottom w:val="single" w:sz="12" w:color="000000"/>
          <w:left w:val="nil"/>
          <w:right w:val="nil"/>
          <w:insideH w:val="single" w:sz="4" w:color="000000"/>
          <w:insideV w:val="nil"/>
        </w:tblBorders>
      </w:tblPr>
      <w:tblGrid>
        <w:gridCol w:w="3120"/>
        <w:gridCol w:w="3120"/>
        <w:gridCol w:w="3120"/>
      </w:tblGrid>
      <w:tr>
        <w:trPr>
          <w:tblHeader w:val="true"/>
        </w:trPr>
        <w:tc>
          <w:tcPr>
            <w:tcW w:type="dxa" w:w="2674"/>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Campo</w:t>
            </w:r>
          </w:p>
        </w:tc>
        <w:tc>
          <w:tcPr>
            <w:tcW w:type="dxa" w:w="1337"/>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Obligatorio</w:t>
            </w:r>
          </w:p>
        </w:tc>
        <w:tc>
          <w:tcPr>
            <w:tcW w:type="dxa" w:w="5349"/>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Observaciones</w:t>
            </w:r>
          </w:p>
        </w:tc>
      </w:tr>
      <w:tr>
        <w:tc>
          <w:tcPr>
            <w:tcW w:type="dxa" w:w="267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Nombre completo</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Sí</w:t>
            </w:r>
          </w:p>
        </w:tc>
        <w:tc>
          <w:tcPr>
            <w:tcW w:type="dxa" w:w="534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Nombre y apellidos del titular.</w:t>
            </w:r>
          </w:p>
        </w:tc>
      </w:tr>
      <w:tr>
        <w:tc>
          <w:tcPr>
            <w:tcW w:type="dxa" w:w="267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Cédula</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Sí</w:t>
            </w:r>
          </w:p>
        </w:tc>
        <w:tc>
          <w:tcPr>
            <w:tcW w:type="dxa" w:w="534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Identificador único; no puede repetirse.</w:t>
            </w:r>
          </w:p>
        </w:tc>
      </w:tr>
      <w:tr>
        <w:tc>
          <w:tcPr>
            <w:tcW w:type="dxa" w:w="267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Teléfono</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No</w:t>
            </w:r>
          </w:p>
        </w:tc>
        <w:tc>
          <w:tcPr>
            <w:tcW w:type="dxa" w:w="534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Número de contacto principal.</w:t>
            </w:r>
          </w:p>
        </w:tc>
      </w:tr>
      <w:tr>
        <w:tc>
          <w:tcPr>
            <w:tcW w:type="dxa" w:w="267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Dirección</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No</w:t>
            </w:r>
          </w:p>
        </w:tc>
        <w:tc>
          <w:tcPr>
            <w:tcW w:type="dxa" w:w="534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Domicilio declarado.</w:t>
            </w:r>
          </w:p>
        </w:tc>
      </w:tr>
      <w:tr>
        <w:tc>
          <w:tcPr>
            <w:tcW w:type="dxa" w:w="267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Persona de referencia</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No</w:t>
            </w:r>
          </w:p>
        </w:tc>
        <w:tc>
          <w:tcPr>
            <w:tcW w:type="dxa" w:w="534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Contacto alternativo para cobranza.</w:t>
            </w:r>
          </w:p>
        </w:tc>
      </w:tr>
      <w:tr>
        <w:tc>
          <w:tcPr>
            <w:tcW w:type="dxa" w:w="267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Teléfono de referencia</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No</w:t>
            </w:r>
          </w:p>
        </w:tc>
        <w:tc>
          <w:tcPr>
            <w:tcW w:type="dxa" w:w="534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Número de la persona de referencia.</w:t>
            </w:r>
          </w:p>
        </w:tc>
      </w:tr>
      <w:tr>
        <w:tc>
          <w:tcPr>
            <w:tcW w:type="dxa" w:w="267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Estado</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Sí</w:t>
            </w:r>
          </w:p>
        </w:tc>
        <w:tc>
          <w:tcPr>
            <w:tcW w:type="dxa" w:w="534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Activo o inactivo; controla la posibilidad de prestar.</w:t>
            </w:r>
          </w:p>
        </w:tc>
      </w:tr>
      <w:tr>
        <w:tc>
          <w:tcPr>
            <w:tcW w:type="dxa" w:w="267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Observaciones</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No</w:t>
            </w:r>
          </w:p>
        </w:tc>
        <w:tc>
          <w:tcPr>
            <w:tcW w:type="dxa" w:w="534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Notas internas sobre el cliente.</w:t>
            </w:r>
          </w:p>
        </w:tc>
      </w:tr>
    </w:tbl>
    <w:p>
      <w:pPr>
        <w:spacing w:line="240" w:lineRule="auto" w:after="120"/>
      </w:pPr>
    </w:p>
    <w:p>
      <w:r>
        <w:rPr>
          <w:rFonts w:ascii="Times New Roman" w:hAnsi="Times New Roman" w:cs="Times New Roman" w:eastAsia="Times New Roman"/>
          <w:b w:val="0"/>
          <w:i w:val="0"/>
          <w:color w:val="000000"/>
          <w:sz w:val="24"/>
        </w:rPr>
        <w:t>Al guardar, el sistema valida el formato de la cédula y comprueba que no exista otra ficha con el mismo número. Si la cédula ya está registrada, el formulario señala el conflicto y conserva lo escrito para que se corrija únicamente el dato erróneo.</w:t>
      </w:r>
    </w:p>
    <w:p>
      <w:pPr>
        <w:pStyle w:val="Heading2"/>
      </w:pPr>
      <w:r>
        <w:t>5.2 Búsqueda y edición</w:t>
      </w:r>
    </w:p>
    <w:p>
      <w:r>
        <w:rPr>
          <w:rFonts w:ascii="Times New Roman" w:hAnsi="Times New Roman" w:cs="Times New Roman" w:eastAsia="Times New Roman"/>
          <w:b w:val="0"/>
          <w:i w:val="0"/>
          <w:color w:val="000000"/>
          <w:sz w:val="24"/>
        </w:rPr>
        <w:t>Para localizar un cliente se escribe en el campo de búsqueda parte de su nombre, su cédula o su teléfono, y la lista se reduce a los coincidentes. Desde la fila seleccionada se abre la ficha para editarla, con los mismos campos del alta, o para darla de baja. La baja es lógica: el registro se conserva para que los préstamos históricos sigan siendo consultables, pero el cliente deja de estar disponible para nueva operación.</w:t>
      </w:r>
    </w:p>
    <w:p>
      <w:r>
        <w:br w:type="page"/>
      </w:r>
    </w:p>
    <w:p>
      <w:pPr>
        <w:pStyle w:val="Heading1"/>
      </w:pPr>
      <w:r>
        <w:t>6. Originación y administración de préstamos</w:t>
      </w:r>
    </w:p>
    <w:p>
      <w:r>
        <w:rPr>
          <w:rFonts w:ascii="Times New Roman" w:hAnsi="Times New Roman" w:cs="Times New Roman" w:eastAsia="Times New Roman"/>
          <w:b w:val="0"/>
          <w:i w:val="0"/>
          <w:color w:val="000000"/>
          <w:sz w:val="24"/>
        </w:rPr>
        <w:t>El módulo de préstamos es el corazón del sistema. Aquí se crea la deuda con su plan de cuotas, se consulta su evolución, se registran los cobros y se resuelven las decisiones de riesgo como la renovación o la declaración de pérdida.</w:t>
      </w:r>
    </w:p>
    <w:p>
      <w:pPr>
        <w:pStyle w:val="Heading2"/>
      </w:pPr>
      <w:r>
        <w:t>6.1 Crear un préstamo</w:t>
      </w:r>
    </w:p>
    <w:p>
      <w:r>
        <w:rPr>
          <w:rFonts w:ascii="Times New Roman" w:hAnsi="Times New Roman" w:cs="Times New Roman" w:eastAsia="Times New Roman"/>
          <w:b w:val="0"/>
          <w:i w:val="0"/>
          <w:color w:val="000000"/>
          <w:sz w:val="24"/>
        </w:rPr>
        <w:t>Desde el listado se pulsa el botón de nuevo préstamo y se completa el formulario. El sistema solicita el cliente, el tipo de préstamo, la fecha, el capital a prestar, el interés mensual y el número de cuotas. Al elegir el tipo de préstamo, el interés y el máximo de cuotas se completan con los valores del catálogo, aunque pueden ajustarse dentro de los límites permitidos. El campo de observaciones admite notas sobre las condiciones acordadas.</w:t>
      </w:r>
    </w:p>
    <w:p>
      <w:pPr>
        <w:keepNext/>
        <w:spacing w:line="240" w:lineRule="auto" w:before="240" w:after="120"/>
      </w:pPr>
      <w:r>
        <w:rPr>
          <w:rFonts w:ascii="Times New Roman" w:hAnsi="Times New Roman" w:cs="Times New Roman" w:eastAsia="Times New Roman"/>
          <w:b/>
          <w:i w:val="0"/>
          <w:color w:val="000000"/>
          <w:sz w:val="20"/>
        </w:rPr>
        <w:t>Tabla 4</w:t>
      </w:r>
      <w:r>
        <w:rPr>
          <w:rFonts w:ascii="Times New Roman" w:hAnsi="Times New Roman" w:cs="Times New Roman" w:eastAsia="Times New Roman"/>
          <w:b w:val="0"/>
          <w:i/>
          <w:color w:val="000000"/>
          <w:sz w:val="20"/>
        </w:rPr>
        <w:t xml:space="preserve">  Campos del formulario de préstamo</w:t>
      </w:r>
    </w:p>
    <w:tbl>
      <w:tblPr>
        <w:tblW w:type="auto" w:w="0"/>
        <w:jc w:val="center"/>
        <w:tblLayout w:type="fixed"/>
        <w:tblLook w:firstColumn="1" w:firstRow="1" w:lastColumn="0" w:lastRow="0" w:noHBand="0" w:noVBand="1" w:val="04A0"/>
        <w:tblBorders>
          <w:top w:val="single" w:sz="12" w:color="000000"/>
          <w:bottom w:val="single" w:sz="12" w:color="000000"/>
          <w:left w:val="nil"/>
          <w:right w:val="nil"/>
          <w:insideH w:val="single" w:sz="4" w:color="000000"/>
          <w:insideV w:val="nil"/>
        </w:tblBorders>
      </w:tblPr>
      <w:tblGrid>
        <w:gridCol w:w="3120"/>
        <w:gridCol w:w="3120"/>
        <w:gridCol w:w="3120"/>
      </w:tblGrid>
      <w:tr>
        <w:trPr>
          <w:tblHeader w:val="true"/>
        </w:trPr>
        <w:tc>
          <w:tcPr>
            <w:tcW w:type="dxa" w:w="2674"/>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Campo</w:t>
            </w:r>
          </w:p>
        </w:tc>
        <w:tc>
          <w:tcPr>
            <w:tcW w:type="dxa" w:w="1337"/>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Obligatorio</w:t>
            </w:r>
          </w:p>
        </w:tc>
        <w:tc>
          <w:tcPr>
            <w:tcW w:type="dxa" w:w="5349"/>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Qué controla</w:t>
            </w:r>
          </w:p>
        </w:tc>
      </w:tr>
      <w:tr>
        <w:tc>
          <w:tcPr>
            <w:tcW w:type="dxa" w:w="267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Cliente</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Sí</w:t>
            </w:r>
          </w:p>
        </w:tc>
        <w:tc>
          <w:tcPr>
            <w:tcW w:type="dxa" w:w="534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Titular de la deuda; solo aparecen clientes activos.</w:t>
            </w:r>
          </w:p>
        </w:tc>
      </w:tr>
      <w:tr>
        <w:tc>
          <w:tcPr>
            <w:tcW w:type="dxa" w:w="267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Tipo de préstamo</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Sí</w:t>
            </w:r>
          </w:p>
        </w:tc>
        <w:tc>
          <w:tcPr>
            <w:tcW w:type="dxa" w:w="534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Define interés mensual y máximo de cuotas.</w:t>
            </w:r>
          </w:p>
        </w:tc>
      </w:tr>
      <w:tr>
        <w:tc>
          <w:tcPr>
            <w:tcW w:type="dxa" w:w="267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Fecha del préstamo</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Sí</w:t>
            </w:r>
          </w:p>
        </w:tc>
        <w:tc>
          <w:tcPr>
            <w:tcW w:type="dxa" w:w="534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Fecha desde la que se devenga y se cobra.</w:t>
            </w:r>
          </w:p>
        </w:tc>
      </w:tr>
      <w:tr>
        <w:tc>
          <w:tcPr>
            <w:tcW w:type="dxa" w:w="267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Capital a prestar</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Sí</w:t>
            </w:r>
          </w:p>
        </w:tc>
        <w:tc>
          <w:tcPr>
            <w:tcW w:type="dxa" w:w="534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Monto entregado; debe estar disponible en caja.</w:t>
            </w:r>
          </w:p>
        </w:tc>
      </w:tr>
      <w:tr>
        <w:tc>
          <w:tcPr>
            <w:tcW w:type="dxa" w:w="267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Interés mensual (%)</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Sí</w:t>
            </w:r>
          </w:p>
        </w:tc>
        <w:tc>
          <w:tcPr>
            <w:tcW w:type="dxa" w:w="534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Porcentaje aplicado por cuota.</w:t>
            </w:r>
          </w:p>
        </w:tc>
      </w:tr>
      <w:tr>
        <w:tc>
          <w:tcPr>
            <w:tcW w:type="dxa" w:w="267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Número de cuotas</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Sí</w:t>
            </w:r>
          </w:p>
        </w:tc>
        <w:tc>
          <w:tcPr>
            <w:tcW w:type="dxa" w:w="534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Plazo en cuotas mensuales.</w:t>
            </w:r>
          </w:p>
        </w:tc>
      </w:tr>
      <w:tr>
        <w:tc>
          <w:tcPr>
            <w:tcW w:type="dxa" w:w="267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Observaciones</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No</w:t>
            </w:r>
          </w:p>
        </w:tc>
        <w:tc>
          <w:tcPr>
            <w:tcW w:type="dxa" w:w="534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Notas de la operación.</w:t>
            </w:r>
          </w:p>
        </w:tc>
      </w:tr>
    </w:tbl>
    <w:p>
      <w:pPr>
        <w:spacing w:line="240" w:lineRule="auto" w:after="120"/>
      </w:pPr>
    </w:p>
    <w:p>
      <w:r>
        <w:rPr>
          <w:rFonts w:ascii="Times New Roman" w:hAnsi="Times New Roman" w:cs="Times New Roman" w:eastAsia="Times New Roman"/>
          <w:b w:val="0"/>
          <w:i w:val="0"/>
          <w:color w:val="000000"/>
          <w:sz w:val="24"/>
        </w:rPr>
        <w:t>Al confirmar, el sistema calcula el interés total, el monto total y el valor de la cuota, genera todas las cuotas en estado pendiente y descuenta el capital prestado del saldo disponible. Si el capital no alcanza, el sistema rechaza la operación y explica el motivo; en ese caso no se crea el préstamo ni se modifica el capital.</w:t>
      </w:r>
    </w:p>
    <w:p>
      <w:pPr>
        <w:pStyle w:val="Heading2"/>
      </w:pPr>
      <w:r>
        <w:t>6.2 Listado y filtros</w:t>
      </w:r>
    </w:p>
    <w:p>
      <w:r>
        <w:rPr>
          <w:rFonts w:ascii="Times New Roman" w:hAnsi="Times New Roman" w:cs="Times New Roman" w:eastAsia="Times New Roman"/>
          <w:b w:val="0"/>
          <w:i w:val="0"/>
          <w:color w:val="000000"/>
          <w:sz w:val="24"/>
        </w:rPr>
        <w:t>La pantalla de préstamos presenta la cartera con sus datos principales: cliente, monto, cuotas pagadas frente al total, saldo pendiente y estado. Los filtros permiten acotar por estado —activo, pagado, perdido o renovado— y por periodo, lo que agiliza la localización de una operación concreta.</w:t>
      </w:r>
    </w:p>
    <w:p>
      <w:pPr>
        <w:pStyle w:val="Heading2"/>
      </w:pPr>
      <w:r>
        <w:t>6.3 Detalle de un préstamo</w:t>
      </w:r>
    </w:p>
    <w:p>
      <w:r>
        <w:rPr>
          <w:rFonts w:ascii="Times New Roman" w:hAnsi="Times New Roman" w:cs="Times New Roman" w:eastAsia="Times New Roman"/>
          <w:b w:val="0"/>
          <w:i w:val="0"/>
          <w:color w:val="000000"/>
          <w:sz w:val="24"/>
        </w:rPr>
        <w:t>Al abrir un préstamo se muestran sus tarjetas de resumen con capital prestado, interés, monto total, valor de la cuota y saldo pendiente, junto con el estado actual. Debajo aparecen las pestañas con las cuotas, los pagos y la información general del préstamo.</w:t>
      </w:r>
    </w:p>
    <w:p>
      <w:r>
        <w:rPr>
          <w:rFonts w:ascii="Times New Roman" w:hAnsi="Times New Roman" w:cs="Times New Roman" w:eastAsia="Times New Roman"/>
          <w:b w:val="0"/>
          <w:i w:val="0"/>
          <w:color w:val="000000"/>
          <w:sz w:val="24"/>
        </w:rPr>
        <w:t xml:space="preserve">Cuando el préstamo está activo, la cabecera ofrece tres acciones. </w:t>
      </w:r>
      <w:r>
        <w:rPr>
          <w:rFonts w:ascii="Times New Roman" w:hAnsi="Times New Roman" w:cs="Times New Roman" w:eastAsia="Times New Roman"/>
          <w:b/>
          <w:i w:val="0"/>
          <w:color w:val="000000"/>
          <w:sz w:val="24"/>
        </w:rPr>
        <w:t>Registrar pago</w:t>
      </w:r>
      <w:r>
        <w:rPr>
          <w:rFonts w:ascii="Times New Roman" w:hAnsi="Times New Roman" w:cs="Times New Roman" w:eastAsia="Times New Roman"/>
          <w:b w:val="0"/>
          <w:i w:val="0"/>
          <w:color w:val="000000"/>
          <w:sz w:val="24"/>
        </w:rPr>
        <w:t xml:space="preserve"> abre el formulario de cobro descrito en el capítulo siguiente. </w:t>
      </w:r>
      <w:r>
        <w:rPr>
          <w:rFonts w:ascii="Times New Roman" w:hAnsi="Times New Roman" w:cs="Times New Roman" w:eastAsia="Times New Roman"/>
          <w:b/>
          <w:i w:val="0"/>
          <w:color w:val="000000"/>
          <w:sz w:val="24"/>
        </w:rPr>
        <w:t>Renovar</w:t>
      </w:r>
      <w:r>
        <w:rPr>
          <w:rFonts w:ascii="Times New Roman" w:hAnsi="Times New Roman" w:cs="Times New Roman" w:eastAsia="Times New Roman"/>
          <w:b w:val="0"/>
          <w:i w:val="0"/>
          <w:color w:val="000000"/>
          <w:sz w:val="24"/>
        </w:rPr>
        <w:t xml:space="preserve"> permite aplicar un abono al saldo y abrir un nuevo préstamo con las condiciones actualizadas, indicando abono, interés mensual, número de cuotas, fecha de renovación y observaciones; el abono nunca puede superar el saldo pendiente. </w:t>
      </w:r>
      <w:r>
        <w:rPr>
          <w:rFonts w:ascii="Times New Roman" w:hAnsi="Times New Roman" w:cs="Times New Roman" w:eastAsia="Times New Roman"/>
          <w:b/>
          <w:i w:val="0"/>
          <w:color w:val="000000"/>
          <w:sz w:val="24"/>
        </w:rPr>
        <w:t>Perdido</w:t>
      </w:r>
      <w:r>
        <w:rPr>
          <w:rFonts w:ascii="Times New Roman" w:hAnsi="Times New Roman" w:cs="Times New Roman" w:eastAsia="Times New Roman"/>
          <w:b w:val="0"/>
          <w:i w:val="0"/>
          <w:color w:val="000000"/>
          <w:sz w:val="24"/>
        </w:rPr>
        <w:t xml:space="preserve"> registra la declaración de incobrabilidad con su fecha y su motivo, y descuenta el saldo del capital disponible. Una vez que el préstamo está pagado, perdido o renovado, estas acciones dejan de estar disponibles.</w:t>
      </w:r>
    </w:p>
    <w:p>
      <w:r>
        <w:rPr>
          <w:rFonts w:ascii="Times New Roman" w:hAnsi="Times New Roman" w:cs="Times New Roman" w:eastAsia="Times New Roman"/>
          <w:b w:val="0"/>
          <w:i w:val="0"/>
          <w:color w:val="000000"/>
          <w:sz w:val="24"/>
        </w:rPr>
        <w:t>Las cuotas se presentan con su número, fecha de vencimiento, valor, estado y los importes ya pagados de capital, interés y mora. Los estados posibles de una cuota son pendiente, vencida, parcial y pagada.</w:t>
      </w:r>
    </w:p>
    <w:p>
      <w:r>
        <w:br w:type="page"/>
      </w:r>
    </w:p>
    <w:p>
      <w:pPr>
        <w:pStyle w:val="Heading1"/>
      </w:pPr>
      <w:r>
        <w:t>7. Registro de pagos</w:t>
      </w:r>
    </w:p>
    <w:p>
      <w:r>
        <w:rPr>
          <w:rFonts w:ascii="Times New Roman" w:hAnsi="Times New Roman" w:cs="Times New Roman" w:eastAsia="Times New Roman"/>
          <w:b w:val="0"/>
          <w:i w:val="0"/>
          <w:color w:val="000000"/>
          <w:sz w:val="24"/>
        </w:rPr>
        <w:t>El cobro se registra desde el detalle del préstamo, y también desde la pantalla de pagos para revisar lo cobrado. El formulario pide buscar el préstamo, indicar la cuota a pagar, el tipo de pago, la fecha, el valor pagado y el desglose entre capital, interés y mora. El campo de observaciones admite notas sobre el cobro, como la referencia de una transferencia.</w:t>
      </w:r>
    </w:p>
    <w:p>
      <w:pPr>
        <w:keepNext/>
        <w:spacing w:line="240" w:lineRule="auto" w:before="240" w:after="120"/>
      </w:pPr>
      <w:r>
        <w:rPr>
          <w:rFonts w:ascii="Times New Roman" w:hAnsi="Times New Roman" w:cs="Times New Roman" w:eastAsia="Times New Roman"/>
          <w:b/>
          <w:i w:val="0"/>
          <w:color w:val="000000"/>
          <w:sz w:val="20"/>
        </w:rPr>
        <w:t>Tabla 5</w:t>
      </w:r>
      <w:r>
        <w:rPr>
          <w:rFonts w:ascii="Times New Roman" w:hAnsi="Times New Roman" w:cs="Times New Roman" w:eastAsia="Times New Roman"/>
          <w:b w:val="0"/>
          <w:i/>
          <w:color w:val="000000"/>
          <w:sz w:val="20"/>
        </w:rPr>
        <w:t xml:space="preserve">  Campos del formulario de pago</w:t>
      </w:r>
    </w:p>
    <w:tbl>
      <w:tblPr>
        <w:tblW w:type="auto" w:w="0"/>
        <w:jc w:val="center"/>
        <w:tblLayout w:type="fixed"/>
        <w:tblLook w:firstColumn="1" w:firstRow="1" w:lastColumn="0" w:lastRow="0" w:noHBand="0" w:noVBand="1" w:val="04A0"/>
        <w:tblBorders>
          <w:top w:val="single" w:sz="12" w:color="000000"/>
          <w:bottom w:val="single" w:sz="12" w:color="000000"/>
          <w:left w:val="nil"/>
          <w:right w:val="nil"/>
          <w:insideH w:val="single" w:sz="4" w:color="000000"/>
          <w:insideV w:val="nil"/>
        </w:tblBorders>
      </w:tblPr>
      <w:tblGrid>
        <w:gridCol w:w="3120"/>
        <w:gridCol w:w="3120"/>
        <w:gridCol w:w="3120"/>
      </w:tblGrid>
      <w:tr>
        <w:trPr>
          <w:tblHeader w:val="true"/>
        </w:trPr>
        <w:tc>
          <w:tcPr>
            <w:tcW w:type="dxa" w:w="2674"/>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Campo</w:t>
            </w:r>
          </w:p>
        </w:tc>
        <w:tc>
          <w:tcPr>
            <w:tcW w:type="dxa" w:w="1337"/>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Obligatorio</w:t>
            </w:r>
          </w:p>
        </w:tc>
        <w:tc>
          <w:tcPr>
            <w:tcW w:type="dxa" w:w="5349"/>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Observaciones</w:t>
            </w:r>
          </w:p>
        </w:tc>
      </w:tr>
      <w:tr>
        <w:tc>
          <w:tcPr>
            <w:tcW w:type="dxa" w:w="267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Buscar préstamo</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Sí</w:t>
            </w:r>
          </w:p>
        </w:tc>
        <w:tc>
          <w:tcPr>
            <w:tcW w:type="dxa" w:w="534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Se localiza por el identificador o el cliente.</w:t>
            </w:r>
          </w:p>
        </w:tc>
      </w:tr>
      <w:tr>
        <w:tc>
          <w:tcPr>
            <w:tcW w:type="dxa" w:w="267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Cuota a pagar</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Sí</w:t>
            </w:r>
          </w:p>
        </w:tc>
        <w:tc>
          <w:tcPr>
            <w:tcW w:type="dxa" w:w="534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Solo se listan cuotas con saldo.</w:t>
            </w:r>
          </w:p>
        </w:tc>
      </w:tr>
      <w:tr>
        <w:tc>
          <w:tcPr>
            <w:tcW w:type="dxa" w:w="267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Tipo de pago</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Sí</w:t>
            </w:r>
          </w:p>
        </w:tc>
        <w:tc>
          <w:tcPr>
            <w:tcW w:type="dxa" w:w="534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Efectivo, transferencia u otro medio del catálogo.</w:t>
            </w:r>
          </w:p>
        </w:tc>
      </w:tr>
      <w:tr>
        <w:tc>
          <w:tcPr>
            <w:tcW w:type="dxa" w:w="267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Fecha de pago</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Sí</w:t>
            </w:r>
          </w:p>
        </w:tc>
        <w:tc>
          <w:tcPr>
            <w:tcW w:type="dxa" w:w="534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Fecha en que se recibió el dinero.</w:t>
            </w:r>
          </w:p>
        </w:tc>
      </w:tr>
      <w:tr>
        <w:tc>
          <w:tcPr>
            <w:tcW w:type="dxa" w:w="267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Valor pagado</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Sí</w:t>
            </w:r>
          </w:p>
        </w:tc>
        <w:tc>
          <w:tcPr>
            <w:tcW w:type="dxa" w:w="534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Monto total recibido.</w:t>
            </w:r>
          </w:p>
        </w:tc>
      </w:tr>
      <w:tr>
        <w:tc>
          <w:tcPr>
            <w:tcW w:type="dxa" w:w="267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Capital</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Sí</w:t>
            </w:r>
          </w:p>
        </w:tc>
        <w:tc>
          <w:tcPr>
            <w:tcW w:type="dxa" w:w="534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Parte que reduce la deuda.</w:t>
            </w:r>
          </w:p>
        </w:tc>
      </w:tr>
      <w:tr>
        <w:tc>
          <w:tcPr>
            <w:tcW w:type="dxa" w:w="267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Interés</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Sí</w:t>
            </w:r>
          </w:p>
        </w:tc>
        <w:tc>
          <w:tcPr>
            <w:tcW w:type="dxa" w:w="534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Parte que reconoce la utilidad.</w:t>
            </w:r>
          </w:p>
        </w:tc>
      </w:tr>
      <w:tr>
        <w:tc>
          <w:tcPr>
            <w:tcW w:type="dxa" w:w="267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Mora</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Sí</w:t>
            </w:r>
          </w:p>
        </w:tc>
        <w:tc>
          <w:tcPr>
            <w:tcW w:type="dxa" w:w="534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Parte que cubre la penalización.</w:t>
            </w:r>
          </w:p>
        </w:tc>
      </w:tr>
      <w:tr>
        <w:tc>
          <w:tcPr>
            <w:tcW w:type="dxa" w:w="267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Observaciones</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No</w:t>
            </w:r>
          </w:p>
        </w:tc>
        <w:tc>
          <w:tcPr>
            <w:tcW w:type="dxa" w:w="534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Referencia o nota del cobro.</w:t>
            </w:r>
          </w:p>
        </w:tc>
      </w:tr>
    </w:tbl>
    <w:p>
      <w:pPr>
        <w:spacing w:line="240" w:lineRule="auto" w:after="120"/>
      </w:pPr>
    </w:p>
    <w:p>
      <w:r>
        <w:rPr>
          <w:rFonts w:ascii="Times New Roman" w:hAnsi="Times New Roman" w:cs="Times New Roman" w:eastAsia="Times New Roman"/>
          <w:b w:val="0"/>
          <w:i w:val="0"/>
          <w:color w:val="000000"/>
          <w:sz w:val="24"/>
        </w:rPr>
        <w:t>El sistema exige que la suma de capital, interés y mora coincida con el valor pagado dentro de un centavo. Si hay diferencia, el formulario lo indica y no se guarda nada: así se evitan descuadres de caja difíciles de explicar después. Registrado el pago, el saldo del préstamo baja en la parte de capital, la cuota pasa a parcial o pagada según corresponda, el capital disponible sube y, si el saldo llega a cero, el préstamo se cierra automáticamente como pagado.</w:t>
      </w:r>
    </w:p>
    <w:p>
      <w:r>
        <w:rPr>
          <w:rFonts w:ascii="Times New Roman" w:hAnsi="Times New Roman" w:cs="Times New Roman" w:eastAsia="Times New Roman"/>
          <w:b w:val="0"/>
          <w:i w:val="0"/>
          <w:color w:val="000000"/>
          <w:sz w:val="24"/>
        </w:rPr>
        <w:t>El sistema también evita cobros duplicados: si una misma operación se envía dos veces por un problema de conexión, la segunda no genera un cobro adicional. En cuanto a la revisión, el detalle del préstamo lista todos sus pagos con fecha, valor y desglose; hoy la consulta global de todos los pagos del sistema no está disponible y redirige al detalle del préstamo correspondiente.</w:t>
      </w:r>
    </w:p>
    <w:p>
      <w:r>
        <w:br w:type="page"/>
      </w:r>
    </w:p>
    <w:p>
      <w:pPr>
        <w:pStyle w:val="Heading1"/>
      </w:pPr>
      <w:r>
        <w:t>8. Moras y cobranza</w:t>
      </w:r>
    </w:p>
    <w:p>
      <w:r>
        <w:rPr>
          <w:rFonts w:ascii="Times New Roman" w:hAnsi="Times New Roman" w:cs="Times New Roman" w:eastAsia="Times New Roman"/>
          <w:b w:val="0"/>
          <w:i w:val="0"/>
          <w:color w:val="000000"/>
          <w:sz w:val="24"/>
        </w:rPr>
        <w:t>Las moras se generan de forma automática cada día a medianoche sobre las cuotas vencidas, aplicando la tasa diaria y los días de gracia definidos en la configuración del sistema. El usuario no calcula nada manualmente: consulta el resultado y actúa en consecuencia.</w:t>
      </w:r>
    </w:p>
    <w:p>
      <w:r>
        <w:rPr>
          <w:rFonts w:ascii="Times New Roman" w:hAnsi="Times New Roman" w:cs="Times New Roman" w:eastAsia="Times New Roman"/>
          <w:b w:val="0"/>
          <w:i w:val="0"/>
          <w:color w:val="000000"/>
          <w:sz w:val="24"/>
        </w:rPr>
        <w:t>La pantalla de moras lista las penalizaciones generadas y ofrece el botón de procesamiento inmediato para quienes administran el sistema, útil cuando se detecta un desfase o cuando se corrigió una tasa. El procesamiento manual ejecuta exactamente el mismo cálculo que el proceso diario y devuelve el total de moras generadas en esa ejecución.</w:t>
      </w:r>
    </w:p>
    <w:p>
      <w:r>
        <w:rPr>
          <w:rFonts w:ascii="Times New Roman" w:hAnsi="Times New Roman" w:cs="Times New Roman" w:eastAsia="Times New Roman"/>
          <w:b w:val="0"/>
          <w:i w:val="0"/>
          <w:color w:val="000000"/>
          <w:sz w:val="24"/>
        </w:rPr>
        <w:t>La pantalla de cobranza está orientada a la jornada de trabajo: agrupa las deudas vencidas para que el responsable de cobro pueda visitar o llamar con la información correcta. Limitaciones conocidas: la consulta de moras por préstamo aún no se conecta con el servidor, por lo que esa vista puede devolver un error de recurso inexistente, y la lista de cobranza puede aparecer vacía aunque existan vencimientos; en ambos casos la vía de respaldo es consultar las cuotas en el detalle de cada préstamo.</w:t>
      </w:r>
    </w:p>
    <w:p>
      <w:r>
        <w:br w:type="page"/>
      </w:r>
    </w:p>
    <w:p>
      <w:pPr>
        <w:pStyle w:val="Heading1"/>
      </w:pPr>
      <w:r>
        <w:t>9. Capital y movimientos</w:t>
      </w:r>
    </w:p>
    <w:p>
      <w:r>
        <w:rPr>
          <w:rFonts w:ascii="Times New Roman" w:hAnsi="Times New Roman" w:cs="Times New Roman" w:eastAsia="Times New Roman"/>
          <w:b w:val="0"/>
          <w:i w:val="0"/>
          <w:color w:val="000000"/>
          <w:sz w:val="24"/>
        </w:rPr>
        <w:t>El capital es el dinero disponible para prestar. La pantalla de capital muestra el saldo actual y el historial de cada movimiento con su tipo, valor, fecha y el préstamo asociado. Los tipos de movimiento distinguen el préstamo otorgado, que descuenta, el pago recibido, que incrementa, y la pérdida, que descuenta de nuevo.</w:t>
      </w:r>
    </w:p>
    <w:p>
      <w:r>
        <w:rPr>
          <w:rFonts w:ascii="Times New Roman" w:hAnsi="Times New Roman" w:cs="Times New Roman" w:eastAsia="Times New Roman"/>
          <w:b w:val="0"/>
          <w:i w:val="0"/>
          <w:color w:val="000000"/>
          <w:sz w:val="24"/>
        </w:rPr>
        <w:t>Esta pantalla es el libro de contabilidad mínimo del negocio: ante cualquier duda sobre un monto, el detalle de movimientos permite reconstruir cómo se llegó al saldo actual. El saldo nunca debe ser negativo; si una operación lo dejaría así, el sistema la rechaza antes de aplicarla.</w:t>
      </w:r>
    </w:p>
    <w:p>
      <w:r>
        <w:br w:type="page"/>
      </w:r>
    </w:p>
    <w:p>
      <w:pPr>
        <w:pStyle w:val="Heading1"/>
      </w:pPr>
      <w:r>
        <w:t>10. Reportes y exportaciones</w:t>
      </w:r>
    </w:p>
    <w:p>
      <w:r>
        <w:rPr>
          <w:rFonts w:ascii="Times New Roman" w:hAnsi="Times New Roman" w:cs="Times New Roman" w:eastAsia="Times New Roman"/>
          <w:b w:val="0"/>
          <w:i w:val="0"/>
          <w:color w:val="000000"/>
          <w:sz w:val="24"/>
        </w:rPr>
        <w:t>La pantalla de reportes produce dos documentos principales con el periodo seleccionado. El reporte de ganancias muestra los intereses cobrados y el resultado neto, con el detalle por préstamo. El reporte de pérdidas lista los préstamos declarados incobrables con su valor y su motivo. Ambos incluyen tarjetas de resumen y tablas de detalle.</w:t>
      </w:r>
    </w:p>
    <w:p>
      <w:pPr>
        <w:keepNext/>
        <w:spacing w:line="240" w:lineRule="auto" w:before="240" w:after="120"/>
      </w:pPr>
      <w:r>
        <w:rPr>
          <w:rFonts w:ascii="Times New Roman" w:hAnsi="Times New Roman" w:cs="Times New Roman" w:eastAsia="Times New Roman"/>
          <w:b/>
          <w:i w:val="0"/>
          <w:color w:val="000000"/>
          <w:sz w:val="20"/>
        </w:rPr>
        <w:t>Tabla 6</w:t>
      </w:r>
      <w:r>
        <w:rPr>
          <w:rFonts w:ascii="Times New Roman" w:hAnsi="Times New Roman" w:cs="Times New Roman" w:eastAsia="Times New Roman"/>
          <w:b w:val="0"/>
          <w:i/>
          <w:color w:val="000000"/>
          <w:sz w:val="20"/>
        </w:rPr>
        <w:t xml:space="preserve">  Reportes disponibles</w:t>
      </w:r>
    </w:p>
    <w:tbl>
      <w:tblPr>
        <w:tblW w:type="auto" w:w="0"/>
        <w:jc w:val="center"/>
        <w:tblLayout w:type="fixed"/>
        <w:tblLook w:firstColumn="1" w:firstRow="1" w:lastColumn="0" w:lastRow="0" w:noHBand="0" w:noVBand="1" w:val="04A0"/>
        <w:tblBorders>
          <w:top w:val="single" w:sz="12" w:color="000000"/>
          <w:bottom w:val="single" w:sz="12" w:color="000000"/>
          <w:left w:val="nil"/>
          <w:right w:val="nil"/>
          <w:insideH w:val="single" w:sz="4" w:color="000000"/>
          <w:insideV w:val="nil"/>
        </w:tblBorders>
      </w:tblPr>
      <w:tblGrid>
        <w:gridCol w:w="3120"/>
        <w:gridCol w:w="3120"/>
        <w:gridCol w:w="3120"/>
      </w:tblGrid>
      <w:tr>
        <w:trPr>
          <w:tblHeader w:val="true"/>
        </w:trPr>
        <w:tc>
          <w:tcPr>
            <w:tcW w:type="dxa" w:w="1872"/>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Reporte</w:t>
            </w:r>
          </w:p>
        </w:tc>
        <w:tc>
          <w:tcPr>
            <w:tcW w:type="dxa" w:w="5482"/>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Contenido</w:t>
            </w:r>
          </w:p>
        </w:tc>
        <w:tc>
          <w:tcPr>
            <w:tcW w:type="dxa" w:w="2006"/>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Exportación</w:t>
            </w:r>
          </w:p>
        </w:tc>
      </w:tr>
      <w:tr>
        <w:tc>
          <w:tcPr>
            <w:tcW w:type="dxa" w:w="187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Ganancias</w:t>
            </w:r>
          </w:p>
        </w:tc>
        <w:tc>
          <w:tcPr>
            <w:tcW w:type="dxa" w:w="548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Intereses cobrados, cantidad de préstamos y resultado del periodo.</w:t>
            </w:r>
          </w:p>
        </w:tc>
        <w:tc>
          <w:tcPr>
            <w:tcW w:type="dxa" w:w="2006"/>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Excel y PDF</w:t>
            </w:r>
          </w:p>
        </w:tc>
      </w:tr>
      <w:tr>
        <w:tc>
          <w:tcPr>
            <w:tcW w:type="dxa" w:w="187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Pérdidas</w:t>
            </w:r>
          </w:p>
        </w:tc>
        <w:tc>
          <w:tcPr>
            <w:tcW w:type="dxa" w:w="548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Préstamos perdidos, valor perdido y motivos registrados.</w:t>
            </w:r>
          </w:p>
        </w:tc>
        <w:tc>
          <w:tcPr>
            <w:tcW w:type="dxa" w:w="2006"/>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Excel y PDF</w:t>
            </w:r>
          </w:p>
        </w:tc>
      </w:tr>
      <w:tr>
        <w:tc>
          <w:tcPr>
            <w:tcW w:type="dxa" w:w="187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Cartera</w:t>
            </w:r>
          </w:p>
        </w:tc>
        <w:tc>
          <w:tcPr>
            <w:tcW w:type="dxa" w:w="548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Saldos por préstamo, antigüedad y distribución por estado.</w:t>
            </w:r>
          </w:p>
        </w:tc>
        <w:tc>
          <w:tcPr>
            <w:tcW w:type="dxa" w:w="2006"/>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Pendiente de interfaz</w:t>
            </w:r>
          </w:p>
        </w:tc>
      </w:tr>
      <w:tr>
        <w:tc>
          <w:tcPr>
            <w:tcW w:type="dxa" w:w="187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Cobranza</w:t>
            </w:r>
          </w:p>
        </w:tc>
        <w:tc>
          <w:tcPr>
            <w:tcW w:type="dxa" w:w="548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Total cobrado en el periodo con desglose de capital, interés y mora.</w:t>
            </w:r>
          </w:p>
        </w:tc>
        <w:tc>
          <w:tcPr>
            <w:tcW w:type="dxa" w:w="2006"/>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Pendiente de interfaz</w:t>
            </w:r>
          </w:p>
        </w:tc>
      </w:tr>
    </w:tbl>
    <w:p>
      <w:pPr>
        <w:spacing w:line="240" w:lineRule="auto" w:after="120"/>
      </w:pPr>
    </w:p>
    <w:p>
      <w:r>
        <w:rPr>
          <w:rFonts w:ascii="Times New Roman" w:hAnsi="Times New Roman" w:cs="Times New Roman" w:eastAsia="Times New Roman"/>
          <w:b w:val="0"/>
          <w:i w:val="0"/>
          <w:color w:val="000000"/>
          <w:sz w:val="24"/>
        </w:rPr>
        <w:t>Para exportar se elige el formato y el sistema descarga el archivo respetando el periodo filtrado sin abrir otra ventana. Los reportes de cartera y de cobranza ya existen en el servidor pero todavía no tienen pantalla propia, por lo que no aparecen en la interfaz.</w:t>
      </w:r>
    </w:p>
    <w:p>
      <w:r>
        <w:br w:type="page"/>
      </w:r>
    </w:p>
    <w:p>
      <w:pPr>
        <w:pStyle w:val="Heading1"/>
      </w:pPr>
      <w:r>
        <w:t>11. Administración</w:t>
      </w:r>
    </w:p>
    <w:p>
      <w:r>
        <w:rPr>
          <w:rFonts w:ascii="Times New Roman" w:hAnsi="Times New Roman" w:cs="Times New Roman" w:eastAsia="Times New Roman"/>
          <w:b w:val="0"/>
          <w:i w:val="0"/>
          <w:color w:val="000000"/>
          <w:sz w:val="24"/>
        </w:rPr>
        <w:t xml:space="preserve">El perfil de administrador dispone de tres pantallas adicionales. En </w:t>
      </w:r>
      <w:r>
        <w:rPr>
          <w:rFonts w:ascii="Times New Roman" w:hAnsi="Times New Roman" w:cs="Times New Roman" w:eastAsia="Times New Roman"/>
          <w:b/>
          <w:i w:val="0"/>
          <w:color w:val="000000"/>
          <w:sz w:val="24"/>
        </w:rPr>
        <w:t>usuarios</w:t>
      </w:r>
      <w:r>
        <w:rPr>
          <w:rFonts w:ascii="Times New Roman" w:hAnsi="Times New Roman" w:cs="Times New Roman" w:eastAsia="Times New Roman"/>
          <w:b w:val="0"/>
          <w:i w:val="0"/>
          <w:color w:val="000000"/>
          <w:sz w:val="24"/>
        </w:rPr>
        <w:t xml:space="preserve"> se crean cuentas con nombre, correo, contraseña y rol, se editan y se desactivan; la desactivación retira el acceso sin borrar el historial de operaciones del usuario. En </w:t>
      </w:r>
      <w:r>
        <w:rPr>
          <w:rFonts w:ascii="Times New Roman" w:hAnsi="Times New Roman" w:cs="Times New Roman" w:eastAsia="Times New Roman"/>
          <w:b/>
          <w:i w:val="0"/>
          <w:color w:val="000000"/>
          <w:sz w:val="24"/>
        </w:rPr>
        <w:t>tipos de préstamo</w:t>
      </w:r>
      <w:r>
        <w:rPr>
          <w:rFonts w:ascii="Times New Roman" w:hAnsi="Times New Roman" w:cs="Times New Roman" w:eastAsia="Times New Roman"/>
          <w:b w:val="0"/>
          <w:i w:val="0"/>
          <w:color w:val="000000"/>
          <w:sz w:val="24"/>
        </w:rPr>
        <w:t xml:space="preserve"> se administra el catálogo con nombre, descripción, interés mensual, máximo de cuotas y estado. En </w:t>
      </w:r>
      <w:r>
        <w:rPr>
          <w:rFonts w:ascii="Times New Roman" w:hAnsi="Times New Roman" w:cs="Times New Roman" w:eastAsia="Times New Roman"/>
          <w:b/>
          <w:i w:val="0"/>
          <w:color w:val="000000"/>
          <w:sz w:val="24"/>
        </w:rPr>
        <w:t>tipos de pago</w:t>
      </w:r>
      <w:r>
        <w:rPr>
          <w:rFonts w:ascii="Times New Roman" w:hAnsi="Times New Roman" w:cs="Times New Roman" w:eastAsia="Times New Roman"/>
          <w:b w:val="0"/>
          <w:i w:val="0"/>
          <w:color w:val="000000"/>
          <w:sz w:val="24"/>
        </w:rPr>
        <w:t xml:space="preserve"> se administran los medios de cobro con nombre, descripción y estado.</w:t>
      </w:r>
    </w:p>
    <w:p>
      <w:r>
        <w:rPr>
          <w:rFonts w:ascii="Times New Roman" w:hAnsi="Times New Roman" w:cs="Times New Roman" w:eastAsia="Times New Roman"/>
          <w:b w:val="0"/>
          <w:i w:val="0"/>
          <w:color w:val="000000"/>
          <w:sz w:val="24"/>
        </w:rPr>
        <w:t>Antes de eliminar un tipo con operaciones asociadas, el sistema recomienda desactivarlo para no romper la trazabilidad histórica. Los tipos inactivos dejan de aparecer en los formularios de originación y de cobro, pero se conservan en los registros antiguos.</w:t>
      </w:r>
    </w:p>
    <w:p>
      <w:r>
        <w:rPr>
          <w:rFonts w:ascii="Times New Roman" w:hAnsi="Times New Roman" w:cs="Times New Roman" w:eastAsia="Times New Roman"/>
          <w:b w:val="0"/>
          <w:i w:val="0"/>
          <w:color w:val="000000"/>
          <w:sz w:val="24"/>
        </w:rPr>
        <w:t>Limitación conocida: en la versión actual la protección de las pantallas administrativas no reconoce el rol del usuario, por lo que esas direcciones pueden no abrirse desde el menú. Mientras se corrige, las operaciones administrativas deben coordinarse con el equipo responsable del sistema.</w:t>
      </w:r>
    </w:p>
    <w:p>
      <w:r>
        <w:br w:type="page"/>
      </w:r>
    </w:p>
    <w:p>
      <w:pPr>
        <w:pStyle w:val="Heading1"/>
      </w:pPr>
      <w:r>
        <w:t>12. Solución de problemas</w:t>
      </w:r>
    </w:p>
    <w:p>
      <w:r>
        <w:rPr>
          <w:rFonts w:ascii="Times New Roman" w:hAnsi="Times New Roman" w:cs="Times New Roman" w:eastAsia="Times New Roman"/>
          <w:b w:val="0"/>
          <w:i w:val="0"/>
          <w:color w:val="000000"/>
          <w:sz w:val="24"/>
        </w:rPr>
        <w:t>La siguiente tabla recoge las situaciones más frecuentes y la acción recomendada. Si una situación persiste después de aplicar la acción indicada, conviene registrar el mensaje mostrado por el sistema y la hora exacta para reportarlo.</w:t>
      </w:r>
    </w:p>
    <w:p>
      <w:pPr>
        <w:keepNext/>
        <w:spacing w:line="240" w:lineRule="auto" w:before="240" w:after="120"/>
      </w:pPr>
      <w:r>
        <w:rPr>
          <w:rFonts w:ascii="Times New Roman" w:hAnsi="Times New Roman" w:cs="Times New Roman" w:eastAsia="Times New Roman"/>
          <w:b/>
          <w:i w:val="0"/>
          <w:color w:val="000000"/>
          <w:sz w:val="20"/>
        </w:rPr>
        <w:t>Tabla 7</w:t>
      </w:r>
      <w:r>
        <w:rPr>
          <w:rFonts w:ascii="Times New Roman" w:hAnsi="Times New Roman" w:cs="Times New Roman" w:eastAsia="Times New Roman"/>
          <w:b w:val="0"/>
          <w:i/>
          <w:color w:val="000000"/>
          <w:sz w:val="20"/>
        </w:rPr>
        <w:t xml:space="preserve">  Problemas frecuentes y solución recomendada</w:t>
      </w:r>
    </w:p>
    <w:tbl>
      <w:tblPr>
        <w:tblW w:type="auto" w:w="0"/>
        <w:jc w:val="center"/>
        <w:tblLayout w:type="fixed"/>
        <w:tblLook w:firstColumn="1" w:firstRow="1" w:lastColumn="0" w:lastRow="0" w:noHBand="0" w:noVBand="1" w:val="04A0"/>
        <w:tblBorders>
          <w:top w:val="single" w:sz="12" w:color="000000"/>
          <w:bottom w:val="single" w:sz="12" w:color="000000"/>
          <w:left w:val="nil"/>
          <w:right w:val="nil"/>
          <w:insideH w:val="single" w:sz="4" w:color="000000"/>
          <w:insideV w:val="nil"/>
        </w:tblBorders>
      </w:tblPr>
      <w:tblGrid>
        <w:gridCol w:w="3120"/>
        <w:gridCol w:w="3120"/>
        <w:gridCol w:w="3120"/>
      </w:tblGrid>
      <w:tr>
        <w:trPr>
          <w:tblHeader w:val="true"/>
        </w:trPr>
        <w:tc>
          <w:tcPr>
            <w:tcW w:type="dxa" w:w="2942"/>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Situación</w:t>
            </w:r>
          </w:p>
        </w:tc>
        <w:tc>
          <w:tcPr>
            <w:tcW w:type="dxa" w:w="2808"/>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Causa probable</w:t>
            </w:r>
          </w:p>
        </w:tc>
        <w:tc>
          <w:tcPr>
            <w:tcW w:type="dxa" w:w="3610"/>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Acción recomendada</w:t>
            </w:r>
          </w:p>
        </w:tc>
      </w:tr>
      <w:tr>
        <w:tc>
          <w:tcPr>
            <w:tcW w:type="dxa" w:w="294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La aplicación devuelve al inicio de sesión al cambiar de pestaña</w:t>
            </w:r>
          </w:p>
        </w:tc>
        <w:tc>
          <w:tcPr>
            <w:tcW w:type="dxa" w:w="2808"/>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La sesión expiró.</w:t>
            </w:r>
          </w:p>
        </w:tc>
        <w:tc>
          <w:tcPr>
            <w:tcW w:type="dxa" w:w="361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Volver a ingresar; el sistema renueva la sesión automáticamente cuando es posible.</w:t>
            </w:r>
          </w:p>
        </w:tc>
      </w:tr>
      <w:tr>
        <w:tc>
          <w:tcPr>
            <w:tcW w:type="dxa" w:w="294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No aparecen registros en una lista que sí existen</w:t>
            </w:r>
          </w:p>
        </w:tc>
        <w:tc>
          <w:tcPr>
            <w:tcW w:type="dxa" w:w="2808"/>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El filtro está demasiado estrecho o se consultó la primera página.</w:t>
            </w:r>
          </w:p>
        </w:tc>
        <w:tc>
          <w:tcPr>
            <w:tcW w:type="dxa" w:w="361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Limpiar los filtros, ampliar el periodo y revisar la paginación.</w:t>
            </w:r>
          </w:p>
        </w:tc>
      </w:tr>
      <w:tr>
        <w:tc>
          <w:tcPr>
            <w:tcW w:type="dxa" w:w="294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El sistema rechaza un pago</w:t>
            </w:r>
          </w:p>
        </w:tc>
        <w:tc>
          <w:tcPr>
            <w:tcW w:type="dxa" w:w="2808"/>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La suma de capital, interés y mora no coincide con el valor pagado.</w:t>
            </w:r>
          </w:p>
        </w:tc>
        <w:tc>
          <w:tcPr>
            <w:tcW w:type="dxa" w:w="361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Ajustar el desglose para que cuadre con el total recibido.</w:t>
            </w:r>
          </w:p>
        </w:tc>
      </w:tr>
      <w:tr>
        <w:tc>
          <w:tcPr>
            <w:tcW w:type="dxa" w:w="294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No se puede crear un préstamo por falta de capital</w:t>
            </w:r>
          </w:p>
        </w:tc>
        <w:tc>
          <w:tcPr>
            <w:tcW w:type="dxa" w:w="2808"/>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El saldo disponible es menor que el monto solicitado.</w:t>
            </w:r>
          </w:p>
        </w:tc>
        <w:tc>
          <w:tcPr>
            <w:tcW w:type="dxa" w:w="361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Revisar la pantalla de capital y, si corresponde, registrar un aporte.</w:t>
            </w:r>
          </w:p>
        </w:tc>
      </w:tr>
      <w:tr>
        <w:tc>
          <w:tcPr>
            <w:tcW w:type="dxa" w:w="294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Un cliente no aparece al crear el préstamo</w:t>
            </w:r>
          </w:p>
        </w:tc>
        <w:tc>
          <w:tcPr>
            <w:tcW w:type="dxa" w:w="2808"/>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La ficha está inactiva.</w:t>
            </w:r>
          </w:p>
        </w:tc>
        <w:tc>
          <w:tcPr>
            <w:tcW w:type="dxa" w:w="361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Editar el cliente y ponerlo en estado activo.</w:t>
            </w:r>
          </w:p>
        </w:tc>
      </w:tr>
      <w:tr>
        <w:tc>
          <w:tcPr>
            <w:tcW w:type="dxa" w:w="294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La lista de moras muestra un error</w:t>
            </w:r>
          </w:p>
        </w:tc>
        <w:tc>
          <w:tcPr>
            <w:tcW w:type="dxa" w:w="2808"/>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Consulta desconectada del servidor.</w:t>
            </w:r>
          </w:p>
        </w:tc>
        <w:tc>
          <w:tcPr>
            <w:tcW w:type="dxa" w:w="361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Revisar las cuotas en el detalle del préstamo y reportar la incidencia.</w:t>
            </w:r>
          </w:p>
        </w:tc>
      </w:tr>
      <w:tr>
        <w:tc>
          <w:tcPr>
            <w:tcW w:type="dxa" w:w="294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La pantalla de cobranza aparece vacía</w:t>
            </w:r>
          </w:p>
        </w:tc>
        <w:tc>
          <w:tcPr>
            <w:tcW w:type="dxa" w:w="2808"/>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Falla conocida en la lectura de datos.</w:t>
            </w:r>
          </w:p>
        </w:tc>
        <w:tc>
          <w:tcPr>
            <w:tcW w:type="dxa" w:w="361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Usar el detalle de préstamos como respaldo.</w:t>
            </w:r>
          </w:p>
        </w:tc>
      </w:tr>
      <w:tr>
        <w:tc>
          <w:tcPr>
            <w:tcW w:type="dxa" w:w="294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Las páginas de administración no abren</w:t>
            </w:r>
          </w:p>
        </w:tc>
        <w:tc>
          <w:tcPr>
            <w:tcW w:type="dxa" w:w="2808"/>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Protección de rutas sin reconocer el rol.</w:t>
            </w:r>
          </w:p>
        </w:tc>
        <w:tc>
          <w:tcPr>
            <w:tcW w:type="dxa" w:w="361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Coordinar con el equipo responsable del sistema.</w:t>
            </w:r>
          </w:p>
        </w:tc>
      </w:tr>
      <w:tr>
        <w:tc>
          <w:tcPr>
            <w:tcW w:type="dxa" w:w="294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Los recordatorios push no llegan</w:t>
            </w:r>
          </w:p>
        </w:tc>
        <w:tc>
          <w:tcPr>
            <w:tcW w:type="dxa" w:w="2808"/>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El navegador no autorizó las notificaciones.</w:t>
            </w:r>
          </w:p>
        </w:tc>
        <w:tc>
          <w:tcPr>
            <w:tcW w:type="dxa" w:w="361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Permitir notificaciones desde la configuración del sitio.</w:t>
            </w:r>
          </w:p>
        </w:tc>
      </w:tr>
      <w:tr>
        <w:tc>
          <w:tcPr>
            <w:tcW w:type="dxa" w:w="294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La aplicación no se instala en el dispositivo</w:t>
            </w:r>
          </w:p>
        </w:tc>
        <w:tc>
          <w:tcPr>
            <w:tcW w:type="dxa" w:w="2808"/>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Faltan los iconos del manifiesto.</w:t>
            </w:r>
          </w:p>
        </w:tc>
        <w:tc>
          <w:tcPr>
            <w:tcW w:type="dxa" w:w="361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Abrirla en el navegador de escritorio o reportar la incidencia.</w:t>
            </w:r>
          </w:p>
        </w:tc>
      </w:tr>
      <w:tr>
        <w:tc>
          <w:tcPr>
            <w:tcW w:type="dxa" w:w="294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Se registró un cobro por error</w:t>
            </w:r>
          </w:p>
        </w:tc>
        <w:tc>
          <w:tcPr>
            <w:tcW w:type="dxa" w:w="2808"/>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No existe anulación desde la interfaz.</w:t>
            </w:r>
          </w:p>
        </w:tc>
        <w:tc>
          <w:tcPr>
            <w:tcW w:type="dxa" w:w="361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Reportar al administrador para su reversión con auditoría.</w:t>
            </w:r>
          </w:p>
        </w:tc>
      </w:tr>
    </w:tbl>
    <w:p>
      <w:pPr>
        <w:spacing w:line="240" w:lineRule="auto" w:after="120"/>
      </w:pPr>
    </w:p>
    <w:p>
      <w:r>
        <w:br w:type="page"/>
      </w:r>
    </w:p>
    <w:p>
      <w:pPr>
        <w:pStyle w:val="Heading1"/>
      </w:pPr>
      <w:r>
        <w:t>13. Glosario</w:t>
      </w:r>
    </w:p>
    <w:p>
      <w:pPr>
        <w:keepNext/>
        <w:spacing w:line="240" w:lineRule="auto" w:before="240" w:after="120"/>
      </w:pPr>
      <w:r>
        <w:rPr>
          <w:rFonts w:ascii="Times New Roman" w:hAnsi="Times New Roman" w:cs="Times New Roman" w:eastAsia="Times New Roman"/>
          <w:b/>
          <w:i w:val="0"/>
          <w:color w:val="000000"/>
          <w:sz w:val="20"/>
        </w:rPr>
        <w:t>Tabla 8</w:t>
      </w:r>
      <w:r>
        <w:rPr>
          <w:rFonts w:ascii="Times New Roman" w:hAnsi="Times New Roman" w:cs="Times New Roman" w:eastAsia="Times New Roman"/>
          <w:b w:val="0"/>
          <w:i/>
          <w:color w:val="000000"/>
          <w:sz w:val="20"/>
        </w:rPr>
        <w:t xml:space="preserve">  Términos utilizados en el manual</w:t>
      </w:r>
    </w:p>
    <w:tbl>
      <w:tblPr>
        <w:tblW w:type="auto" w:w="0"/>
        <w:jc w:val="center"/>
        <w:tblLayout w:type="fixed"/>
        <w:tblLook w:firstColumn="1" w:firstRow="1" w:lastColumn="0" w:lastRow="0" w:noHBand="0" w:noVBand="1" w:val="04A0"/>
        <w:tblBorders>
          <w:top w:val="single" w:sz="12" w:color="000000"/>
          <w:bottom w:val="single" w:sz="12" w:color="000000"/>
          <w:left w:val="nil"/>
          <w:right w:val="nil"/>
          <w:insideH w:val="single" w:sz="4" w:color="000000"/>
          <w:insideV w:val="nil"/>
        </w:tblBorders>
      </w:tblPr>
      <w:tblGrid>
        <w:gridCol w:w="4680"/>
        <w:gridCol w:w="4680"/>
      </w:tblGrid>
      <w:tr>
        <w:trPr>
          <w:tblHeader w:val="true"/>
        </w:trPr>
        <w:tc>
          <w:tcPr>
            <w:tcW w:type="dxa" w:w="2407"/>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Término</w:t>
            </w:r>
          </w:p>
        </w:tc>
        <w:tc>
          <w:tcPr>
            <w:tcW w:type="dxa" w:w="6953"/>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Significado</w:t>
            </w:r>
          </w:p>
        </w:tc>
      </w:tr>
      <w:tr>
        <w:tc>
          <w:tcPr>
            <w:tcW w:type="dxa" w:w="240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Capital prestado</w:t>
            </w:r>
          </w:p>
        </w:tc>
        <w:tc>
          <w:tcPr>
            <w:tcW w:type="dxa" w:w="695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Dinero entregado al cliente en la originación.</w:t>
            </w:r>
          </w:p>
        </w:tc>
      </w:tr>
      <w:tr>
        <w:tc>
          <w:tcPr>
            <w:tcW w:type="dxa" w:w="240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Capital disponible</w:t>
            </w:r>
          </w:p>
        </w:tc>
        <w:tc>
          <w:tcPr>
            <w:tcW w:type="dxa" w:w="695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Saldo que la caja puede prestar en este momento.</w:t>
            </w:r>
          </w:p>
        </w:tc>
      </w:tr>
      <w:tr>
        <w:tc>
          <w:tcPr>
            <w:tcW w:type="dxa" w:w="240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Cuota</w:t>
            </w:r>
          </w:p>
        </w:tc>
        <w:tc>
          <w:tcPr>
            <w:tcW w:type="dxa" w:w="695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Fracción mensual de capital e interés que el cliente debe pagar.</w:t>
            </w:r>
          </w:p>
        </w:tc>
      </w:tr>
      <w:tr>
        <w:tc>
          <w:tcPr>
            <w:tcW w:type="dxa" w:w="240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Vencida</w:t>
            </w:r>
          </w:p>
        </w:tc>
        <w:tc>
          <w:tcPr>
            <w:tcW w:type="dxa" w:w="695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Cuota cuya fecha ya pasó sin cobro completo.</w:t>
            </w:r>
          </w:p>
        </w:tc>
      </w:tr>
      <w:tr>
        <w:tc>
          <w:tcPr>
            <w:tcW w:type="dxa" w:w="240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Parcial</w:t>
            </w:r>
          </w:p>
        </w:tc>
        <w:tc>
          <w:tcPr>
            <w:tcW w:type="dxa" w:w="695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Cuota con un abono que no cubre su valor total.</w:t>
            </w:r>
          </w:p>
        </w:tc>
      </w:tr>
      <w:tr>
        <w:tc>
          <w:tcPr>
            <w:tcW w:type="dxa" w:w="240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Mora</w:t>
            </w:r>
          </w:p>
        </w:tc>
        <w:tc>
          <w:tcPr>
            <w:tcW w:type="dxa" w:w="695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Penalización diaria aplicada a las cuotas vencidas.</w:t>
            </w:r>
          </w:p>
        </w:tc>
      </w:tr>
      <w:tr>
        <w:tc>
          <w:tcPr>
            <w:tcW w:type="dxa" w:w="240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Saldo pendiente</w:t>
            </w:r>
          </w:p>
        </w:tc>
        <w:tc>
          <w:tcPr>
            <w:tcW w:type="dxa" w:w="695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Dinero que falta por pagar del monto total del préstamo.</w:t>
            </w:r>
          </w:p>
        </w:tc>
      </w:tr>
      <w:tr>
        <w:tc>
          <w:tcPr>
            <w:tcW w:type="dxa" w:w="240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Renovación</w:t>
            </w:r>
          </w:p>
        </w:tc>
        <w:tc>
          <w:tcPr>
            <w:tcW w:type="dxa" w:w="695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Apertura de un nuevo préstamo que absorbe el saldo vivo del anterior.</w:t>
            </w:r>
          </w:p>
        </w:tc>
      </w:tr>
      <w:tr>
        <w:tc>
          <w:tcPr>
            <w:tcW w:type="dxa" w:w="240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Préstamo perdido</w:t>
            </w:r>
          </w:p>
        </w:tc>
        <w:tc>
          <w:tcPr>
            <w:tcW w:type="dxa" w:w="695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Declaración formal de que la deuda no se cobrará.</w:t>
            </w:r>
          </w:p>
        </w:tc>
      </w:tr>
      <w:tr>
        <w:tc>
          <w:tcPr>
            <w:tcW w:type="dxa" w:w="240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Cartera</w:t>
            </w:r>
          </w:p>
        </w:tc>
        <w:tc>
          <w:tcPr>
            <w:tcW w:type="dxa" w:w="695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Conjunto de préstamos vigentes del negocio.</w:t>
            </w:r>
          </w:p>
        </w:tc>
      </w:tr>
      <w:tr>
        <w:tc>
          <w:tcPr>
            <w:tcW w:type="dxa" w:w="240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Idempotencia</w:t>
            </w:r>
          </w:p>
        </w:tc>
        <w:tc>
          <w:tcPr>
            <w:tcW w:type="dxa" w:w="695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Garantía de que un cobro repetido no se registra dos veces.</w:t>
            </w:r>
          </w:p>
        </w:tc>
      </w:tr>
    </w:tbl>
    <w:p>
      <w:pPr>
        <w:spacing w:line="240" w:lineRule="auto" w:after="120"/>
      </w:pPr>
    </w:p>
    <w:p>
      <w:r>
        <w:br w:type="page"/>
      </w:r>
    </w:p>
    <w:p>
      <w:pPr>
        <w:pStyle w:val="Heading1"/>
      </w:pPr>
      <w:r>
        <w:t>Referencias</w:t>
      </w:r>
    </w:p>
    <w:p>
      <w:pPr>
        <w:ind w:left="720" w:hanging="720"/>
      </w:pPr>
      <w:r>
        <w:rPr>
          <w:rFonts w:ascii="Times New Roman" w:hAnsi="Times New Roman" w:cs="Times New Roman" w:eastAsia="Times New Roman"/>
          <w:b w:val="0"/>
          <w:i w:val="0"/>
          <w:color w:val="000000"/>
          <w:sz w:val="24"/>
        </w:rPr>
        <w:t xml:space="preserve">Equipo de Ingeniería de Software. (2026). </w:t>
      </w:r>
      <w:r>
        <w:rPr>
          <w:rFonts w:ascii="Times New Roman" w:hAnsi="Times New Roman" w:cs="Times New Roman" w:eastAsia="Times New Roman"/>
          <w:b w:val="0"/>
          <w:i/>
          <w:color w:val="000000"/>
          <w:sz w:val="24"/>
        </w:rPr>
        <w:t>Documento de Requerimientos del Software de LoanSoft</w:t>
      </w:r>
      <w:r>
        <w:rPr>
          <w:rFonts w:ascii="Times New Roman" w:hAnsi="Times New Roman" w:cs="Times New Roman" w:eastAsia="Times New Roman"/>
          <w:b w:val="0"/>
          <w:i w:val="0"/>
          <w:color w:val="000000"/>
          <w:sz w:val="24"/>
        </w:rPr>
        <w:t>. LoanSoft.</w:t>
      </w:r>
    </w:p>
    <w:p>
      <w:pPr>
        <w:ind w:left="720" w:hanging="720"/>
      </w:pPr>
      <w:r>
        <w:rPr>
          <w:rFonts w:ascii="Times New Roman" w:hAnsi="Times New Roman" w:cs="Times New Roman" w:eastAsia="Times New Roman"/>
          <w:b w:val="0"/>
          <w:i w:val="0"/>
          <w:color w:val="000000"/>
          <w:sz w:val="24"/>
        </w:rPr>
        <w:t xml:space="preserve">Equipo de Ingeniería de Software. (2026). </w:t>
      </w:r>
      <w:r>
        <w:rPr>
          <w:rFonts w:ascii="Times New Roman" w:hAnsi="Times New Roman" w:cs="Times New Roman" w:eastAsia="Times New Roman"/>
          <w:b w:val="0"/>
          <w:i/>
          <w:color w:val="000000"/>
          <w:sz w:val="24"/>
        </w:rPr>
        <w:t>Manual Técnico de LoanSoft</w:t>
      </w:r>
      <w:r>
        <w:rPr>
          <w:rFonts w:ascii="Times New Roman" w:hAnsi="Times New Roman" w:cs="Times New Roman" w:eastAsia="Times New Roman"/>
          <w:b w:val="0"/>
          <w:i w:val="0"/>
          <w:color w:val="000000"/>
          <w:sz w:val="24"/>
        </w:rPr>
        <w:t>. LoanSoft.</w:t>
      </w:r>
    </w:p>
    <w:p>
      <w:pPr>
        <w:ind w:left="720" w:hanging="720"/>
      </w:pPr>
      <w:r>
        <w:rPr>
          <w:rFonts w:ascii="Times New Roman" w:hAnsi="Times New Roman" w:cs="Times New Roman" w:eastAsia="Times New Roman"/>
          <w:b w:val="0"/>
          <w:i w:val="0"/>
          <w:color w:val="000000"/>
          <w:sz w:val="24"/>
        </w:rPr>
        <w:t xml:space="preserve">Equipo de Ingeniería de Software. (2026). </w:t>
      </w:r>
      <w:r>
        <w:rPr>
          <w:rFonts w:ascii="Times New Roman" w:hAnsi="Times New Roman" w:cs="Times New Roman" w:eastAsia="Times New Roman"/>
          <w:b w:val="0"/>
          <w:i/>
          <w:color w:val="000000"/>
          <w:sz w:val="24"/>
        </w:rPr>
        <w:t>BLUEPRINT_LOANSOFT: alcance y fases del sistema</w:t>
      </w:r>
      <w:r>
        <w:rPr>
          <w:rFonts w:ascii="Times New Roman" w:hAnsi="Times New Roman" w:cs="Times New Roman" w:eastAsia="Times New Roman"/>
          <w:b w:val="0"/>
          <w:i w:val="0"/>
          <w:color w:val="000000"/>
          <w:sz w:val="24"/>
        </w:rPr>
        <w:t>. LoanSoft.</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right"/>
    </w:pPr>
    <w:r>
      <w:rPr>
        <w:rFonts w:ascii="Times New Roman" w:hAnsi="Times New Roman" w:cs="Times New Roman" w:eastAsia="Times New Roman"/>
        <w:b w:val="0"/>
        <w:i w:val="0"/>
        <w:color w:val="000000"/>
        <w:sz w:val="24"/>
      </w:rP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jc w:val="left"/>
    </w:pPr>
    <w:rPr>
      <w:rFonts w:ascii="Times New Roman" w:hAnsi="Times New Roman" w:cs="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480" w:lineRule="auto"/>
      <w:jc w:val="center"/>
      <w:outlineLvl w:val="0"/>
    </w:pPr>
    <w:rPr>
      <w:rFonts w:asciiTheme="majorHAnsi" w:eastAsiaTheme="majorEastAsia" w:hAnsiTheme="majorHAnsi" w:cstheme="majorBidi" w:ascii="Times New Roman" w:hAnsi="Times New Roman" w:cs="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jc w:val="left"/>
      <w:outlineLvl w:val="1"/>
    </w:pPr>
    <w:rPr>
      <w:rFonts w:asciiTheme="majorHAnsi" w:eastAsiaTheme="majorEastAsia" w:hAnsiTheme="majorHAnsi" w:cstheme="majorBidi" w:ascii="Times New Roman" w:hAnsi="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jc w:val="left"/>
      <w:outlineLvl w:val="2"/>
    </w:pPr>
    <w:rPr>
      <w:rFonts w:asciiTheme="majorHAnsi" w:eastAsiaTheme="majorEastAsia" w:hAnsiTheme="majorHAnsi" w:cstheme="majorBidi" w:ascii="Times New Roman" w:hAnsi="Times New Roman" w:cs="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40" w:after="120" w:line="480" w:lineRule="auto"/>
      <w:jc w:val="left"/>
      <w:outlineLvl w:val="3"/>
    </w:pPr>
    <w:rPr>
      <w:rFonts w:asciiTheme="majorHAnsi" w:eastAsiaTheme="majorEastAsia" w:hAnsiTheme="majorHAnsi" w:cstheme="majorBidi" w:ascii="Times New Roman" w:hAnsi="Times New Roman" w:cs="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