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48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Roadmap Estratégico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Fases, iniciativas y métricas de evolución de LoanSoft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Equipo de Ingeniería de Software · LoanSoft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LoanSoft · Sistema de Gestión de Préstamos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28 de septiembre de 2026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Versión 1.0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Horizonte: estabilización inmediata y 12 meses de evolución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Este documento define hacia dónde evoluciona LoanSoft después del análisis de su estado actual. Parte de un diagnóstico honesto: 33 de los 75 requerimientos funcionales están completados, 16 a medias y 26 sin iniciar. Sobre esa base organiza el trabajo en cuatro fases con objetivos, requerimientos comprometidos, indicadores de éxito y esfuerzo estimado, y añade las iniciativas transversales de calidad y plataforma que sostienen el crecimiento.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Visión y propósito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LoanSoft nació como la herramienta que reemplaza el cuaderno de cobro y la hoja de cálculo en un negocio de préstamos. La visión a doce meses es que la operación completa —originación, cobro, mora, caja y reportes— ocurra dentro del sistema sin trabajo paralelo, y que los datos del negocio estén tan bien protegidos y respaldados como lo estaría su dinero.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roadmap existe para ordenar esa evolución. No promete fechas irreversibles ni desconocidas: cada fase se define por su objetivo y sus indicadores, de modo que cuando el negocio priorice diferente, el plan siga siendo legible y reordenable. La regla de prioridad se mantiene simple: primero lo que protege dinero y datos, después lo que completa la operación diaria, al final lo que amplía el alcance comercial del producto.</w:t>
      </w:r>
    </w:p>
    <w:p>
      <w:r>
        <w:br w:type="page"/>
      </w:r>
    </w:p>
    <w:p>
      <w:pPr>
        <w:pStyle w:val="Heading1"/>
      </w:pPr>
      <w:r>
        <w:t>2. Estado actual del producto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punto de partida se midió sobre el código, no sobre la intención. De los 75 requerimientos funcionales, casi la mitad ya tiene implementación completa; el resto se divide entre requerimientos parcialmente cubiertos y requerimientos aún sin iniciar. La distribución por módulo muestra dónde conviene cerrar filas antes de abrir alcance nuevo.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Madurez por módulo funcional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87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Módulo</w:t>
            </w:r>
          </w:p>
        </w:tc>
        <w:tc>
          <w:tcPr>
            <w:tcW w:type="dxa" w:w="135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Requerimientos</w:t>
            </w:r>
          </w:p>
        </w:tc>
        <w:tc>
          <w:tcPr>
            <w:tcW w:type="dxa" w:w="936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Completados</w:t>
            </w:r>
          </w:p>
        </w:tc>
        <w:tc>
          <w:tcPr>
            <w:tcW w:type="dxa" w:w="83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Parciales</w:t>
            </w:r>
          </w:p>
        </w:tc>
        <w:tc>
          <w:tcPr>
            <w:tcW w:type="dxa" w:w="936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Pendientes</w:t>
            </w:r>
          </w:p>
        </w:tc>
        <w:tc>
          <w:tcPr>
            <w:tcW w:type="dxa" w:w="343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Lectura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Seguridad y acceso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RF-001 a RF-011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Backend sólido; brecha crítica en la protección de rutas del frontend.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Clientes y solicitudes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RF-012 a RF-024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Operación diaria cubierta; el embudo de solicitudes no existe.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Originación de préstamos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RF-025 a RF-027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Módulo completo y con pruebas unitarias de cálculo.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Administración de préstamos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RF-028 a RF-035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Flujos de renovación y pérdida operativos.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Pagos y cobro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RF-036 a RF-043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Cobro confiable; faltan reversión y comprobante.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Mora y cobranza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RF-044 a RF-049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Cálculo automático vivo; la consulta por préstamo está desconectada.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Capital, reportes y tablero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RF-050 a RF-059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Reportes base listos; faltan cartera, cobranza y consolidación.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Plataforma e integraciones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RF-060 a RF-075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PWA en marcha; integraciones externas sin iniciar.</w:t>
            </w:r>
          </w:p>
        </w:tc>
      </w:tr>
      <w:tr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135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75 requerimientos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8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936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343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Estado general: producto operable con deuda explícita.</w:t>
            </w:r>
          </w:p>
        </w:tc>
      </w:tr>
    </w:tbl>
    <w:p>
      <w:pPr>
        <w:spacing w:line="240" w:lineRule="auto" w:after="120"/>
      </w:pP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pendientes no son todos iguales. Cuatro de ellos —protección de rutas, cabeceras de seguridad, respaldo de datos y paginación consistente— son de infraestructura y determinan si el producto puede confiarse; se atienden en la primera fase. Otros corresponden a alcance comercial nuevo, como pasarela de pago, buró de crédito y firma electrónica, y esperan a que la operación base esté cerrada.</w:t>
      </w:r>
    </w:p>
    <w:p>
      <w:r>
        <w:br w:type="page"/>
      </w:r>
    </w:p>
    <w:p>
      <w:pPr>
        <w:pStyle w:val="Heading1"/>
      </w:pPr>
      <w:r>
        <w:t>3. Fases del roadmap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horizonte se divide en cuatro fases. La fase 0 se ejecuta de inmediato y su alcance proviene de los hallazgos críticos del análisis; las tres siguientes se distribuyen en los doce meses siguientes. Cada fase declara qué requerimientos abarca, cuál es su objetivo, cómo se sabe que terminó y cuánto esfuerzo se estima.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2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Fases, alcance e indicadores de éxito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310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Fase</w:t>
            </w:r>
          </w:p>
        </w:tc>
        <w:tc>
          <w:tcPr>
            <w:tcW w:type="dxa" w:w="1123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Horizonte</w:t>
            </w:r>
          </w:p>
        </w:tc>
        <w:tc>
          <w:tcPr>
            <w:tcW w:type="dxa" w:w="1778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Objetivo</w:t>
            </w:r>
          </w:p>
        </w:tc>
        <w:tc>
          <w:tcPr>
            <w:tcW w:type="dxa" w:w="1498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Requerimientos</w:t>
            </w:r>
          </w:p>
        </w:tc>
        <w:tc>
          <w:tcPr>
            <w:tcW w:type="dxa" w:w="3650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Indicador de cierre</w:t>
            </w:r>
          </w:p>
        </w:tc>
      </w:tr>
      <w:tr>
        <w:tc>
          <w:tcPr>
            <w:tcW w:type="dxa" w:w="131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0 · Estabilización</w:t>
            </w:r>
          </w:p>
        </w:tc>
        <w:tc>
          <w:tcPr>
            <w:tcW w:type="dxa" w:w="112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Inmediato (4 a 6 semanas)</w:t>
            </w:r>
          </w:p>
        </w:tc>
        <w:tc>
          <w:tcPr>
            <w:tcW w:type="dxa" w:w="177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Cerrar los riesgos de seguridad y continuidad detectados en el análisis.</w:t>
            </w:r>
          </w:p>
        </w:tc>
        <w:tc>
          <w:tcPr>
            <w:tcW w:type="dxa" w:w="149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RF-008, RF-074, RF-075, RF-070</w:t>
            </w:r>
          </w:p>
        </w:tc>
        <w:tc>
          <w:tcPr>
            <w:tcW w:type="dxa" w:w="365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Rutas privadas protegidas y probadas; cabeceras de seguridad activas; respaldo programado verificado con una restauración de prueba.</w:t>
            </w:r>
          </w:p>
        </w:tc>
      </w:tr>
      <w:tr>
        <w:tc>
          <w:tcPr>
            <w:tcW w:type="dxa" w:w="131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1 · Cierre operativo</w:t>
            </w:r>
          </w:p>
        </w:tc>
        <w:tc>
          <w:tcPr>
            <w:tcW w:type="dxa" w:w="112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Meses 1 a 3</w:t>
            </w:r>
          </w:p>
        </w:tc>
        <w:tc>
          <w:tcPr>
            <w:tcW w:type="dxa" w:w="177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Que la operación diaria no tenga pantallas rotas ni consultas que fallen.</w:t>
            </w:r>
          </w:p>
        </w:tc>
        <w:tc>
          <w:tcPr>
            <w:tcW w:type="dxa" w:w="149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RF-045, RF-046, RF-047, RF-041, RF-057, RF-058, RF-014, RF-015</w:t>
            </w:r>
          </w:p>
        </w:tc>
        <w:tc>
          <w:tcPr>
            <w:tcW w:type="dxa" w:w="365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Cero errores de recurso inexistente en mora y cobranza; historial global de pagos navegable; tablero con distribución de cartera.</w:t>
            </w:r>
          </w:p>
        </w:tc>
      </w:tr>
      <w:tr>
        <w:tc>
          <w:tcPr>
            <w:tcW w:type="dxa" w:w="131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2 · Control gerencial</w:t>
            </w:r>
          </w:p>
        </w:tc>
        <w:tc>
          <w:tcPr>
            <w:tcW w:type="dxa" w:w="112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Meses 3 a 6</w:t>
            </w:r>
          </w:p>
        </w:tc>
        <w:tc>
          <w:tcPr>
            <w:tcW w:type="dxa" w:w="177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Dar a la administración las herramientas de corrección y de reporte.</w:t>
            </w:r>
          </w:p>
        </w:tc>
        <w:tc>
          <w:tcPr>
            <w:tcW w:type="dxa" w:w="149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RF-042, RF-043, RF-051, RF-059, RF-053, RF-054, RF-034, RF-035, RF-006, RF-010, RF-011</w:t>
            </w:r>
          </w:p>
        </w:tc>
        <w:tc>
          <w:tcPr>
            <w:tcW w:type="dxa" w:w="365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Pagos reversibles con auditoría; reportes de cartera y cobranza en interfaz; recuperación de contraseña operativa.</w:t>
            </w:r>
          </w:p>
        </w:tc>
      </w:tr>
      <w:tr>
        <w:tc>
          <w:tcPr>
            <w:tcW w:type="dxa" w:w="131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3 · Expansión comercial</w:t>
            </w:r>
          </w:p>
        </w:tc>
        <w:tc>
          <w:tcPr>
            <w:tcW w:type="dxa" w:w="112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Meses 6 a 12</w:t>
            </w:r>
          </w:p>
        </w:tc>
        <w:tc>
          <w:tcPr>
            <w:tcW w:type="dxa" w:w="177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Ampliar el alcance del producto hacia el mercado.</w:t>
            </w:r>
          </w:p>
        </w:tc>
        <w:tc>
          <w:tcPr>
            <w:tcW w:type="dxa" w:w="149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RF-020 a RF-024, RF-060 a RF-067, RF-073</w:t>
            </w:r>
          </w:p>
        </w:tc>
        <w:tc>
          <w:tcPr>
            <w:tcW w:type="dxa" w:w="365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Embudo de solicitudes activo; notificaciones multicanal; integración de pagos y firma en piloto; base multiempresa evaluada.</w:t>
            </w:r>
          </w:p>
        </w:tc>
      </w:tr>
    </w:tbl>
    <w:p>
      <w:pPr>
        <w:spacing w:line="240" w:lineRule="auto" w:after="120"/>
      </w:pPr>
    </w:p>
    <w:p>
      <w:r>
        <w:br w:type="page"/>
      </w:r>
    </w:p>
    <w:p>
      <w:pPr>
        <w:pStyle w:val="Heading1"/>
      </w:pPr>
      <w:r>
        <w:t>4. Detalle por fase</w:t>
      </w:r>
    </w:p>
    <w:p>
      <w:pPr>
        <w:pStyle w:val="Heading2"/>
      </w:pPr>
      <w:r>
        <w:t>4.1 Fase 0 · Estabilización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fase 0 es la única que no admite negociación de alcance: nace de los hallazgos que impiden confiar en el sistema. Comprende activar la protección de rutas del frontend, que hoy está comentada y deja las pantallas administrativas sin defensa; añadir las cabeceras de seguridad sobre las respuestas HTTP y acotar el origen permitido; implementar el respaldo programado de la base de datos con un procedimiento de restauración probado; y unificar el parámetro de paginación entre frontend y backend para que los listados no pierdan registros.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trabaja sobre las cinco pantallas administrativas —usuarios, tipos de préstamo, tipos de pago, capital y moras— cuya accesibilidad depende del middleware de rol. El cierre de la fase exige evidencia: una prueba de regresión de navegación con una cuenta de cada rol y una restauración completa desde el respaldo.</w:t>
      </w:r>
    </w:p>
    <w:p>
      <w:pPr>
        <w:pStyle w:val="Heading2"/>
      </w:pPr>
      <w:r>
        <w:t>4.2 Fase 1 · Cierre operativo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fase 1 atiende lo que el usuario nota todos los días. Se repara la consulta de moras, cuyo servicio apunta a un prefijo distinto al del servidor y responde con error; se completa la pantalla de cobranza con los datos que hoy no se leen; se habilita el historial global de pagos con filtros de periodo y cliente; se termina la distribución de cartera y los indicadores de cobranza del tablero; y se cierra la búsqueda de clientes con su página de detalle y el historial financiero del cliente.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fase termina cuando el circuito cliente → préstamo → cobro → mora → tablero se puede recorrer de punta a punta sin errores de consola y sin recaer en procedimientos manuales fuera del sistema.</w:t>
      </w:r>
    </w:p>
    <w:p>
      <w:pPr>
        <w:pStyle w:val="Heading2"/>
      </w:pPr>
      <w:r>
        <w:t>4.3 Fase 2 · Control gerencial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fase 2 convierte al administrador en dueño de las correcciones y de los números. Incluye la reversión de pagos con motivo y auditoría, el comprobante descargable de cada cobro, el registro de ingresos y egresos de caja, la consolidación del tablero desde el resumen del servidor, los reportes de cartera y de cobranza que ya existen sin interfaz propia, el ajuste puntual de capital y la reestructuración de préstamos, la recuperación de contraseña por correo, la auditoría visible por usuario y tabla y la configuración de parámetros de mora desde la interfaz.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 esta fase el negocio cierra el mes dentro del sistema: genera reportes exportables, corrige errores de captura con trazabilidad y administra sus parámetros sin intervención del equipo de desarrollo.</w:t>
      </w:r>
    </w:p>
    <w:p>
      <w:pPr>
        <w:pStyle w:val="Heading2"/>
      </w:pPr>
      <w:r>
        <w:t>4.4 Fase 3 · Expansión comercial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fase 3 abre alcance nuevo. El embudo de solicitudes permite capturar la petición del cliente, evaluarla, decidirla y convertirla en préstamo sin redigitalizar; el centro de notificaciones y los canales de correo y mensajería amplían la comunicación más allá del push; la pasarela de pago habilita el cobro digital; el scoring y la firma electrónica modernizan la decisión de crédito; la importación de extractos acerca el cierre bancario al sistema; y el aislamiento por empresa prepara un modelo de varios negocios sobre la misma plataforma.</w:t>
      </w:r>
    </w:p>
    <w:p>
      <w:pPr>
        <w:spacing w:line="240" w:lineRule="auto" w:before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96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icro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96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Figura 1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Arquitectura objetivo hacia la que converge la fase 3: separación del núcleo de negocio de los servicios de canales e integraciones.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Esta fase se ejecuta por pilotos: cada integración se prueba con un grupo reducido de usuarios antes de abrirse al resto, y ninguna entra en producción sin criterio de reversión definido.</w:t>
      </w:r>
    </w:p>
    <w:p>
      <w:r>
        <w:br w:type="page"/>
      </w:r>
    </w:p>
    <w:p>
      <w:pPr>
        <w:pStyle w:val="Heading1"/>
      </w:pPr>
      <w:r>
        <w:t>5. Calendario por trimestres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calendario siguiente traduce las fases en trimestres de ejecución. Los rangos son intencionales y se revisan en cada trimestre; la secuencia entre fases sí es un compromiso, porque ninguna fase posterior aporta valor si la anterior no cerró.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3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Calendario de ejecución por trimestre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70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Trimestre</w:t>
            </w:r>
          </w:p>
        </w:tc>
        <w:tc>
          <w:tcPr>
            <w:tcW w:type="dxa" w:w="187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Fase dominante</w:t>
            </w:r>
          </w:p>
        </w:tc>
        <w:tc>
          <w:tcPr>
            <w:tcW w:type="dxa" w:w="6318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Hitos principales</w:t>
            </w:r>
          </w:p>
        </w:tc>
      </w:tr>
      <w:tr>
        <w:tc>
          <w:tcPr>
            <w:tcW w:type="dxa" w:w="117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T1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0</w:t>
            </w:r>
          </w:p>
        </w:tc>
        <w:tc>
          <w:tcPr>
            <w:tcW w:type="dxa" w:w="631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Protección de rutas activa, cabeceras de seguridad, respaldo verificado, paginación unificada.</w:t>
            </w:r>
          </w:p>
        </w:tc>
      </w:tr>
      <w:tr>
        <w:tc>
          <w:tcPr>
            <w:tcW w:type="dxa" w:w="117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T1 – T2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1</w:t>
            </w:r>
          </w:p>
        </w:tc>
        <w:tc>
          <w:tcPr>
            <w:tcW w:type="dxa" w:w="631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Mora y cobranza reparadas, historial de pagos global, tablero completo, detalle de cliente.</w:t>
            </w:r>
          </w:p>
        </w:tc>
      </w:tr>
      <w:tr>
        <w:tc>
          <w:tcPr>
            <w:tcW w:type="dxa" w:w="117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T2 – T3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2</w:t>
            </w:r>
          </w:p>
        </w:tc>
        <w:tc>
          <w:tcPr>
            <w:tcW w:type="dxa" w:w="631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Reversión de pagos, comprobantes, caja, reportes de cartera y cobranza, recuperación de contraseña.</w:t>
            </w:r>
          </w:p>
        </w:tc>
      </w:tr>
      <w:tr>
        <w:tc>
          <w:tcPr>
            <w:tcW w:type="dxa" w:w="117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T3 – T4</w:t>
            </w:r>
          </w:p>
        </w:tc>
        <w:tc>
          <w:tcPr>
            <w:tcW w:type="dxa" w:w="187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3</w:t>
            </w:r>
          </w:p>
        </w:tc>
        <w:tc>
          <w:tcPr>
            <w:tcW w:type="dxa" w:w="631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Solicitudes de préstamo, centro de notificaciones, pilotos de pagos y firma, evaluación multiempresa.</w:t>
            </w:r>
          </w:p>
        </w:tc>
      </w:tr>
    </w:tbl>
    <w:p>
      <w:pPr>
        <w:spacing w:line="240" w:lineRule="auto" w:after="120"/>
      </w:pPr>
    </w:p>
    <w:p>
      <w:r>
        <w:br w:type="page"/>
      </w:r>
    </w:p>
    <w:p>
      <w:pPr>
        <w:pStyle w:val="Heading1"/>
      </w:pPr>
      <w:r>
        <w:t>6. Iniciativas transversales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Algunas iniciativas no pertenecen a un módulo sino a la salud del producto y se ejecutan en paralelo a las fases. Su avance se mide con sus propios indicadores y su omisión compromete a todas las demás.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4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Iniciativas transversales y su indicador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89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Iniciativa</w:t>
            </w:r>
          </w:p>
        </w:tc>
        <w:tc>
          <w:tcPr>
            <w:tcW w:type="dxa" w:w="4329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Qué incluye</w:t>
            </w:r>
          </w:p>
        </w:tc>
        <w:tc>
          <w:tcPr>
            <w:tcW w:type="dxa" w:w="304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Indicador</w:t>
            </w:r>
          </w:p>
        </w:tc>
      </w:tr>
      <w:tr>
        <w:tc>
          <w:tcPr>
            <w:tcW w:type="dxa" w:w="198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Pruebas automatizadas</w:t>
            </w:r>
          </w:p>
        </w:tc>
        <w:tc>
          <w:tcPr>
            <w:tcW w:type="dxa" w:w="432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Ampliar desde las pruebas unitarias de cálculo existentes hacia flujo de pagos, cuadre e idempotencia.</w:t>
            </w:r>
          </w:p>
        </w:tc>
        <w:tc>
          <w:tcPr>
            <w:tcW w:type="dxa" w:w="304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Cobertura automatizada de los casos CP de dinero: 80 por ciento.</w:t>
            </w:r>
          </w:p>
        </w:tc>
      </w:tr>
      <w:tr>
        <w:tc>
          <w:tcPr>
            <w:tcW w:type="dxa" w:w="198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Integración continua</w:t>
            </w:r>
          </w:p>
        </w:tc>
        <w:tc>
          <w:tcPr>
            <w:tcW w:type="dxa" w:w="432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Validación automática de formato, tipos y pruebas en cada cambio antes de combinarlo.</w:t>
            </w:r>
          </w:p>
        </w:tc>
        <w:tc>
          <w:tcPr>
            <w:tcW w:type="dxa" w:w="304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Ningún cambio se integra sin pasar todas las validaciones.</w:t>
            </w:r>
          </w:p>
        </w:tc>
      </w:tr>
      <w:tr>
        <w:tc>
          <w:tcPr>
            <w:tcW w:type="dxa" w:w="198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Observabilidad</w:t>
            </w:r>
          </w:p>
        </w:tc>
        <w:tc>
          <w:tcPr>
            <w:tcW w:type="dxa" w:w="432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Registro de errores del navegador y del servidor con alertas de fallo en procesos nocturnos.</w:t>
            </w:r>
          </w:p>
        </w:tc>
        <w:tc>
          <w:tcPr>
            <w:tcW w:type="dxa" w:w="304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Detección de incidentes antes de que lo reporte el usuario.</w:t>
            </w:r>
          </w:p>
        </w:tc>
      </w:tr>
      <w:tr>
        <w:tc>
          <w:tcPr>
            <w:tcW w:type="dxa" w:w="198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Desempeño y accesibilidad</w:t>
            </w:r>
          </w:p>
        </w:tc>
        <w:tc>
          <w:tcPr>
            <w:tcW w:type="dxa" w:w="432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Tiempos de respuesta en listados, contraste y navegación por teclado.</w:t>
            </w:r>
          </w:p>
        </w:tc>
        <w:tc>
          <w:tcPr>
            <w:tcW w:type="dxa" w:w="304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Listados principales bajo dos segundos y revisión de accesibilidad trimestral.</w:t>
            </w:r>
          </w:p>
        </w:tc>
      </w:tr>
      <w:tr>
        <w:tc>
          <w:tcPr>
            <w:tcW w:type="dxa" w:w="198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Gestión de riesgo técnico</w:t>
            </w:r>
          </w:p>
        </w:tc>
        <w:tc>
          <w:tcPr>
            <w:tcW w:type="dxa" w:w="4329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Seguimiento de los hallazgos de auditoría con archivo, responsable y fecha.</w:t>
            </w:r>
          </w:p>
        </w:tc>
        <w:tc>
          <w:tcPr>
            <w:tcW w:type="dxa" w:w="304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Descenso continuo de hallazgos abiertos en cada revisión.</w:t>
            </w:r>
          </w:p>
        </w:tc>
      </w:tr>
    </w:tbl>
    <w:p>
      <w:pPr>
        <w:spacing w:line="240" w:lineRule="auto" w:after="120"/>
      </w:pPr>
    </w:p>
    <w:p>
      <w:r>
        <w:br w:type="page"/>
      </w:r>
    </w:p>
    <w:p>
      <w:pPr>
        <w:pStyle w:val="Heading1"/>
      </w:pPr>
      <w:r>
        <w:t>7. Métricas del producto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roadmap se mide con dos familias de indicadores. Las métricas de negocio dicen si el sistema está mejorando la operación real del prestamista; las métricas de producto dicen si el software está mejorando en calidad y adopción. Ambas se revisan en la misma reunión trimestral.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5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Métricas de negocio y de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65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Familia</w:t>
            </w:r>
          </w:p>
        </w:tc>
        <w:tc>
          <w:tcPr>
            <w:tcW w:type="dxa" w:w="2403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Métrica</w:t>
            </w:r>
          </w:p>
        </w:tc>
        <w:tc>
          <w:tcPr>
            <w:tcW w:type="dxa" w:w="3795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Cómo se obtiene</w:t>
            </w:r>
          </w:p>
        </w:tc>
        <w:tc>
          <w:tcPr>
            <w:tcW w:type="dxa" w:w="1897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Dirección deseada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Negocio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Morosidad de la cartera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Saldo vencido frente a saldo total de la cartera.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 la baja.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Negocio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Tiempo medio de cobro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Días entre vencimiento y pago efectivo.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 la baja.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Negocio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Capital rotativo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Préstamos originados por período frente al capital disponible.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 la alza con riesgo controlado.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Negocio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Cobros registrados en el sistema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Pagos capturados frente a cobros totales del negocio.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Cercano al cien por ciento.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Tasa de aprobación de casos de prueba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Casos aprobados sobre ejecutados por sprint.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Cien por ciento en dinero.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Disponibilidad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Tiempo accesible frente al tiempo total.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99,5 por ciento o más.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Adopción de la aplicación instalada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Aperturas desde el acceso instalado frente al total.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 la alza.</w:t>
            </w:r>
          </w:p>
        </w:tc>
      </w:tr>
      <w:tr>
        <w:tc>
          <w:tcPr>
            <w:tcW w:type="dxa" w:w="126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2403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Hallazgos de auditoría abiertos</w:t>
            </w:r>
          </w:p>
        </w:tc>
        <w:tc>
          <w:tcPr>
            <w:tcW w:type="dxa" w:w="379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Conteo de observaciones sin resolver.</w:t>
            </w:r>
          </w:p>
        </w:tc>
        <w:tc>
          <w:tcPr>
            <w:tcW w:type="dxa" w:w="1897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 la baja.</w:t>
            </w:r>
          </w:p>
        </w:tc>
      </w:tr>
    </w:tbl>
    <w:p>
      <w:pPr>
        <w:spacing w:line="240" w:lineRule="auto" w:after="120"/>
      </w:pPr>
    </w:p>
    <w:p>
      <w:r>
        <w:br w:type="page"/>
      </w:r>
    </w:p>
    <w:p>
      <w:pPr>
        <w:pStyle w:val="Heading1"/>
      </w:pPr>
      <w:r>
        <w:t>8. Esfuerzo estimado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estimaciones siguientes son de orden de magnitud, calculadas sobre el trabajo ya ejecutado y la complejidad de cada alcance. Se expresan en personas-sprint, donde un sprint equivale a dos semanas de una persona del equipo; sirven para dimensionar, no para comprometer fechas.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6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Esfuerzo estimado por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Fase</w:t>
            </w:r>
          </w:p>
        </w:tc>
        <w:tc>
          <w:tcPr>
            <w:tcW w:type="dxa" w:w="1521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Personas-sprint</w:t>
            </w:r>
          </w:p>
        </w:tc>
        <w:tc>
          <w:tcPr>
            <w:tcW w:type="dxa" w:w="1755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Sprints equivalentes</w:t>
            </w:r>
          </w:p>
        </w:tc>
        <w:tc>
          <w:tcPr>
            <w:tcW w:type="dxa" w:w="3744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Observación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0 · Estabilización</w:t>
            </w:r>
          </w:p>
        </w:tc>
        <w:tc>
          <w:tcPr>
            <w:tcW w:type="dxa" w:w="1521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5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Trabajo concentrado y de bajo diseño, alto riesgo si se omite.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1 · Cierre operativo</w:t>
            </w:r>
          </w:p>
        </w:tc>
        <w:tc>
          <w:tcPr>
            <w:tcW w:type="dxa" w:w="1521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75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Reparaciones y terminación de interfaces existentes.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2 · Control gerencial</w:t>
            </w:r>
          </w:p>
        </w:tc>
        <w:tc>
          <w:tcPr>
            <w:tcW w:type="dxa" w:w="1521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75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Nuevos flujos de corrección, reportes y configuración.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3 · Expansión comercial</w:t>
            </w:r>
          </w:p>
        </w:tc>
        <w:tc>
          <w:tcPr>
            <w:tcW w:type="dxa" w:w="1521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75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Integraciones externas con pruebas de piloto.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Iniciativas transversales</w:t>
            </w:r>
          </w:p>
        </w:tc>
        <w:tc>
          <w:tcPr>
            <w:tcW w:type="dxa" w:w="1521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75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Distribuidas a lo largo de las cuatro fases.</w:t>
            </w:r>
          </w:p>
        </w:tc>
      </w:tr>
      <w:tr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Total estimado</w:t>
            </w:r>
          </w:p>
        </w:tc>
        <w:tc>
          <w:tcPr>
            <w:tcW w:type="dxa" w:w="1521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</w:t>
            </w:r>
          </w:p>
        </w:tc>
        <w:tc>
          <w:tcPr>
            <w:tcW w:type="dxa" w:w="1755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39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Aproximadamente dieciocho meses de una persona, o seis meses de un equipo de tres.</w:t>
            </w:r>
          </w:p>
        </w:tc>
      </w:tr>
    </w:tbl>
    <w:p>
      <w:pPr>
        <w:spacing w:line="240" w:lineRule="auto" w:after="120"/>
      </w:pPr>
    </w:p>
    <w:p>
      <w:r>
        <w:br w:type="page"/>
      </w:r>
    </w:p>
    <w:p>
      <w:pPr>
        <w:pStyle w:val="Heading1"/>
      </w:pPr>
      <w:r>
        <w:t>9. Riesgos y dependencias</w:t>
      </w:r>
    </w:p>
    <w:p>
      <w:pPr>
        <w:keepNext/>
        <w:spacing w:line="240" w:lineRule="auto" w:before="24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0"/>
        </w:rPr>
        <w:t>Tabla 7</w:t>
      </w:r>
      <w:r>
        <w:rPr>
          <w:rFonts w:ascii="Times New Roman" w:hAnsi="Times New Roman" w:cs="Times New Roman" w:eastAsia="Times New Roman"/>
          <w:b w:val="0"/>
          <w:i/>
          <w:color w:val="000000"/>
          <w:sz w:val="20"/>
        </w:rPr>
        <w:t xml:space="preserve">  Riesgos externos y dependencias del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single" w:sz="4" w:color="000000"/>
          <w:insideV w:val="nil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8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Riesgo o dependencia</w:t>
            </w:r>
          </w:p>
        </w:tc>
        <w:tc>
          <w:tcPr>
            <w:tcW w:type="dxa" w:w="2340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Efecto posible</w:t>
            </w:r>
          </w:p>
        </w:tc>
        <w:tc>
          <w:tcPr>
            <w:tcW w:type="dxa" w:w="4212"/>
            <w:shd w:val="clear" w:color="auto" w:fill="E7E6E6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Mitigación</w:t>
            </w:r>
          </w:p>
        </w:tc>
      </w:tr>
      <w:tr>
        <w:tc>
          <w:tcPr>
            <w:tcW w:type="dxa" w:w="280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Integraciones externas sin proveedor contratado.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Fase 3 bloqueada parcialmente.</w:t>
            </w:r>
          </w:p>
        </w:tc>
        <w:tc>
          <w:tcPr>
            <w:tcW w:type="dxa" w:w="421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Contratar alcance antes de iniciar y mantener un modo de operación sin la integración.</w:t>
            </w:r>
          </w:p>
        </w:tc>
      </w:tr>
      <w:tr>
        <w:tc>
          <w:tcPr>
            <w:tcW w:type="dxa" w:w="280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Regulación de protección de datos personales y financieros.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Retrabajo de manejo de información y consentimientos.</w:t>
            </w:r>
          </w:p>
        </w:tc>
        <w:tc>
          <w:tcPr>
            <w:tcW w:type="dxa" w:w="421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Revisión legal trimestral y cifrado de datos sensibles de forma permanente.</w:t>
            </w:r>
          </w:p>
        </w:tc>
      </w:tr>
      <w:tr>
        <w:tc>
          <w:tcPr>
            <w:tcW w:type="dxa" w:w="280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Equipo pequeño con roles compartidos.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Velocidad menor que la planificada.</w:t>
            </w:r>
          </w:p>
        </w:tc>
        <w:tc>
          <w:tcPr>
            <w:tcW w:type="dxa" w:w="421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Priorizar por valor, evitar trabajo en paralelo excesivo y automatizar verificación.</w:t>
            </w:r>
          </w:p>
        </w:tc>
      </w:tr>
      <w:tr>
        <w:tc>
          <w:tcPr>
            <w:tcW w:type="dxa" w:w="280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Deuda técnica conocida en autenticación y paginación.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Regresiones durante las fases iniciales.</w:t>
            </w:r>
          </w:p>
        </w:tc>
        <w:tc>
          <w:tcPr>
            <w:tcW w:type="dxa" w:w="421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Concentrar la deuda en la fase 0 antes de abrir alcance nuevo.</w:t>
            </w:r>
          </w:p>
        </w:tc>
      </w:tr>
      <w:tr>
        <w:tc>
          <w:tcPr>
            <w:tcW w:type="dxa" w:w="280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Caída de la base de datos o pérdida de datos.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Interrupción de la operación y pérdida de historial.</w:t>
            </w:r>
          </w:p>
        </w:tc>
        <w:tc>
          <w:tcPr>
            <w:tcW w:type="dxa" w:w="421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Respaldo programado con restauración probada, entregado en la fase 0.</w:t>
            </w:r>
          </w:p>
        </w:tc>
      </w:tr>
      <w:tr>
        <w:tc>
          <w:tcPr>
            <w:tcW w:type="dxa" w:w="2808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Cambios de prioridad del negocio.</w:t>
            </w:r>
          </w:p>
        </w:tc>
        <w:tc>
          <w:tcPr>
            <w:tcW w:type="dxa" w:w="2340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Reordenamiento costoso del plan.</w:t>
            </w:r>
          </w:p>
        </w:tc>
        <w:tc>
          <w:tcPr>
            <w:tcW w:type="dxa" w:w="4212"/>
            <w:tcBorders>
              <w:top w:val="nil"/>
              <w:left w:val="nil"/>
              <w:bottom w:val="single" w:sz="4" w:color="000000"/>
              <w:right w:val="nil"/>
            </w:tcBorders>
          </w:tcPr>
          <w:p>
            <w:pPr>
              <w:spacing w:line="240" w:lineRule="auto" w:after="40" w:before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Revisión trimestral del roadmap y alcance por objetivos, no por fechas.</w:t>
            </w:r>
          </w:p>
        </w:tc>
      </w:tr>
    </w:tbl>
    <w:p>
      <w:pPr>
        <w:spacing w:line="240" w:lineRule="auto" w:after="120"/>
      </w:pPr>
    </w:p>
    <w:p>
      <w:r>
        <w:br w:type="page"/>
      </w:r>
    </w:p>
    <w:p>
      <w:pPr>
        <w:pStyle w:val="Heading1"/>
      </w:pPr>
      <w:r>
        <w:t>10. Gobernanza del roadmap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roadmap se revisa cada tres meses con el Product Owner y los responsables del negocio. En esa revisión se confirman los indicadores de cierre de la fase en curso, se reordena el backlog de las fases siguientes y se decide la entrada de nuevas iniciativas. Una fase solo se declara terminada cuando su indicador de cierre tiene evidencia: pruebas ejecutadas, reportes verificados o restauraciones realizadas, nunca por declaración de avance.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Cualquier cambio de alcance queda registrado en la versión del roadmap, con su fecha y su motivo, de modo que el documento sirva también como memoria de las decisiones tomadas. La caducidad del documento es deliberada: después de doce meses se sustituye por una nueva versión construida sobre los resultados realmente obtenidos.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Equipo de Ingeniería de Software. (2026).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Documento de Requerimientos del Software de LoanSoft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. LoanSoft.</w:t>
      </w:r>
    </w:p>
    <w:p>
      <w:pPr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Equipo de Ingeniería de Software. (2026).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Plan Scrum de LoanSoft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. LoanSoft.</w:t>
      </w:r>
    </w:p>
    <w:p>
      <w:pPr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 xml:space="preserve">Equipo de Ingeniería de Software. (2026).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Manual Técnico de LoanSoft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. LoanSoft.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8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