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Arial" w:cs="Arial" w:eastAsia="Arial" w:hAnsi="Arial"/>
          <w:b/>
          <w:bCs/>
          <w:color w:val="2E3226"/>
          <w:sz w:val="34"/>
          <w:szCs w:val="34"/>
        </w:rPr>
        <w:t xml:space="preserve">ACTA DE CONSTITUCIÓN DEL PROYECTO</w:t>
      </w:r>
    </w:p>
    <w:p>
      <w:pPr>
        <w:spacing w:after="260" w:before="0" w:line="270"/>
      </w:pPr>
      <w:r>
        <w:rPr>
          <w:rFonts w:ascii="Arial" w:cs="Arial" w:eastAsia="Arial" w:hAnsi="Arial"/>
          <w:color w:val="6A4E35"/>
          <w:sz w:val="24"/>
          <w:szCs w:val="24"/>
        </w:rPr>
        <w:t xml:space="preserve">&lt;Nombre del proyecto&gt;</w:t>
      </w:r>
    </w:p>
    <w:p>
      <w:pPr>
        <w:spacing w:after="170" w:before="0" w:line="250"/>
      </w:pPr>
      <w:r>
        <w:rPr>
          <w:rFonts w:ascii="Arial" w:cs="Arial" w:eastAsia="Arial" w:hAnsi="Arial"/>
          <w:i/>
          <w:iCs/>
          <w:color w:val="6B6B60"/>
          <w:sz w:val="18"/>
          <w:szCs w:val="18"/>
        </w:rPr>
        <w:t xml:space="preserve">Este documento autoriza formalmente la existencia del proyecto y otorga al director del proyecto la autoridad para aplicar recursos de la organización a sus actividades. Está derivado de la Guía del PMBOK® 8.ª edición (PMI, 2025), donde el acta es la salida del proceso «Iniciar el proyecto o fase». El PMI no publica un formato oficial: las plantillas son activos de los procesos de la organización, y se adaptan al proyecto. Reemplace todo lo que esté &lt;entre paréntesis angulares&gt; y borre las notas en cursiva antes de entregar.</w:t>
      </w:r>
    </w:p>
    <w:tbl>
      <w:tblPr>
        <w:tblW w:type="dxa" w:w="9360"/>
        <w:tblBorders>
          <w:top w:val="single" w:color="D3C8B6" w:sz="4"/>
          <w:left w:val="single" w:color="D3C8B6" w:sz="4"/>
          <w:bottom w:val="single" w:color="D3C8B6" w:sz="4"/>
          <w:right w:val="single" w:color="D3C8B6" w:sz="4"/>
          <w:insideH w:val="single" w:color="D3C8B6" w:sz="4"/>
          <w:insideV w:val="single" w:color="D3C8B6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Campo</w:t>
            </w:r>
          </w:p>
        </w:tc>
        <w:tc>
          <w:tcPr>
            <w:tcW w:type="dxa" w:w="676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Contenido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>Nombre del proyecto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>Firma / equipo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>Entidad contratante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>Ciudad y fecha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>Versión del documento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</w:tbl>
    <w:p>
      <w:pPr>
        <w:spacing w:after="90" w:before="260"/>
      </w:pPr>
      <w:r>
        <w:rPr>
          <w:rFonts w:ascii="Arial" w:cs="Arial" w:eastAsia="Arial" w:hAnsi="Arial"/>
          <w:b/>
          <w:bCs/>
          <w:color w:val="6A4E35"/>
          <w:sz w:val="20"/>
          <w:szCs w:val="20"/>
        </w:rPr>
        <w:t xml:space="preserve">Control de versiones</w:t>
      </w:r>
    </w:p>
    <w:tbl>
      <w:tblPr>
        <w:tblW w:type="dxa" w:w="9360"/>
        <w:tblBorders>
          <w:top w:val="single" w:color="D3C8B6" w:sz="4"/>
          <w:left w:val="single" w:color="D3C8B6" w:sz="4"/>
          <w:bottom w:val="single" w:color="D3C8B6" w:sz="4"/>
          <w:right w:val="single" w:color="D3C8B6" w:sz="4"/>
          <w:insideH w:val="single" w:color="D3C8B6" w:sz="4"/>
          <w:insideV w:val="single" w:color="D3C8B6" w:sz="4"/>
        </w:tblBorders>
      </w:tblPr>
      <w:tblGrid>
        <w:gridCol w:w="1100"/>
        <w:gridCol w:w="1500"/>
        <w:gridCol w:w="4460"/>
        <w:gridCol w:w="2300"/>
      </w:tblGrid>
      <w:tr>
        <w:trPr>
          <w:tblHeader/>
        </w:trPr>
        <w:tc>
          <w:tcPr>
            <w:tcW w:type="dxa" w:w="11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Versión</w:t>
            </w:r>
          </w:p>
        </w:tc>
        <w:tc>
          <w:tcPr>
            <w:tcW w:type="dxa" w:w="15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Fecha</w:t>
            </w:r>
          </w:p>
        </w:tc>
        <w:tc>
          <w:tcPr>
            <w:tcW w:type="dxa" w:w="446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Descripción del cambio</w:t>
            </w:r>
          </w:p>
        </w:tc>
        <w:tc>
          <w:tcPr>
            <w:tcW w:type="dxa" w:w="23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Autor</w:t>
            </w:r>
          </w:p>
        </w:tc>
      </w:tr>
      <w:tr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44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44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44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</w:tbl>
    <w:p>
      <w:pPr>
        <w:pStyle w:val="Heading1"/>
        <w:spacing w:after="150" w:before="380"/>
      </w:pPr>
      <w:r>
        <w:rPr>
          <w:rFonts w:ascii="Arial" w:cs="Arial" w:eastAsia="Arial" w:hAnsi="Arial"/>
          <w:b/>
          <w:bCs/>
          <w:color w:val="6A4E35"/>
          <w:sz w:val="24"/>
          <w:szCs w:val="24"/>
        </w:rPr>
        <w:t xml:space="preserve">1. Propósito y justificación del proyecto</w:t>
      </w:r>
    </w:p>
    <w:p>
      <w:pPr>
        <w:spacing w:after="170" w:before="0" w:line="250"/>
      </w:pPr>
      <w:r>
        <w:rPr>
          <w:rFonts w:ascii="Arial" w:cs="Arial" w:eastAsia="Arial" w:hAnsi="Arial"/>
          <w:i/>
          <w:iCs/>
          <w:color w:val="6B6B60"/>
          <w:sz w:val="18"/>
          <w:szCs w:val="18"/>
        </w:rPr>
        <w:t xml:space="preserve">Por qué existe el proyecto. Se toma del caso de negocio aprobado: el problema o la oportunidad, y el valor esperado. En obra pública este contenido vive en los estudios previos y en el análisis del sector. Si aquí no puede explicar por qué el proyecto debe existir, el proyecto todavía no debería existir.</w:t>
      </w:r>
    </w:p>
    <w:p>
      <w:pPr>
        <w:pBdr>
          <w:bottom w:val="single" w:color="D3C8B6" w:sz="4" w:space="6"/>
        </w:pBd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pBdr>
          <w:bottom w:val="single" w:color="D3C8B6" w:sz="4" w:space="6"/>
        </w:pBd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pBdr>
          <w:bottom w:val="single" w:color="D3C8B6" w:sz="4" w:space="6"/>
        </w:pBd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pBdr>
          <w:bottom w:val="single" w:color="D3C8B6" w:sz="4" w:space="6"/>
        </w:pBd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pStyle w:val="Heading1"/>
        <w:spacing w:after="150" w:before="380"/>
      </w:pPr>
      <w:r>
        <w:rPr>
          <w:rFonts w:ascii="Arial" w:cs="Arial" w:eastAsia="Arial" w:hAnsi="Arial"/>
          <w:b/>
          <w:bCs/>
          <w:color w:val="6A4E35"/>
          <w:sz w:val="24"/>
          <w:szCs w:val="24"/>
        </w:rPr>
        <w:t xml:space="preserve">2. Descripción del proyecto y entregables principales</w:t>
      </w:r>
    </w:p>
    <w:p>
      <w:pPr>
        <w:spacing w:after="170" w:before="0" w:line="250"/>
      </w:pPr>
      <w:r>
        <w:rPr>
          <w:rFonts w:ascii="Arial" w:cs="Arial" w:eastAsia="Arial" w:hAnsi="Arial"/>
          <w:i/>
          <w:iCs/>
          <w:color w:val="6B6B60"/>
          <w:sz w:val="18"/>
          <w:szCs w:val="18"/>
        </w:rPr>
        <w:t xml:space="preserve">Qué se va a hacer y qué queda al final. Sea concreto: no «mejorar la movilidad», sino «construir 1,8 km de vía en pavimento rígido con andenes y drenaje». Los entregables son productos verificables, no actividades.</w:t>
      </w:r>
    </w:p>
    <w:tbl>
      <w:tblPr>
        <w:tblW w:type="dxa" w:w="9360"/>
        <w:tblBorders>
          <w:top w:val="single" w:color="D3C8B6" w:sz="4"/>
          <w:left w:val="single" w:color="D3C8B6" w:sz="4"/>
          <w:bottom w:val="single" w:color="D3C8B6" w:sz="4"/>
          <w:right w:val="single" w:color="D3C8B6" w:sz="4"/>
          <w:insideH w:val="single" w:color="D3C8B6" w:sz="4"/>
          <w:insideV w:val="single" w:color="D3C8B6" w:sz="4"/>
        </w:tblBorders>
      </w:tblPr>
      <w:tblGrid>
        <w:gridCol w:w="700"/>
        <w:gridCol w:w="2500"/>
        <w:gridCol w:w="3560"/>
        <w:gridCol w:w="2600"/>
      </w:tblGrid>
      <w:tr>
        <w:trPr>
          <w:tblHeader/>
        </w:trPr>
        <w:tc>
          <w:tcPr>
            <w:tcW w:type="dxa" w:w="7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Entregable</w:t>
            </w:r>
          </w:p>
        </w:tc>
        <w:tc>
          <w:tcPr>
            <w:tcW w:type="dxa" w:w="356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Descripción</w:t>
            </w:r>
          </w:p>
        </w:tc>
        <w:tc>
          <w:tcPr>
            <w:tcW w:type="dxa" w:w="26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Criterio de aceptación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3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3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3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3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</w:tbl>
    <w:p>
      <w:pPr>
        <w:pStyle w:val="Heading1"/>
        <w:spacing w:after="150" w:before="380"/>
      </w:pPr>
      <w:r>
        <w:rPr>
          <w:rFonts w:ascii="Arial" w:cs="Arial" w:eastAsia="Arial" w:hAnsi="Arial"/>
          <w:b/>
          <w:bCs/>
          <w:color w:val="6A4E35"/>
          <w:sz w:val="24"/>
          <w:szCs w:val="24"/>
        </w:rPr>
        <w:t xml:space="preserve">3. Objetivos y criterios de éxito</w:t>
      </w:r>
    </w:p>
    <w:p>
      <w:pPr>
        <w:spacing w:after="170" w:before="0" w:line="250"/>
      </w:pPr>
      <w:r>
        <w:rPr>
          <w:rFonts w:ascii="Arial" w:cs="Arial" w:eastAsia="Arial" w:hAnsi="Arial"/>
          <w:i/>
          <w:iCs/>
          <w:color w:val="6B6B60"/>
          <w:sz w:val="18"/>
          <w:szCs w:val="18"/>
        </w:rPr>
        <w:t xml:space="preserve">Cada objetivo necesita un indicador y una meta, o no es un objetivo: es un deseo. Recuerde la cadena de valor: el entregable no es el beneficio. Entregar la vía es el entregable; reducir el tiempo de viaje es el beneficio.</w:t>
      </w:r>
    </w:p>
    <w:tbl>
      <w:tblPr>
        <w:tblW w:type="dxa" w:w="9360"/>
        <w:tblBorders>
          <w:top w:val="single" w:color="D3C8B6" w:sz="4"/>
          <w:left w:val="single" w:color="D3C8B6" w:sz="4"/>
          <w:bottom w:val="single" w:color="D3C8B6" w:sz="4"/>
          <w:right w:val="single" w:color="D3C8B6" w:sz="4"/>
          <w:insideH w:val="single" w:color="D3C8B6" w:sz="4"/>
          <w:insideV w:val="single" w:color="D3C8B6" w:sz="4"/>
        </w:tblBorders>
      </w:tblPr>
      <w:tblGrid>
        <w:gridCol w:w="2500"/>
        <w:gridCol w:w="2200"/>
        <w:gridCol w:w="1660"/>
        <w:gridCol w:w="3000"/>
      </w:tblGrid>
      <w:tr>
        <w:trPr>
          <w:tblHeader/>
        </w:trPr>
        <w:tc>
          <w:tcPr>
            <w:tcW w:type="dxa" w:w="25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Objetivo</w:t>
            </w:r>
          </w:p>
        </w:tc>
        <w:tc>
          <w:tcPr>
            <w:tcW w:type="dxa" w:w="22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Indicador</w:t>
            </w:r>
          </w:p>
        </w:tc>
        <w:tc>
          <w:tcPr>
            <w:tcW w:type="dxa" w:w="166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Meta</w:t>
            </w:r>
          </w:p>
        </w:tc>
        <w:tc>
          <w:tcPr>
            <w:tcW w:type="dxa" w:w="30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Cómo y cuándo se mide</w:t>
            </w:r>
          </w:p>
        </w:tc>
      </w:tr>
      <w:tr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1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1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1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1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</w:tbl>
    <w:p>
      <w:pPr>
        <w:pStyle w:val="Heading1"/>
        <w:spacing w:after="150" w:before="380"/>
      </w:pPr>
      <w:r>
        <w:rPr>
          <w:rFonts w:ascii="Arial" w:cs="Arial" w:eastAsia="Arial" w:hAnsi="Arial"/>
          <w:b/>
          <w:bCs/>
          <w:color w:val="6A4E35"/>
          <w:sz w:val="24"/>
          <w:szCs w:val="24"/>
        </w:rPr>
        <w:t xml:space="preserve">4. Requisitos de alto nivel</w:t>
      </w:r>
    </w:p>
    <w:p>
      <w:pPr>
        <w:spacing w:after="170" w:before="0" w:line="250"/>
      </w:pPr>
      <w:r>
        <w:rPr>
          <w:rFonts w:ascii="Arial" w:cs="Arial" w:eastAsia="Arial" w:hAnsi="Arial"/>
          <w:i/>
          <w:iCs/>
          <w:color w:val="6B6B60"/>
          <w:sz w:val="18"/>
          <w:szCs w:val="18"/>
        </w:rPr>
        <w:t xml:space="preserve">Las condiciones que el resultado debe cumplir: técnicas, normativas, ambientales y contractuales. Incluya las de obligatorio cumplimiento (NSR-10, RAS, licencias, consultas previas) y señale cuáles son innegociables.</w:t>
      </w:r>
    </w:p>
    <w:p>
      <w:pPr>
        <w:pBdr>
          <w:bottom w:val="single" w:color="D3C8B6" w:sz="4" w:space="6"/>
        </w:pBd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pBdr>
          <w:bottom w:val="single" w:color="D3C8B6" w:sz="4" w:space="6"/>
        </w:pBd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pBdr>
          <w:bottom w:val="single" w:color="D3C8B6" w:sz="4" w:space="6"/>
        </w:pBd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pBdr>
          <w:bottom w:val="single" w:color="D3C8B6" w:sz="4" w:space="6"/>
        </w:pBd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pStyle w:val="Heading1"/>
        <w:spacing w:after="150" w:before="380"/>
      </w:pPr>
      <w:r>
        <w:rPr>
          <w:rFonts w:ascii="Arial" w:cs="Arial" w:eastAsia="Arial" w:hAnsi="Arial"/>
          <w:b/>
          <w:bCs/>
          <w:color w:val="6A4E35"/>
          <w:sz w:val="24"/>
          <w:szCs w:val="24"/>
        </w:rPr>
        <w:t xml:space="preserve">5. Hitos principales</w:t>
      </w:r>
    </w:p>
    <w:p>
      <w:pPr>
        <w:spacing w:after="170" w:before="0" w:line="250"/>
      </w:pPr>
      <w:r>
        <w:rPr>
          <w:rFonts w:ascii="Arial" w:cs="Arial" w:eastAsia="Arial" w:hAnsi="Arial"/>
          <w:i/>
          <w:iCs/>
          <w:color w:val="6B6B60"/>
          <w:sz w:val="18"/>
          <w:szCs w:val="18"/>
        </w:rPr>
        <w:t xml:space="preserve">Los puntos de control del proyecto, no el cronograma detallado. Un hito es un instante con fecha, no una duración: acta de inicio, cierre de diseños, entrega parcial, liquidación del contrato.</w:t>
      </w:r>
    </w:p>
    <w:tbl>
      <w:tblPr>
        <w:tblW w:type="dxa" w:w="9360"/>
        <w:tblBorders>
          <w:top w:val="single" w:color="D3C8B6" w:sz="4"/>
          <w:left w:val="single" w:color="D3C8B6" w:sz="4"/>
          <w:bottom w:val="single" w:color="D3C8B6" w:sz="4"/>
          <w:right w:val="single" w:color="D3C8B6" w:sz="4"/>
          <w:insideH w:val="single" w:color="D3C8B6" w:sz="4"/>
          <w:insideV w:val="single" w:color="D3C8B6" w:sz="4"/>
        </w:tblBorders>
      </w:tblPr>
      <w:tblGrid>
        <w:gridCol w:w="4560"/>
        <w:gridCol w:w="2200"/>
        <w:gridCol w:w="2600"/>
      </w:tblGrid>
      <w:tr>
        <w:trPr>
          <w:tblHeader/>
        </w:trPr>
        <w:tc>
          <w:tcPr>
            <w:tcW w:type="dxa" w:w="456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Hito</w:t>
            </w:r>
          </w:p>
        </w:tc>
        <w:tc>
          <w:tcPr>
            <w:tcW w:type="dxa" w:w="22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Fecha prevista</w:t>
            </w:r>
          </w:p>
        </w:tc>
        <w:tc>
          <w:tcPr>
            <w:tcW w:type="dxa" w:w="26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Quién lo aprueba</w:t>
            </w:r>
          </w:p>
        </w:tc>
      </w:tr>
      <w:tr>
        <w:tc>
          <w:tcPr>
            <w:tcW w:type="dxa" w:w="4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4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4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4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4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</w:tbl>
    <w:p>
      <w:pPr>
        <w:pStyle w:val="Heading1"/>
        <w:spacing w:after="150" w:before="380"/>
      </w:pPr>
      <w:r>
        <w:rPr>
          <w:rFonts w:ascii="Arial" w:cs="Arial" w:eastAsia="Arial" w:hAnsi="Arial"/>
          <w:b/>
          <w:bCs/>
          <w:color w:val="6A4E35"/>
          <w:sz w:val="24"/>
          <w:szCs w:val="24"/>
        </w:rPr>
        <w:t xml:space="preserve">6. Presupuesto preliminar</w:t>
      </w:r>
    </w:p>
    <w:p>
      <w:pPr>
        <w:spacing w:after="170" w:before="0" w:line="250"/>
      </w:pPr>
      <w:r>
        <w:rPr>
          <w:rFonts w:ascii="Arial" w:cs="Arial" w:eastAsia="Arial" w:hAnsi="Arial"/>
          <w:i/>
          <w:iCs/>
          <w:color w:val="6B6B60"/>
          <w:sz w:val="18"/>
          <w:szCs w:val="18"/>
        </w:rPr>
        <w:t xml:space="preserve">El orden de magnitud aprobado en esta etapa, con su fuente de financiación. Es una estimación preliminar, no el presupuesto detallado: declare el rango de precisión y en qué supuestos se apoya.</w:t>
      </w:r>
    </w:p>
    <w:tbl>
      <w:tblPr>
        <w:tblW w:type="dxa" w:w="9360"/>
        <w:tblBorders>
          <w:top w:val="single" w:color="D3C8B6" w:sz="4"/>
          <w:left w:val="single" w:color="D3C8B6" w:sz="4"/>
          <w:bottom w:val="single" w:color="D3C8B6" w:sz="4"/>
          <w:right w:val="single" w:color="D3C8B6" w:sz="4"/>
          <w:insideH w:val="single" w:color="D3C8B6" w:sz="4"/>
          <w:insideV w:val="single" w:color="D3C8B6" w:sz="4"/>
        </w:tblBorders>
      </w:tblPr>
      <w:tblGrid>
        <w:gridCol w:w="4160"/>
        <w:gridCol w:w="2400"/>
        <w:gridCol w:w="2800"/>
      </w:tblGrid>
      <w:tr>
        <w:trPr>
          <w:tblHeader/>
        </w:trPr>
        <w:tc>
          <w:tcPr>
            <w:tcW w:type="dxa" w:w="416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Componente</w:t>
            </w:r>
          </w:p>
        </w:tc>
        <w:tc>
          <w:tcPr>
            <w:tcW w:type="dxa" w:w="24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Valor estimado (COP)</w:t>
            </w:r>
          </w:p>
        </w:tc>
        <w:tc>
          <w:tcPr>
            <w:tcW w:type="dxa" w:w="28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Fuente de financiación</w:t>
            </w:r>
          </w:p>
        </w:tc>
      </w:tr>
      <w:tr>
        <w:tc>
          <w:tcPr>
            <w:tcW w:type="dxa" w:w="4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4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4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4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</w:tbl>
    <w:p>
      <w:pPr>
        <w:pStyle w:val="Heading1"/>
        <w:spacing w:after="150" w:before="380"/>
      </w:pPr>
      <w:r>
        <w:rPr>
          <w:rFonts w:ascii="Arial" w:cs="Arial" w:eastAsia="Arial" w:hAnsi="Arial"/>
          <w:b/>
          <w:bCs/>
          <w:color w:val="6A4E35"/>
          <w:sz w:val="24"/>
          <w:szCs w:val="24"/>
        </w:rPr>
        <w:t xml:space="preserve">7. Interesados clave</w:t>
      </w:r>
    </w:p>
    <w:p>
      <w:pPr>
        <w:spacing w:after="170" w:before="0" w:line="250"/>
      </w:pPr>
      <w:r>
        <w:rPr>
          <w:rFonts w:ascii="Arial" w:cs="Arial" w:eastAsia="Arial" w:hAnsi="Arial"/>
          <w:i/>
          <w:iCs/>
          <w:color w:val="6B6B60"/>
          <w:sz w:val="18"/>
          <w:szCs w:val="18"/>
        </w:rPr>
        <w:t xml:space="preserve">Quién afecta o resulta afectado por el proyecto. En obra pública no olvide a la comunidad del área de influencia, la interventoría, los entes de control y las empresas de servicios públicos. El interesado que no se identifica a tiempo aparece después, y casi siempre como problema.</w:t>
      </w:r>
    </w:p>
    <w:tbl>
      <w:tblPr>
        <w:tblW w:type="dxa" w:w="9360"/>
        <w:tblBorders>
          <w:top w:val="single" w:color="D3C8B6" w:sz="4"/>
          <w:left w:val="single" w:color="D3C8B6" w:sz="4"/>
          <w:bottom w:val="single" w:color="D3C8B6" w:sz="4"/>
          <w:right w:val="single" w:color="D3C8B6" w:sz="4"/>
          <w:insideH w:val="single" w:color="D3C8B6" w:sz="4"/>
          <w:insideV w:val="single" w:color="D3C8B6" w:sz="4"/>
        </w:tblBorders>
      </w:tblPr>
      <w:tblGrid>
        <w:gridCol w:w="2300"/>
        <w:gridCol w:w="2000"/>
        <w:gridCol w:w="3460"/>
        <w:gridCol w:w="1600"/>
      </w:tblGrid>
      <w:tr>
        <w:trPr>
          <w:tblHeader/>
        </w:trPr>
        <w:tc>
          <w:tcPr>
            <w:tcW w:type="dxa" w:w="23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Interesado</w:t>
            </w:r>
          </w:p>
        </w:tc>
        <w:tc>
          <w:tcPr>
            <w:tcW w:type="dxa" w:w="20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Rol</w:t>
            </w:r>
          </w:p>
        </w:tc>
        <w:tc>
          <w:tcPr>
            <w:tcW w:type="dxa" w:w="346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Interés o expectativa</w:t>
            </w:r>
          </w:p>
        </w:tc>
        <w:tc>
          <w:tcPr>
            <w:tcW w:type="dxa" w:w="16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Influencia</w:t>
            </w:r>
          </w:p>
        </w:tc>
      </w:tr>
      <w:tr>
        <w:tc>
          <w:tcPr>
            <w:tcW w:type="dxa" w:w="2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34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1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2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34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1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2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34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1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2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34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1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2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34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1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</w:tbl>
    <w:p>
      <w:pPr>
        <w:pStyle w:val="Heading1"/>
        <w:spacing w:after="150" w:before="380"/>
      </w:pPr>
      <w:r>
        <w:rPr>
          <w:rFonts w:ascii="Arial" w:cs="Arial" w:eastAsia="Arial" w:hAnsi="Arial"/>
          <w:b/>
          <w:bCs/>
          <w:color w:val="6A4E35"/>
          <w:sz w:val="24"/>
          <w:szCs w:val="24"/>
        </w:rPr>
        <w:t xml:space="preserve">8. Riesgos iniciales de alto nivel</w:t>
      </w:r>
    </w:p>
    <w:p>
      <w:pPr>
        <w:spacing w:after="170" w:before="0" w:line="250"/>
      </w:pPr>
      <w:r>
        <w:rPr>
          <w:rFonts w:ascii="Arial" w:cs="Arial" w:eastAsia="Arial" w:hAnsi="Arial"/>
          <w:i/>
          <w:iCs/>
          <w:color w:val="6B6B60"/>
          <w:sz w:val="18"/>
          <w:szCs w:val="18"/>
        </w:rPr>
        <w:t xml:space="preserve">Los riesgos que se ven desde ya, antes de cualquier análisis fino. Redáctelos como causa, evento e impacto: «dado el invierno de abril, puede haber suspensión de excavaciones, lo que retrasaría la entrega en cuatro semanas».</w:t>
      </w:r>
    </w:p>
    <w:tbl>
      <w:tblPr>
        <w:tblW w:type="dxa" w:w="9360"/>
        <w:tblBorders>
          <w:top w:val="single" w:color="D3C8B6" w:sz="4"/>
          <w:left w:val="single" w:color="D3C8B6" w:sz="4"/>
          <w:bottom w:val="single" w:color="D3C8B6" w:sz="4"/>
          <w:right w:val="single" w:color="D3C8B6" w:sz="4"/>
          <w:insideH w:val="single" w:color="D3C8B6" w:sz="4"/>
          <w:insideV w:val="single" w:color="D3C8B6" w:sz="4"/>
        </w:tblBorders>
      </w:tblPr>
      <w:tblGrid>
        <w:gridCol w:w="3400"/>
        <w:gridCol w:w="3000"/>
        <w:gridCol w:w="2960"/>
      </w:tblGrid>
      <w:tr>
        <w:trPr>
          <w:tblHeader/>
        </w:trPr>
        <w:tc>
          <w:tcPr>
            <w:tcW w:type="dxa" w:w="34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Riesgo</w:t>
            </w:r>
          </w:p>
        </w:tc>
        <w:tc>
          <w:tcPr>
            <w:tcW w:type="dxa" w:w="30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Efecto si ocurre</w:t>
            </w:r>
          </w:p>
        </w:tc>
        <w:tc>
          <w:tcPr>
            <w:tcW w:type="dxa" w:w="296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Respuesta prevista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</w:tbl>
    <w:p>
      <w:pPr>
        <w:pStyle w:val="Heading1"/>
        <w:spacing w:after="150" w:before="380"/>
      </w:pPr>
      <w:r>
        <w:rPr>
          <w:rFonts w:ascii="Arial" w:cs="Arial" w:eastAsia="Arial" w:hAnsi="Arial"/>
          <w:b/>
          <w:bCs/>
          <w:color w:val="6A4E35"/>
          <w:sz w:val="24"/>
          <w:szCs w:val="24"/>
        </w:rPr>
        <w:t xml:space="preserve">9. Restricciones y supuestos</w:t>
      </w:r>
    </w:p>
    <w:p>
      <w:pPr>
        <w:spacing w:after="170" w:before="0" w:line="250"/>
      </w:pPr>
      <w:r>
        <w:rPr>
          <w:rFonts w:ascii="Arial" w:cs="Arial" w:eastAsia="Arial" w:hAnsi="Arial"/>
          <w:i/>
          <w:iCs/>
          <w:color w:val="6B6B60"/>
          <w:sz w:val="18"/>
          <w:szCs w:val="18"/>
        </w:rPr>
        <w:t xml:space="preserve">Restricción: un límite que no se puede mover (plazo de la vigencia fiscal, presupuesto aprobado, predios disponibles). Supuesto: algo que se da por cierto sin tener aún la prueba. Todo supuesto no verificado es un riesgo esperando turno.</w:t>
      </w:r>
    </w:p>
    <w:p>
      <w:pPr>
        <w:spacing w:after="70" w:before="60"/>
      </w:pPr>
      <w:r>
        <w:rPr>
          <w:rFonts w:ascii="Arial" w:cs="Arial" w:eastAsia="Arial" w:hAnsi="Arial"/>
          <w:b/>
          <w:bCs/>
          <w:color w:val="2E3226"/>
          <w:sz w:val="20"/>
          <w:szCs w:val="20"/>
        </w:rPr>
        <w:t xml:space="preserve">Restricciones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B6B60"/>
          <w:sz w:val="20"/>
          <w:szCs w:val="20"/>
        </w:rPr>
        <w:t xml:space="preserve">&lt;     &gt;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B6B60"/>
          <w:sz w:val="20"/>
          <w:szCs w:val="20"/>
        </w:rPr>
        <w:t xml:space="preserve">&lt;     &gt;</w:t>
      </w:r>
    </w:p>
    <w:p>
      <w:pPr>
        <w:spacing w:after="70" w:before="130"/>
      </w:pPr>
      <w:r>
        <w:rPr>
          <w:rFonts w:ascii="Arial" w:cs="Arial" w:eastAsia="Arial" w:hAnsi="Arial"/>
          <w:b/>
          <w:bCs/>
          <w:color w:val="2E3226"/>
          <w:sz w:val="20"/>
          <w:szCs w:val="20"/>
        </w:rPr>
        <w:t xml:space="preserve">Supuestos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B6B60"/>
          <w:sz w:val="20"/>
          <w:szCs w:val="20"/>
        </w:rPr>
        <w:t xml:space="preserve">&lt;     &gt;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B6B60"/>
          <w:sz w:val="20"/>
          <w:szCs w:val="20"/>
        </w:rPr>
        <w:t xml:space="preserve">&lt;     &gt;</w:t>
      </w:r>
    </w:p>
    <w:p>
      <w:pPr>
        <w:pStyle w:val="Heading1"/>
        <w:spacing w:after="150" w:before="380"/>
      </w:pPr>
      <w:r>
        <w:rPr>
          <w:rFonts w:ascii="Arial" w:cs="Arial" w:eastAsia="Arial" w:hAnsi="Arial"/>
          <w:b/>
          <w:bCs/>
          <w:color w:val="6A4E35"/>
          <w:sz w:val="24"/>
          <w:szCs w:val="24"/>
        </w:rPr>
        <w:t xml:space="preserve">10. Director del proyecto y nivel de autoridad</w:t>
      </w:r>
    </w:p>
    <w:p>
      <w:pPr>
        <w:spacing w:after="170" w:before="0" w:line="250"/>
      </w:pPr>
      <w:r>
        <w:rPr>
          <w:rFonts w:ascii="Arial" w:cs="Arial" w:eastAsia="Arial" w:hAnsi="Arial"/>
          <w:i/>
          <w:iCs/>
          <w:color w:val="6B6B60"/>
          <w:sz w:val="18"/>
          <w:szCs w:val="18"/>
        </w:rPr>
        <w:t xml:space="preserve">El corazón del acta: sin esto, hay un documento bonito y nadie con autoridad. Diga qué decisiones toma el director por su cuenta y cuáles requieren al patrocinador. En obra pública, esto es saber quién firma, quién ordena el gasto y hasta dónde llega cada uno.</w:t>
      </w:r>
    </w:p>
    <w:tbl>
      <w:tblPr>
        <w:tblW w:type="dxa" w:w="9360"/>
        <w:tblBorders>
          <w:top w:val="single" w:color="D3C8B6" w:sz="4"/>
          <w:left w:val="single" w:color="D3C8B6" w:sz="4"/>
          <w:bottom w:val="single" w:color="D3C8B6" w:sz="4"/>
          <w:right w:val="single" w:color="D3C8B6" w:sz="4"/>
          <w:insideH w:val="single" w:color="D3C8B6" w:sz="4"/>
          <w:insideV w:val="single" w:color="D3C8B6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Aspecto</w:t>
            </w:r>
          </w:p>
        </w:tc>
        <w:tc>
          <w:tcPr>
            <w:tcW w:type="dxa" w:w="646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Definición</w:t>
            </w:r>
          </w:p>
        </w:tc>
      </w:tr>
      <w:tr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>Director del proyecto</w:t>
            </w:r>
          </w:p>
        </w:tc>
        <w:tc>
          <w:tcPr>
            <w:tcW w:type="dxa" w:w="64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>Decisiones que toma directamente</w:t>
            </w:r>
          </w:p>
        </w:tc>
        <w:tc>
          <w:tcPr>
            <w:tcW w:type="dxa" w:w="64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>Decisiones que requieren aprobación</w:t>
            </w:r>
          </w:p>
        </w:tc>
        <w:tc>
          <w:tcPr>
            <w:tcW w:type="dxa" w:w="64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>Autoridad sobre el presupuesto</w:t>
            </w:r>
          </w:p>
        </w:tc>
        <w:tc>
          <w:tcPr>
            <w:tcW w:type="dxa" w:w="64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>Autoridad sobre el personal</w:t>
            </w:r>
          </w:p>
        </w:tc>
        <w:tc>
          <w:tcPr>
            <w:tcW w:type="dxa" w:w="64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</w:tbl>
    <w:p>
      <w:pPr>
        <w:pStyle w:val="Heading1"/>
        <w:spacing w:after="150" w:before="380"/>
      </w:pPr>
      <w:r>
        <w:rPr>
          <w:rFonts w:ascii="Arial" w:cs="Arial" w:eastAsia="Arial" w:hAnsi="Arial"/>
          <w:b/>
          <w:bCs/>
          <w:color w:val="6A4E35"/>
          <w:sz w:val="24"/>
          <w:szCs w:val="24"/>
        </w:rPr>
        <w:t xml:space="preserve">11. Criterios de cierre</w:t>
      </w:r>
    </w:p>
    <w:p>
      <w:pPr>
        <w:spacing w:after="170" w:before="0" w:line="250"/>
      </w:pPr>
      <w:r>
        <w:rPr>
          <w:rFonts w:ascii="Arial" w:cs="Arial" w:eastAsia="Arial" w:hAnsi="Arial"/>
          <w:i/>
          <w:iCs/>
          <w:color w:val="6B6B60"/>
          <w:sz w:val="18"/>
          <w:szCs w:val="18"/>
        </w:rPr>
        <w:t xml:space="preserve">Cómo se sabrá que el proyecto terminó, y quién lo declara. Un proyecto sin criterio de cierre no se cierra: se abandona.</w:t>
      </w:r>
    </w:p>
    <w:p>
      <w:pPr>
        <w:pBdr>
          <w:bottom w:val="single" w:color="D3C8B6" w:sz="4" w:space="6"/>
        </w:pBd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pBdr>
          <w:bottom w:val="single" w:color="D3C8B6" w:sz="4" w:space="6"/>
        </w:pBd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pBdr>
          <w:bottom w:val="single" w:color="D3C8B6" w:sz="4" w:space="6"/>
        </w:pBd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pStyle w:val="Heading1"/>
        <w:spacing w:after="150" w:before="380"/>
      </w:pPr>
      <w:r>
        <w:rPr>
          <w:rFonts w:ascii="Arial" w:cs="Arial" w:eastAsia="Arial" w:hAnsi="Arial"/>
          <w:b/>
          <w:bCs/>
          <w:color w:val="6A4E35"/>
          <w:sz w:val="24"/>
          <w:szCs w:val="24"/>
        </w:rPr>
        <w:t xml:space="preserve">12. Aprobación</w:t>
      </w:r>
    </w:p>
    <w:p>
      <w:pPr>
        <w:spacing w:after="170" w:before="0" w:line="250"/>
      </w:pPr>
      <w:r>
        <w:rPr>
          <w:rFonts w:ascii="Arial" w:cs="Arial" w:eastAsia="Arial" w:hAnsi="Arial"/>
          <w:i/>
          <w:iCs/>
          <w:color w:val="6B6B60"/>
          <w:sz w:val="18"/>
          <w:szCs w:val="18"/>
        </w:rPr>
        <w:t xml:space="preserve">El acta empieza a regir cuando la firma quien tiene la autoridad para autorizar el proyecto y comprometer los recursos.</w:t>
      </w:r>
    </w:p>
    <w:tbl>
      <w:tblPr>
        <w:tblW w:type="dxa" w:w="9360"/>
        <w:tblBorders>
          <w:top w:val="single" w:color="D3C8B6" w:sz="4"/>
          <w:left w:val="single" w:color="D3C8B6" w:sz="4"/>
          <w:bottom w:val="single" w:color="D3C8B6" w:sz="4"/>
          <w:right w:val="single" w:color="D3C8B6" w:sz="4"/>
          <w:insideH w:val="single" w:color="D3C8B6" w:sz="4"/>
          <w:insideV w:val="single" w:color="D3C8B6" w:sz="4"/>
        </w:tblBorders>
      </w:tblPr>
      <w:tblGrid>
        <w:gridCol w:w="2700"/>
        <w:gridCol w:w="2200"/>
        <w:gridCol w:w="2660"/>
        <w:gridCol w:w="1800"/>
      </w:tblGrid>
      <w:tr>
        <w:trPr>
          <w:tblHeader/>
        </w:trPr>
        <w:tc>
          <w:tcPr>
            <w:tcW w:type="dxa" w:w="27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Nombre</w:t>
            </w:r>
          </w:p>
        </w:tc>
        <w:tc>
          <w:tcPr>
            <w:tcW w:type="dxa" w:w="22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Rol</w:t>
            </w:r>
          </w:p>
        </w:tc>
        <w:tc>
          <w:tcPr>
            <w:tcW w:type="dxa" w:w="266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Firma</w:t>
            </w:r>
          </w:p>
        </w:tc>
        <w:tc>
          <w:tcPr>
            <w:tcW w:type="dxa" w:w="1800"/>
            <w:shd w:fill="EFE9D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olor w:val="6A4E35"/>
                <w:sz w:val="17"/>
                <w:szCs w:val="17"/>
              </w:rPr>
              <w:t xml:space="preserve">Fecha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>Patrocinador</w:t>
            </w:r>
          </w:p>
        </w:tc>
        <w:tc>
          <w:tcPr>
            <w:tcW w:type="dxa" w:w="2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>Director del proyecto</w:t>
            </w:r>
          </w:p>
        </w:tc>
        <w:tc>
          <w:tcPr>
            <w:tcW w:type="dxa" w:w="2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2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2E3226"/>
                <w:sz w:val="19"/>
                <w:szCs w:val="19"/>
              </w:rPr>
              <w:t xml:space="preserve"/>
            </w:r>
          </w:p>
          <w:p>
            <w:pPr>
              <w:spacing w:after="0" w:before="90"/>
            </w:pPr>
          </w:p>
        </w:tc>
      </w:tr>
    </w:tbl>
    <w:p>
      <w:pPr>
        <w:spacing w:after="130" w:before="420" w:line="270"/>
      </w:pPr>
      <w:r>
        <w:rPr>
          <w:rFonts w:ascii="Arial" w:cs="Arial" w:eastAsia="Arial" w:hAnsi="Arial"/>
          <w:i/>
          <w:iCs/>
          <w:color w:val="6B6B60"/>
          <w:sz w:val="15"/>
          <w:szCs w:val="15"/>
        </w:rPr>
        <w:t xml:space="preserve">Documento base del curso: Guía del PMBOK® 8.ª edición (PMI, 2025). Plantilla elaborada para Gerencia y Control de Obras, Ingeniería Civil, UPTC, período 2026-II.</w:t>
      </w:r>
    </w:p>
    <w:sectPr>
      <w:headerReference w:type="default" r:id="rId7"/>
      <w:footerReference w:type="default" r:id="rId8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B6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3C8B6" w:sz="4" w:space="5"/>
      </w:pBdr>
      <w:spacing w:after="60"/>
      <w:jc w:val="right"/>
    </w:pPr>
    <w:r>
      <w:rPr>
        <w:rFonts w:ascii="Arial" w:cs="Arial" w:eastAsia="Arial" w:hAnsi="Arial"/>
        <w:color w:val="6B6B60"/>
        <w:sz w:val="16"/>
        <w:szCs w:val="16"/>
      </w:rPr>
      <w:t xml:space="preserve">Gerencia y Control de Obras · UPTC · 2026-II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spacing w:after="70" w:line="265"/>
        <w:ind w:left="360" w:hanging="220"/>
      </w:pPr>
      <w:rPr>
        <w:rFonts w:ascii="Arial" w:cs="Arial" w:eastAsia="Arial" w:hAnsi="Arial"/>
        <w:color w:val="2E3226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E32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constitución del proyecto — plantilla</dc:title>
  <dc:creator>Gerencia y Control de Obras · UPTC</dc:creator>
  <dc:description>Plantilla derivada de la Guía del PMBOK 8.ª edición (PMI, 2025).</dc:description>
  <cp:lastModifiedBy>Un-named</cp:lastModifiedBy>
  <cp:revision>1</cp:revision>
  <dcterms:created xsi:type="dcterms:W3CDTF">2026-08-26T19:30:56.570Z</dcterms:created>
  <dcterms:modified xsi:type="dcterms:W3CDTF">2026-08-26T19:30:56.571Z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