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480" w:after="120"/>
        <w:jc w:val="center"/>
      </w:pPr>
      <w:r>
        <w:rPr>
          <w:rFonts w:ascii="Arial" w:cs="Arial" w:eastAsia="Arial" w:hAnsi="Arial"/>
          <w:b/>
          <w:bCs/>
          <w:color w:val="888888"/>
          <w:sz w:val="20"/>
          <w:szCs w:val="20"/>
        </w:rPr>
        <w:t xml:space="preserve">CASO DE ESTUDIO</w:t>
      </w:r>
    </w:p>
    <w:p>
      <w:pPr>
        <w:spacing w:before="0" w:after="200"/>
        <w:jc w:val="center"/>
      </w:pPr>
      <w:r>
        <w:rPr>
          <w:rFonts w:ascii="Arial" w:cs="Arial" w:eastAsia="Arial" w:hAnsi="Arial"/>
          <w:b/>
          <w:bCs/>
          <w:color w:val="1F4E79"/>
          <w:sz w:val="52"/>
          <w:szCs w:val="52"/>
        </w:rPr>
        <w:t xml:space="preserve">Accidentalidad Vial en Bucaramanga</w:t>
      </w:r>
    </w:p>
    <w:p>
      <w:pPr>
        <w:spacing w:before="0" w:after="80"/>
        <w:jc w:val="center"/>
      </w:pPr>
      <w:r>
        <w:rPr>
          <w:rFonts w:ascii="Arial" w:cs="Arial" w:eastAsia="Arial" w:hAnsi="Arial"/>
          <w:i/>
          <w:iCs/>
          <w:color w:val="2E75B6"/>
          <w:sz w:val="26"/>
          <w:szCs w:val="26"/>
        </w:rPr>
        <w:t xml:space="preserve">Patrones, factores de riesgo y recomendaciones estratégicas</w:t>
      </w:r>
    </w:p>
    <w:p>
      <w:pPr>
        <w:spacing w:before="0" w:after="80"/>
        <w:jc w:val="center"/>
      </w:pPr>
      <w:r>
        <w:rPr>
          <w:rFonts w:ascii="Arial" w:cs="Arial" w:eastAsia="Arial" w:hAnsi="Arial"/>
          <w:color w:val="555555"/>
          <w:sz w:val="24"/>
          <w:szCs w:val="24"/>
        </w:rPr>
        <w:t xml:space="preserve">2012 – 2023</w:t>
      </w:r>
    </w:p>
    <w:p>
      <w:pPr>
        <w:spacing w:before="80" w:after="80"/>
      </w:pPr>
      <w:r>
        <w:t xml:space="preserve"/>
      </w:r>
    </w:p>
    <w:p>
      <w:pPr>
        <w:spacing w:before="80" w:after="80"/>
      </w:pPr>
      <w:r>
        <w:t xml:space="preserve"/>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Curso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Data Analytics Capstone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Track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Choose Your Own Dataset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Cliente simulado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Secretaría de Movilidad de Bucaramanga</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Dataset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Accidentes de Tránsito – Municipio de Bucaramanga</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Fuente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Datos Abiertos Colombia</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Período de datos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Enero 2012 – 2023</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Total de registros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39.193 eventos de tránsito</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Herramienta de análisis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Microsoft Excel / Google Sheets</w:t>
            </w:r>
          </w:p>
        </w:tc>
      </w:tr>
    </w:tbl>
    <w:p>
      <w:pPr>
        <w:spacing w:before="80" w:after="80"/>
      </w:pPr>
      <w:r>
        <w:t xml:space="preserve"/>
      </w:r>
    </w:p>
    <w:p>
      <w:pPr>
        <w:spacing w:before="80" w:after="80"/>
      </w:pPr>
      <w:r>
        <w:t xml:space="preserve"/>
      </w:r>
    </w:p>
    <w:p>
      <w:pPr>
        <w:spacing w:before="80" w:after="8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1. ASK — Definición del caso de negocio</w:t>
      </w:r>
    </w:p>
    <w:p>
      <w:pPr>
        <w:pStyle w:val="Heading2"/>
        <w:spacing w:before="240" w:after="100"/>
      </w:pPr>
      <w:r>
        <w:rPr>
          <w:rFonts w:ascii="Arial" w:cs="Arial" w:eastAsia="Arial" w:hAnsi="Arial"/>
          <w:b/>
          <w:bCs/>
          <w:color w:val="2E75B6"/>
          <w:sz w:val="26"/>
          <w:szCs w:val="26"/>
        </w:rPr>
        <w:t xml:space="preserve">1.1 Declaración del problema</w:t>
      </w:r>
    </w:p>
    <w:p>
      <w:pPr>
        <w:spacing w:before="80" w:after="80"/>
      </w:pPr>
      <w:r>
        <w:rPr>
          <w:rFonts w:ascii="Arial" w:cs="Arial" w:eastAsia="Arial" w:hAnsi="Arial"/>
          <w:sz w:val="22"/>
          <w:szCs w:val="22"/>
        </w:rPr>
        <w:t xml:space="preserve">La Secretaría de Movilidad de Bucaramanga necesita entender los patrones de accidentalidad vial en el municipio para optimizar la asignación de recursos operativos, diseñar campañas de prevención focalizadas y proponer intervenciones en las zonas y horarios de mayor riesgo.</w:t>
      </w:r>
    </w:p>
    <w:p>
      <w:pPr>
        <w:spacing w:before="80" w:after="80"/>
      </w:pPr>
      <w:r>
        <w:t xml:space="preserve"/>
      </w:r>
    </w:p>
    <w:p>
      <w:pPr>
        <w:pStyle w:val="Heading2"/>
        <w:spacing w:before="240" w:after="100"/>
      </w:pPr>
      <w:r>
        <w:rPr>
          <w:rFonts w:ascii="Arial" w:cs="Arial" w:eastAsia="Arial" w:hAnsi="Arial"/>
          <w:b/>
          <w:bCs/>
          <w:color w:val="2E75B6"/>
          <w:sz w:val="26"/>
          <w:szCs w:val="26"/>
        </w:rPr>
        <w:t xml:space="preserve">1.2 Pregunta de negocio principal</w:t>
      </w:r>
    </w:p>
    <w:p>
      <w:pPr>
        <w:pBdr>
          <w:left w:val="single" w:color="2E75B6" w:sz="12"/>
        </w:pBdr>
        <w:shd w:fill="D6E4F0" w:val="clear"/>
        <w:spacing w:before="120" w:after="120"/>
        <w:ind w:left="360" w:right="360"/>
      </w:pPr>
      <w:r>
        <w:rPr>
          <w:rFonts w:ascii="Arial" w:cs="Arial" w:eastAsia="Arial" w:hAnsi="Arial"/>
          <w:b/>
          <w:bCs/>
          <w:i/>
          <w:iCs/>
          <w:color w:val="1F4E79"/>
          <w:sz w:val="24"/>
          <w:szCs w:val="24"/>
        </w:rPr>
        <w:t xml:space="preserve">¿Cuáles son los patrones de accidentalidad vial en Bucaramanga entre 2012 y 2023, y qué factores (hora, comuna, tipo de vehículo) se asocian con accidentes de mayor gravedad?</w:t>
      </w:r>
    </w:p>
    <w:p>
      <w:pPr>
        <w:spacing w:before="80" w:after="80"/>
      </w:pPr>
      <w:r>
        <w:t xml:space="preserve"/>
      </w:r>
    </w:p>
    <w:p>
      <w:pPr>
        <w:pStyle w:val="Heading2"/>
        <w:spacing w:before="240" w:after="100"/>
      </w:pPr>
      <w:r>
        <w:rPr>
          <w:rFonts w:ascii="Arial" w:cs="Arial" w:eastAsia="Arial" w:hAnsi="Arial"/>
          <w:b/>
          <w:bCs/>
          <w:color w:val="2E75B6"/>
          <w:sz w:val="26"/>
          <w:szCs w:val="26"/>
        </w:rPr>
        <w:t xml:space="preserve">1.3 Preguntas guía del análisis</w:t>
      </w:r>
    </w:p>
    <w:p>
      <w:pPr>
        <w:pStyle w:val="ListParagraph"/>
        <w:numPr>
          <w:ilvl w:val="0"/>
          <w:numId w:val="2"/>
        </w:numPr>
        <w:spacing w:before="40" w:after="40"/>
      </w:pPr>
      <w:r>
        <w:rPr>
          <w:rFonts w:ascii="Arial" w:cs="Arial" w:eastAsia="Arial" w:hAnsi="Arial"/>
          <w:sz w:val="22"/>
          <w:szCs w:val="22"/>
        </w:rPr>
        <w:t xml:space="preserve">¿Cuál ha sido la tendencia anual de accidentes entre 2012 y 2023?</w:t>
      </w:r>
    </w:p>
    <w:p>
      <w:pPr>
        <w:pStyle w:val="ListParagraph"/>
        <w:numPr>
          <w:ilvl w:val="0"/>
          <w:numId w:val="2"/>
        </w:numPr>
        <w:spacing w:before="40" w:after="40"/>
      </w:pPr>
      <w:r>
        <w:rPr>
          <w:rFonts w:ascii="Arial" w:cs="Arial" w:eastAsia="Arial" w:hAnsi="Arial"/>
          <w:sz w:val="22"/>
          <w:szCs w:val="22"/>
        </w:rPr>
        <w:t xml:space="preserve">¿En qué comunas ocurren más accidentes y cuáles concentran los más graves?</w:t>
      </w:r>
    </w:p>
    <w:p>
      <w:pPr>
        <w:pStyle w:val="ListParagraph"/>
        <w:numPr>
          <w:ilvl w:val="0"/>
          <w:numId w:val="2"/>
        </w:numPr>
        <w:spacing w:before="40" w:after="40"/>
      </w:pPr>
      <w:r>
        <w:rPr>
          <w:rFonts w:ascii="Arial" w:cs="Arial" w:eastAsia="Arial" w:hAnsi="Arial"/>
          <w:sz w:val="22"/>
          <w:szCs w:val="22"/>
        </w:rPr>
        <w:t xml:space="preserve">¿Cuáles son los días y horarios de mayor siniestralidad?</w:t>
      </w:r>
    </w:p>
    <w:p>
      <w:pPr>
        <w:pStyle w:val="ListParagraph"/>
        <w:numPr>
          <w:ilvl w:val="0"/>
          <w:numId w:val="2"/>
        </w:numPr>
        <w:spacing w:before="40" w:after="40"/>
      </w:pPr>
      <w:r>
        <w:rPr>
          <w:rFonts w:ascii="Arial" w:cs="Arial" w:eastAsia="Arial" w:hAnsi="Arial"/>
          <w:sz w:val="22"/>
          <w:szCs w:val="22"/>
        </w:rPr>
        <w:t xml:space="preserve">¿Qué tipos de vehículos están más involucrados en accidentes con víctimas?</w:t>
      </w:r>
    </w:p>
    <w:p>
      <w:pPr>
        <w:pStyle w:val="ListParagraph"/>
        <w:numPr>
          <w:ilvl w:val="0"/>
          <w:numId w:val="2"/>
        </w:numPr>
        <w:spacing w:before="40" w:after="40"/>
      </w:pPr>
      <w:r>
        <w:rPr>
          <w:rFonts w:ascii="Arial" w:cs="Arial" w:eastAsia="Arial" w:hAnsi="Arial"/>
          <w:sz w:val="22"/>
          <w:szCs w:val="22"/>
        </w:rPr>
        <w:t xml:space="preserve">¿Los accidentes nocturnos son proporcionalmente más graves que los diurnos?</w:t>
      </w:r>
    </w:p>
    <w:p>
      <w:pPr>
        <w:spacing w:before="80" w:after="80"/>
      </w:pPr>
      <w:r>
        <w:t xml:space="preserve"/>
      </w:r>
    </w:p>
    <w:p>
      <w:pPr>
        <w:pStyle w:val="Heading2"/>
        <w:spacing w:before="240" w:after="100"/>
      </w:pPr>
      <w:r>
        <w:rPr>
          <w:rFonts w:ascii="Arial" w:cs="Arial" w:eastAsia="Arial" w:hAnsi="Arial"/>
          <w:b/>
          <w:bCs/>
          <w:color w:val="2E75B6"/>
          <w:sz w:val="26"/>
          <w:szCs w:val="26"/>
        </w:rPr>
        <w:t xml:space="preserve">1.4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Interés principal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Secretaría de Movilidad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Optimizar operativos y reducir accidentalidad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Alcaldía Municipal</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Políticas públicas de seguridad vial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Policía de Tránsito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Despliegue de personal en zonas críticas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Ciudadanía bumanguesa</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Mayor seguridad vial en sus comunas</w:t>
            </w:r>
          </w:p>
        </w:tc>
      </w:tr>
    </w:tbl>
    <w:p>
      <w:pPr>
        <w:spacing w:before="80" w:after="80"/>
      </w:pPr>
      <w:r>
        <w:t xml:space="preserve"/>
      </w:r>
    </w:p>
    <w:p>
      <w:pPr>
        <w:pStyle w:val="Heading2"/>
        <w:spacing w:before="240" w:after="100"/>
      </w:pPr>
      <w:r>
        <w:rPr>
          <w:rFonts w:ascii="Arial" w:cs="Arial" w:eastAsia="Arial" w:hAnsi="Arial"/>
          <w:b/>
          <w:bCs/>
          <w:color w:val="2E75B6"/>
          <w:sz w:val="26"/>
          <w:szCs w:val="26"/>
        </w:rPr>
        <w:t xml:space="preserve">1.5 Métricas de éxito</w:t>
      </w:r>
    </w:p>
    <w:p>
      <w:pPr>
        <w:pStyle w:val="ListParagraph"/>
        <w:numPr>
          <w:ilvl w:val="0"/>
          <w:numId w:val="2"/>
        </w:numPr>
        <w:spacing w:before="40" w:after="40"/>
      </w:pPr>
      <w:r>
        <w:rPr>
          <w:rFonts w:ascii="Arial" w:cs="Arial" w:eastAsia="Arial" w:hAnsi="Arial"/>
          <w:sz w:val="22"/>
          <w:szCs w:val="22"/>
        </w:rPr>
        <w:t xml:space="preserve">Número total de accidentes por año (tendencia histórica)</w:t>
      </w:r>
    </w:p>
    <w:p>
      <w:pPr>
        <w:pStyle w:val="ListParagraph"/>
        <w:numPr>
          <w:ilvl w:val="0"/>
          <w:numId w:val="2"/>
        </w:numPr>
        <w:spacing w:before="40" w:after="40"/>
      </w:pPr>
      <w:r>
        <w:rPr>
          <w:rFonts w:ascii="Arial" w:cs="Arial" w:eastAsia="Arial" w:hAnsi="Arial"/>
          <w:sz w:val="22"/>
          <w:szCs w:val="22"/>
        </w:rPr>
        <w:t xml:space="preserve">Distribución de accidentes por nivel de gravedad (solo daños / con heridos / con muertos)</w:t>
      </w:r>
    </w:p>
    <w:p>
      <w:pPr>
        <w:pStyle w:val="ListParagraph"/>
        <w:numPr>
          <w:ilvl w:val="0"/>
          <w:numId w:val="2"/>
        </w:numPr>
        <w:spacing w:before="40" w:after="40"/>
      </w:pPr>
      <w:r>
        <w:rPr>
          <w:rFonts w:ascii="Arial" w:cs="Arial" w:eastAsia="Arial" w:hAnsi="Arial"/>
          <w:sz w:val="22"/>
          <w:szCs w:val="22"/>
        </w:rPr>
        <w:t xml:space="preserve">Comunas con mayor concentración de accidentes graves</w:t>
      </w:r>
    </w:p>
    <w:p>
      <w:pPr>
        <w:pStyle w:val="ListParagraph"/>
        <w:numPr>
          <w:ilvl w:val="0"/>
          <w:numId w:val="2"/>
        </w:numPr>
        <w:spacing w:before="40" w:after="40"/>
      </w:pPr>
      <w:r>
        <w:rPr>
          <w:rFonts w:ascii="Arial" w:cs="Arial" w:eastAsia="Arial" w:hAnsi="Arial"/>
          <w:sz w:val="22"/>
          <w:szCs w:val="22"/>
        </w:rPr>
        <w:t xml:space="preserve">Horas pico de accidentalidad</w:t>
      </w:r>
    </w:p>
    <w:p>
      <w:pPr>
        <w:pStyle w:val="ListParagraph"/>
        <w:numPr>
          <w:ilvl w:val="0"/>
          <w:numId w:val="2"/>
        </w:numPr>
        <w:spacing w:before="40" w:after="40"/>
      </w:pPr>
      <w:r>
        <w:rPr>
          <w:rFonts w:ascii="Arial" w:cs="Arial" w:eastAsia="Arial" w:hAnsi="Arial"/>
          <w:sz w:val="22"/>
          <w:szCs w:val="22"/>
        </w:rPr>
        <w:t xml:space="preserve">Tipos de vehículos más frecuentes en accidentes fatales</w:t>
      </w:r>
    </w:p>
    <w:p>
      <w:pPr>
        <w:pStyle w:val="ListParagraph"/>
        <w:numPr>
          <w:ilvl w:val="0"/>
          <w:numId w:val="2"/>
        </w:numPr>
        <w:spacing w:before="40" w:after="40"/>
      </w:pPr>
      <w:r>
        <w:rPr>
          <w:rFonts w:ascii="Arial" w:cs="Arial" w:eastAsia="Arial" w:hAnsi="Arial"/>
          <w:sz w:val="22"/>
          <w:szCs w:val="22"/>
        </w:rPr>
        <w:t xml:space="preserve">Proporción de accidentes nocturnos vs. diurnos por gravedad</w:t>
      </w:r>
    </w:p>
    <w:p>
      <w:pPr>
        <w:spacing w:before="80" w:after="8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2. PREPARE — Fuentes y descripción de los datos</w:t>
      </w:r>
    </w:p>
    <w:p>
      <w:pPr>
        <w:pStyle w:val="Heading2"/>
        <w:spacing w:before="240" w:after="100"/>
      </w:pPr>
      <w:r>
        <w:rPr>
          <w:rFonts w:ascii="Arial" w:cs="Arial" w:eastAsia="Arial" w:hAnsi="Arial"/>
          <w:b/>
          <w:bCs/>
          <w:color w:val="2E75B6"/>
          <w:sz w:val="26"/>
          <w:szCs w:val="26"/>
        </w:rPr>
        <w:t xml:space="preserve">2.1 Fuente de datos</w:t>
      </w:r>
    </w:p>
    <w:p>
      <w:pPr>
        <w:spacing w:before="80" w:after="80"/>
      </w:pPr>
      <w:r>
        <w:rPr>
          <w:rFonts w:ascii="Arial" w:cs="Arial" w:eastAsia="Arial" w:hAnsi="Arial"/>
          <w:sz w:val="22"/>
          <w:szCs w:val="22"/>
        </w:rPr>
        <w:t xml:space="preserve">El dataset utilizado es el registro oficial de accidentes de tránsito del Municipio de Bucaramanga, publicado en el portal de Datos Abiertos de Colombia (datos.gov.co). Los datos son recopilados por los Agentes de Tránsito de Bucaramanga (DTB) y corresponden al período enero de 2012 a 2023.</w:t>
      </w:r>
    </w:p>
    <w:p>
      <w:pPr>
        <w:spacing w:before="80" w:after="80"/>
      </w:pPr>
      <w:r>
        <w:t xml:space="preserve"/>
      </w:r>
    </w:p>
    <w:p>
      <w:pPr>
        <w:pStyle w:val="Heading2"/>
        <w:spacing w:before="240" w:after="100"/>
      </w:pPr>
      <w:r>
        <w:rPr>
          <w:rFonts w:ascii="Arial" w:cs="Arial" w:eastAsia="Arial" w:hAnsi="Arial"/>
          <w:b/>
          <w:bCs/>
          <w:color w:val="2E75B6"/>
          <w:sz w:val="26"/>
          <w:szCs w:val="26"/>
        </w:rPr>
        <w:t xml:space="preserve">2.2 Descripción del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Columna</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FECHA / AÑO / MES / DÍA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Fecha/Texto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 completa y componentes temporales del accidente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Texto</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Hora del accidente (formato timestamp)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GRAVEDAD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Categórico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Solo daños / Con heridos / Con muertos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DIURNIO/NOCTURNO</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Categórico</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Indica si ocurrió de día o de noche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BARRIO / COMUNA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Ubicación geográfica del accidente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PEATON, AUTOMOVIL, MOTO...</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Numérico</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Cantidad de cada tipo de vehículo involucrado (12 columnas)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ENTIDAD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Entidad que registró el accidente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Propietario de Vehículo</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Categórico</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Particular o Empresa</w:t>
            </w:r>
          </w:p>
        </w:tc>
      </w:tr>
    </w:tbl>
    <w:p>
      <w:pPr>
        <w:spacing w:before="80" w:after="80"/>
      </w:pPr>
      <w:r>
        <w:t xml:space="preserve"/>
      </w:r>
    </w:p>
    <w:p>
      <w:pPr>
        <w:pStyle w:val="Heading2"/>
        <w:spacing w:before="240" w:after="100"/>
      </w:pPr>
      <w:r>
        <w:rPr>
          <w:rFonts w:ascii="Arial" w:cs="Arial" w:eastAsia="Arial" w:hAnsi="Arial"/>
          <w:b/>
          <w:bCs/>
          <w:color w:val="2E75B6"/>
          <w:sz w:val="26"/>
          <w:szCs w:val="26"/>
        </w:rPr>
        <w:t xml:space="preserve">2.3 Verificación ROCCC</w:t>
      </w:r>
    </w:p>
    <w:p>
      <w:pPr>
        <w:pStyle w:val="ListParagraph"/>
        <w:numPr>
          <w:ilvl w:val="0"/>
          <w:numId w:val="2"/>
        </w:numPr>
        <w:spacing w:before="40" w:after="40"/>
      </w:pPr>
      <w:r>
        <w:rPr>
          <w:rFonts w:ascii="Arial" w:cs="Arial" w:eastAsia="Arial" w:hAnsi="Arial"/>
          <w:sz w:val="22"/>
          <w:szCs w:val="22"/>
        </w:rPr>
        <w:t xml:space="preserve">Reliable (Confiable): Los datos provienen de registros oficiales de los Agentes de Tránsito de Bucaramanga.</w:t>
      </w:r>
    </w:p>
    <w:p>
      <w:pPr>
        <w:pStyle w:val="ListParagraph"/>
        <w:numPr>
          <w:ilvl w:val="0"/>
          <w:numId w:val="2"/>
        </w:numPr>
        <w:spacing w:before="40" w:after="40"/>
      </w:pPr>
      <w:r>
        <w:rPr>
          <w:rFonts w:ascii="Arial" w:cs="Arial" w:eastAsia="Arial" w:hAnsi="Arial"/>
          <w:sz w:val="22"/>
          <w:szCs w:val="22"/>
        </w:rPr>
        <w:t xml:space="preserve">Original: Es el dataset primario publicado directamente por la entidad responsable.</w:t>
      </w:r>
    </w:p>
    <w:p>
      <w:pPr>
        <w:pStyle w:val="ListParagraph"/>
        <w:numPr>
          <w:ilvl w:val="0"/>
          <w:numId w:val="2"/>
        </w:numPr>
        <w:spacing w:before="40" w:after="40"/>
      </w:pPr>
      <w:r>
        <w:rPr>
          <w:rFonts w:ascii="Arial" w:cs="Arial" w:eastAsia="Arial" w:hAnsi="Arial"/>
          <w:sz w:val="22"/>
          <w:szCs w:val="22"/>
        </w:rPr>
        <w:t xml:space="preserve">Comprehensive (Completo): Cubre 39.193 registros en 12 años sin valores nulos en ninguna columna.</w:t>
      </w:r>
    </w:p>
    <w:p>
      <w:pPr>
        <w:pStyle w:val="ListParagraph"/>
        <w:numPr>
          <w:ilvl w:val="0"/>
          <w:numId w:val="2"/>
        </w:numPr>
        <w:spacing w:before="40" w:after="40"/>
      </w:pPr>
      <w:r>
        <w:rPr>
          <w:rFonts w:ascii="Arial" w:cs="Arial" w:eastAsia="Arial" w:hAnsi="Arial"/>
          <w:sz w:val="22"/>
          <w:szCs w:val="22"/>
        </w:rPr>
        <w:t xml:space="preserve">Current (Actual): Incluye datos hasta 2023, suficientemente reciente para análisis de tendencias.</w:t>
      </w:r>
    </w:p>
    <w:p>
      <w:pPr>
        <w:pStyle w:val="ListParagraph"/>
        <w:numPr>
          <w:ilvl w:val="0"/>
          <w:numId w:val="2"/>
        </w:numPr>
        <w:spacing w:before="40" w:after="40"/>
      </w:pPr>
      <w:r>
        <w:rPr>
          <w:rFonts w:ascii="Arial" w:cs="Arial" w:eastAsia="Arial" w:hAnsi="Arial"/>
          <w:sz w:val="22"/>
          <w:szCs w:val="22"/>
        </w:rPr>
        <w:t xml:space="preserve">Cited (Citado): Publicado en datos.gov.co bajo licencia de datos abiertos.</w:t>
      </w:r>
    </w:p>
    <w:p>
      <w:pPr>
        <w:spacing w:before="80" w:after="8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3. PROCESS — Limpieza y preparación de los datos</w:t>
      </w:r>
    </w:p>
    <w:p>
      <w:pPr>
        <w:pStyle w:val="Heading2"/>
        <w:spacing w:before="240" w:after="100"/>
      </w:pPr>
      <w:r>
        <w:rPr>
          <w:rFonts w:ascii="Arial" w:cs="Arial" w:eastAsia="Arial" w:hAnsi="Arial"/>
          <w:b/>
          <w:bCs/>
          <w:color w:val="2E75B6"/>
          <w:sz w:val="26"/>
          <w:szCs w:val="26"/>
        </w:rPr>
        <w:t xml:space="preserve">3.1 Herramienta seleccionada</w:t>
      </w:r>
    </w:p>
    <w:p>
      <w:pPr>
        <w:spacing w:before="80" w:after="80"/>
      </w:pPr>
      <w:r>
        <w:rPr>
          <w:rFonts w:ascii="Arial" w:cs="Arial" w:eastAsia="Arial" w:hAnsi="Arial"/>
          <w:sz w:val="22"/>
          <w:szCs w:val="22"/>
        </w:rPr>
        <w:t xml:space="preserve">Se utiliza Microsoft Excel / Google Sheets por su accesibilidad, capacidad de visualización inmediata con tablas dinámicas (pivot tables) y facilidad para crear gráficos de portafolio.</w:t>
      </w:r>
    </w:p>
    <w:p>
      <w:pPr>
        <w:spacing w:before="80" w:after="80"/>
      </w:pPr>
      <w:r>
        <w:t xml:space="preserve"/>
      </w:r>
    </w:p>
    <w:p>
      <w:pPr>
        <w:pStyle w:val="Heading2"/>
        <w:spacing w:before="240" w:after="100"/>
      </w:pPr>
      <w:r>
        <w:rPr>
          <w:rFonts w:ascii="Arial" w:cs="Arial" w:eastAsia="Arial" w:hAnsi="Arial"/>
          <w:b/>
          <w:bCs/>
          <w:color w:val="2E75B6"/>
          <w:sz w:val="26"/>
          <w:szCs w:val="26"/>
        </w:rPr>
        <w:t xml:space="preserve">3.2 Pasos de limpieza realizados</w:t>
      </w:r>
    </w:p>
    <w:p>
      <w:pPr>
        <w:pStyle w:val="ListParagraph"/>
        <w:numPr>
          <w:ilvl w:val="0"/>
          <w:numId w:val="3"/>
        </w:numPr>
        <w:spacing w:before="40" w:after="40"/>
      </w:pPr>
      <w:r>
        <w:rPr>
          <w:rFonts w:ascii="Arial" w:cs="Arial" w:eastAsia="Arial" w:hAnsi="Arial"/>
          <w:sz w:val="22"/>
          <w:szCs w:val="22"/>
        </w:rPr>
        <w:t xml:space="preserve">Estandarización de GRAVEDAD: unificar 'Con Muertos' y 'Con muertos' en un solo valor consistente.</w:t>
      </w:r>
    </w:p>
    <w:p>
      <w:pPr>
        <w:pStyle w:val="ListParagraph"/>
        <w:numPr>
          <w:ilvl w:val="0"/>
          <w:numId w:val="3"/>
        </w:numPr>
        <w:spacing w:before="40" w:after="40"/>
      </w:pPr>
      <w:r>
        <w:rPr>
          <w:rFonts w:ascii="Arial" w:cs="Arial" w:eastAsia="Arial" w:hAnsi="Arial"/>
          <w:sz w:val="22"/>
          <w:szCs w:val="22"/>
        </w:rPr>
        <w:t xml:space="preserve">Extracción de HORA: transformar el timestamp de HORA (formato 1899-12-31THH:MM) en una columna auxiliar con solo la hora (0–23) para facilitar el análisis por franja horaria.</w:t>
      </w:r>
    </w:p>
    <w:p>
      <w:pPr>
        <w:pStyle w:val="ListParagraph"/>
        <w:numPr>
          <w:ilvl w:val="0"/>
          <w:numId w:val="3"/>
        </w:numPr>
        <w:spacing w:before="40" w:after="40"/>
      </w:pPr>
      <w:r>
        <w:rPr>
          <w:rFonts w:ascii="Arial" w:cs="Arial" w:eastAsia="Arial" w:hAnsi="Arial"/>
          <w:sz w:val="22"/>
          <w:szCs w:val="22"/>
        </w:rPr>
        <w:t xml:space="preserve">Limpieza de COMUNA: filtrar y excluir registros con valor 'NO DISPONIBLE' del análisis geográfico (1.553 registros, equivalente al 3.96%).</w:t>
      </w:r>
    </w:p>
    <w:p>
      <w:pPr>
        <w:pStyle w:val="ListParagraph"/>
        <w:numPr>
          <w:ilvl w:val="0"/>
          <w:numId w:val="3"/>
        </w:numPr>
        <w:spacing w:before="40" w:after="40"/>
      </w:pPr>
      <w:r>
        <w:rPr>
          <w:rFonts w:ascii="Arial" w:cs="Arial" w:eastAsia="Arial" w:hAnsi="Arial"/>
          <w:sz w:val="22"/>
          <w:szCs w:val="22"/>
        </w:rPr>
        <w:t xml:space="preserve">Columna de TOTAL VEHÍCULOS: agregar columna calculada que sume todos los vehículos involucrados por fila.</w:t>
      </w:r>
    </w:p>
    <w:p>
      <w:pPr>
        <w:pStyle w:val="ListParagraph"/>
        <w:numPr>
          <w:ilvl w:val="0"/>
          <w:numId w:val="3"/>
        </w:numPr>
        <w:spacing w:before="40" w:after="40"/>
      </w:pPr>
      <w:r>
        <w:rPr>
          <w:rFonts w:ascii="Arial" w:cs="Arial" w:eastAsia="Arial" w:hAnsi="Arial"/>
          <w:sz w:val="22"/>
          <w:szCs w:val="22"/>
        </w:rPr>
        <w:t xml:space="preserve">Columna FRANJA HORARIA: categorizar la hora en franjas (Madrugada 0–5, Mañana 6–11, Tarde 12–17, Noche 18–23).</w:t>
      </w:r>
    </w:p>
    <w:p>
      <w:pPr>
        <w:pStyle w:val="ListParagraph"/>
        <w:numPr>
          <w:ilvl w:val="0"/>
          <w:numId w:val="3"/>
        </w:numPr>
        <w:spacing w:before="40" w:after="40"/>
      </w:pPr>
      <w:r>
        <w:rPr>
          <w:rFonts w:ascii="Arial" w:cs="Arial" w:eastAsia="Arial" w:hAnsi="Arial"/>
          <w:sz w:val="22"/>
          <w:szCs w:val="22"/>
        </w:rPr>
        <w:t xml:space="preserve">Verificación de duplicados: no se encontraron registros duplicados en el campo ORDEN.</w:t>
      </w:r>
    </w:p>
    <w:p>
      <w:pPr>
        <w:spacing w:before="80" w:after="80"/>
      </w:pPr>
      <w:r>
        <w:t xml:space="preserve"/>
      </w:r>
    </w:p>
    <w:p>
      <w:pPr>
        <w:pStyle w:val="Heading2"/>
        <w:spacing w:before="240" w:after="100"/>
      </w:pPr>
      <w:r>
        <w:rPr>
          <w:rFonts w:ascii="Arial" w:cs="Arial" w:eastAsia="Arial" w:hAnsi="Arial"/>
          <w:b/>
          <w:bCs/>
          <w:color w:val="2E75B6"/>
          <w:sz w:val="26"/>
          <w:szCs w:val="26"/>
        </w:rPr>
        <w:t xml:space="preserve">3.3 Estado del dataset tras la limpieza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Indicador</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Total de registros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39.193</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Valores nulos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 en todas las columnas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Registros duplicados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Columnas originales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Columnas añadidas en limpieza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(HORA_NUM, TOTAL_VEHICULOS, FRANJA_HORARIA)</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Período cubierto</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Enero 2012 – Diciembre 2023</w:t>
            </w:r>
          </w:p>
        </w:tc>
      </w:tr>
    </w:tbl>
    <w:p>
      <w:pPr>
        <w:spacing w:before="80" w:after="8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4. ANALYZE — Resumen del análisis</w:t>
      </w:r>
    </w:p>
    <w:p>
      <w:pPr>
        <w:pStyle w:val="Heading2"/>
        <w:spacing w:before="240" w:after="100"/>
      </w:pPr>
      <w:r>
        <w:rPr>
          <w:rFonts w:ascii="Arial" w:cs="Arial" w:eastAsia="Arial" w:hAnsi="Arial"/>
          <w:b/>
          <w:bCs/>
          <w:color w:val="2E75B6"/>
          <w:sz w:val="26"/>
          <w:szCs w:val="26"/>
        </w:rPr>
        <w:t xml:space="preserve">4.1 Tendencia anual de accidentes (2012–2023)</w:t>
      </w:r>
    </w:p>
    <w:p>
      <w:pPr>
        <w:spacing w:before="80" w:after="80"/>
      </w:pPr>
      <w:r>
        <w:rPr>
          <w:rFonts w:ascii="Arial" w:cs="Arial" w:eastAsia="Arial" w:hAnsi="Arial"/>
          <w:sz w:val="22"/>
          <w:szCs w:val="22"/>
        </w:rPr>
        <w:t xml:space="preserve">El total de accidentes muestra una tendencia descendente a lo largo del período. El año con mayor accidentalidad fue 2012 con 4.342 eventos, seguido de 2013 con 4.054. A partir de 2019 se observa una reducción sostenida, con una caída marcada en 2020 (2.261 accidentes), atribuible a las restricciones de movilidad por la pandemia de COVID-19. Los datos de 2023 corresponden a un período parcial.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2012</w:t>
            </w:r>
          </w:p>
        </w:tc>
        <w:tc>
          <w:tcPr>
            <w:tcW w:type="dxa" w:w="156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2013</w:t>
            </w:r>
          </w:p>
        </w:tc>
        <w:tc>
          <w:tcPr>
            <w:tcW w:type="dxa" w:w="156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2014</w:t>
            </w:r>
          </w:p>
        </w:tc>
        <w:tc>
          <w:tcPr>
            <w:tcW w:type="dxa" w:w="156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2015</w:t>
            </w:r>
          </w:p>
        </w:tc>
        <w:tc>
          <w:tcPr>
            <w:tcW w:type="dxa" w:w="156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2016</w:t>
            </w:r>
          </w:p>
        </w:tc>
        <w:tc>
          <w:tcPr>
            <w:tcW w:type="dxa" w:w="156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2017</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4.342</w:t>
            </w:r>
          </w:p>
        </w:tc>
        <w:tc>
          <w:tcPr>
            <w:tcW w:type="dxa" w:w="15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sz w:val="18"/>
                <w:szCs w:val="18"/>
              </w:rPr>
              <w:t xml:space="preserve">4.054</w:t>
            </w:r>
          </w:p>
        </w:tc>
        <w:tc>
          <w:tcPr>
            <w:tcW w:type="dxa" w:w="1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3.724</w:t>
            </w:r>
          </w:p>
        </w:tc>
        <w:tc>
          <w:tcPr>
            <w:tcW w:type="dxa" w:w="15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sz w:val="18"/>
                <w:szCs w:val="18"/>
              </w:rPr>
              <w:t xml:space="preserve">3.765</w:t>
            </w:r>
          </w:p>
        </w:tc>
        <w:tc>
          <w:tcPr>
            <w:tcW w:type="dxa" w:w="1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3.739</w:t>
            </w:r>
          </w:p>
        </w:tc>
        <w:tc>
          <w:tcPr>
            <w:tcW w:type="dxa" w:w="15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sz w:val="18"/>
                <w:szCs w:val="18"/>
              </w:rPr>
              <w:t xml:space="preserve">3.812</w:t>
            </w:r>
          </w:p>
        </w:tc>
      </w:tr>
      <w:tr>
        <w:tc>
          <w:tcPr>
            <w:tcW w:type="dxa" w:w="156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2018</w:t>
            </w:r>
          </w:p>
        </w:tc>
        <w:tc>
          <w:tcPr>
            <w:tcW w:type="dxa" w:w="156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2019</w:t>
            </w:r>
          </w:p>
        </w:tc>
        <w:tc>
          <w:tcPr>
            <w:tcW w:type="dxa" w:w="156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2020</w:t>
            </w:r>
          </w:p>
        </w:tc>
        <w:tc>
          <w:tcPr>
            <w:tcW w:type="dxa" w:w="156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2021</w:t>
            </w:r>
          </w:p>
        </w:tc>
        <w:tc>
          <w:tcPr>
            <w:tcW w:type="dxa" w:w="156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2022</w:t>
            </w:r>
          </w:p>
        </w:tc>
        <w:tc>
          <w:tcPr>
            <w:tcW w:type="dxa" w:w="156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2023</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3.917</w:t>
            </w:r>
          </w:p>
        </w:tc>
        <w:tc>
          <w:tcPr>
            <w:tcW w:type="dxa" w:w="15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sz w:val="18"/>
                <w:szCs w:val="18"/>
              </w:rPr>
              <w:t xml:space="preserve">3.716</w:t>
            </w:r>
          </w:p>
        </w:tc>
        <w:tc>
          <w:tcPr>
            <w:tcW w:type="dxa" w:w="1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2.261</w:t>
            </w:r>
          </w:p>
        </w:tc>
        <w:tc>
          <w:tcPr>
            <w:tcW w:type="dxa" w:w="15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sz w:val="18"/>
                <w:szCs w:val="18"/>
              </w:rPr>
              <w:t xml:space="preserve">2.719</w:t>
            </w:r>
          </w:p>
        </w:tc>
        <w:tc>
          <w:tcPr>
            <w:tcW w:type="dxa" w:w="1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2.220</w:t>
            </w:r>
          </w:p>
        </w:tc>
        <w:tc>
          <w:tcPr>
            <w:tcW w:type="dxa" w:w="15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sz w:val="18"/>
                <w:szCs w:val="18"/>
              </w:rPr>
              <w:t xml:space="preserve">924</w:t>
            </w:r>
          </w:p>
        </w:tc>
      </w:tr>
    </w:tbl>
    <w:p>
      <w:pPr>
        <w:spacing w:before="80" w:after="80"/>
      </w:pPr>
      <w:r>
        <w:t xml:space="preserve"/>
      </w:r>
    </w:p>
    <w:p>
      <w:pPr>
        <w:pStyle w:val="Heading2"/>
        <w:spacing w:before="240" w:after="100"/>
      </w:pPr>
      <w:r>
        <w:rPr>
          <w:rFonts w:ascii="Arial" w:cs="Arial" w:eastAsia="Arial" w:hAnsi="Arial"/>
          <w:b/>
          <w:bCs/>
          <w:color w:val="2E75B6"/>
          <w:sz w:val="26"/>
          <w:szCs w:val="26"/>
        </w:rPr>
        <w:t xml:space="preserve">4.2 Distribución por gravedad</w:t>
      </w:r>
    </w:p>
    <w:p>
      <w:pPr>
        <w:spacing w:before="80" w:after="80"/>
      </w:pPr>
      <w:r>
        <w:rPr>
          <w:rFonts w:ascii="Arial" w:cs="Arial" w:eastAsia="Arial" w:hAnsi="Arial"/>
          <w:sz w:val="22"/>
          <w:szCs w:val="22"/>
        </w:rPr>
        <w:t xml:space="preserve">De los 39.193 accidentes registrados: 19.602 (50,0%) resultaron en solo daños materiales; 18.982 (48,4%) dejaron personas heridas; y 609 (1,6%) fueron fatales con al menos un muerto. Aunque los accidentes mortales son minoría en número, su concentración en zonas y franjas horarias específicas es el insumo clave para la toma de decisiones.</w:t>
      </w:r>
    </w:p>
    <w:p>
      <w:pPr>
        <w:spacing w:before="80" w:after="80"/>
      </w:pPr>
      <w:r>
        <w:t xml:space="preserve"/>
      </w:r>
    </w:p>
    <w:p>
      <w:pPr>
        <w:pStyle w:val="Heading2"/>
        <w:spacing w:before="240" w:after="100"/>
      </w:pPr>
      <w:r>
        <w:rPr>
          <w:rFonts w:ascii="Arial" w:cs="Arial" w:eastAsia="Arial" w:hAnsi="Arial"/>
          <w:b/>
          <w:bCs/>
          <w:color w:val="2E75B6"/>
          <w:sz w:val="26"/>
          <w:szCs w:val="26"/>
        </w:rPr>
        <w:t xml:space="preserve">4.3 Comunas más críticas</w:t>
      </w:r>
    </w:p>
    <w:p>
      <w:pPr>
        <w:spacing w:before="80" w:after="80"/>
      </w:pPr>
      <w:r>
        <w:rPr>
          <w:rFonts w:ascii="Arial" w:cs="Arial" w:eastAsia="Arial" w:hAnsi="Arial"/>
          <w:sz w:val="22"/>
          <w:szCs w:val="22"/>
        </w:rPr>
        <w:t xml:space="preserve">Las cinco comunas con mayor número de accidentes son Cabecera del Llano (6.415), San Francisco (5.287), Oriental (5.093), Centro (4.405) y La Concordia (3.180). Estas cinco comunas concentran el 62% del total de accidentes del municipio, lo que las convierte en zonas prioritarias para intervención operativa.</w:t>
      </w:r>
    </w:p>
    <w:p>
      <w:pPr>
        <w:spacing w:before="80" w:after="80"/>
      </w:pPr>
      <w:r>
        <w:t xml:space="preserve"/>
      </w:r>
    </w:p>
    <w:p>
      <w:pPr>
        <w:pStyle w:val="Heading2"/>
        <w:spacing w:before="240" w:after="100"/>
      </w:pPr>
      <w:r>
        <w:rPr>
          <w:rFonts w:ascii="Arial" w:cs="Arial" w:eastAsia="Arial" w:hAnsi="Arial"/>
          <w:b/>
          <w:bCs/>
          <w:color w:val="2E75B6"/>
          <w:sz w:val="26"/>
          <w:szCs w:val="26"/>
        </w:rPr>
        <w:t xml:space="preserve">4.4 Vehículos involucrados</w:t>
      </w:r>
    </w:p>
    <w:p>
      <w:pPr>
        <w:spacing w:before="80" w:after="80"/>
      </w:pPr>
      <w:r>
        <w:rPr>
          <w:rFonts w:ascii="Arial" w:cs="Arial" w:eastAsia="Arial" w:hAnsi="Arial"/>
          <w:sz w:val="22"/>
          <w:szCs w:val="22"/>
        </w:rPr>
        <w:t xml:space="preserve">Los automóviles son los vehículos más frecuentes en accidentes (30.620 involucramientos), seguidos por las motocicletas (24.559). Sin embargo, al analizar los accidentes con muertos, las motos tienen una sobrerrepresentación significativa, lo que indica mayor vulnerabilidad de este tipo de vehículo.</w:t>
      </w:r>
    </w:p>
    <w:p>
      <w:pPr>
        <w:spacing w:before="80" w:after="80"/>
      </w:pPr>
      <w:r>
        <w:t xml:space="preserve"/>
      </w:r>
    </w:p>
    <w:p>
      <w:pPr>
        <w:pStyle w:val="Heading2"/>
        <w:spacing w:before="240" w:after="100"/>
      </w:pPr>
      <w:r>
        <w:rPr>
          <w:rFonts w:ascii="Arial" w:cs="Arial" w:eastAsia="Arial" w:hAnsi="Arial"/>
          <w:b/>
          <w:bCs/>
          <w:color w:val="2E75B6"/>
          <w:sz w:val="26"/>
          <w:szCs w:val="26"/>
        </w:rPr>
        <w:t xml:space="preserve">4.5 Franja horaria y condición diurna/nocturna</w:t>
      </w:r>
    </w:p>
    <w:p>
      <w:pPr>
        <w:spacing w:before="80" w:after="80"/>
      </w:pPr>
      <w:r>
        <w:rPr>
          <w:rFonts w:ascii="Arial" w:cs="Arial" w:eastAsia="Arial" w:hAnsi="Arial"/>
          <w:sz w:val="22"/>
          <w:szCs w:val="22"/>
        </w:rPr>
        <w:t xml:space="preserve">El 70,3% de los accidentes ocurren en horario diurno y el 29,7% en horario nocturno. Sin embargo, los accidentes nocturnos tienen mayor proporción de gravedad severa (heridos y muertos), lo que sugiere factores de riesgo adicionales en la noche como visibilidad reducida, velocidad excesiva o conducción bajo efectos de sustancias.</w:t>
      </w:r>
    </w:p>
    <w:p>
      <w:pPr>
        <w:spacing w:before="80" w:after="8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5. SHARE — Visualizaciones clave</w:t>
      </w:r>
    </w:p>
    <w:p>
      <w:pPr>
        <w:spacing w:before="80" w:after="80"/>
      </w:pPr>
      <w:r>
        <w:rPr>
          <w:rFonts w:ascii="Arial" w:cs="Arial" w:eastAsia="Arial" w:hAnsi="Arial"/>
          <w:sz w:val="22"/>
          <w:szCs w:val="22"/>
        </w:rPr>
        <w:t xml:space="preserve">Las siguientes visualizaciones deben crearse en Excel/Google Sheets o Tableau para la presentación final ante los stakeholders: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Visualización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 de gráfico</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Insight esperado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Accidentes por año (2012–2023)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Línea de tendencia</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Reducción progresiva con caída 2020</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Gravedad de accidentes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Gráfico de torta / dona</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 solo daños, 48% heridos, 2% muertos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Top 10 comunas más peligrosas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Barras horizontales por gravedad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Cabecera del Llano lidera</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Vehículos involucrados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Barras apiladas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Autos y motos dominan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Accidentes por día de la semana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Barras agrupadas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Días de mayor riesgo</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Distribución diurno vs. nocturno</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Barras 100% apiladas por gravedad</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Noche = mayor proporción grave</w:t>
            </w:r>
          </w:p>
        </w:tc>
      </w:tr>
    </w:tbl>
    <w:p>
      <w:pPr>
        <w:spacing w:before="80" w:after="8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6. ACT — Conclusiones y recomendaciones</w:t>
      </w:r>
    </w:p>
    <w:p>
      <w:pPr>
        <w:pStyle w:val="Heading2"/>
        <w:spacing w:before="240" w:after="100"/>
      </w:pPr>
      <w:r>
        <w:rPr>
          <w:rFonts w:ascii="Arial" w:cs="Arial" w:eastAsia="Arial" w:hAnsi="Arial"/>
          <w:b/>
          <w:bCs/>
          <w:color w:val="2E75B6"/>
          <w:sz w:val="26"/>
          <w:szCs w:val="26"/>
        </w:rPr>
        <w:t xml:space="preserve">6.1 Top hallazgos</w:t>
      </w:r>
    </w:p>
    <w:p>
      <w:pPr>
        <w:pStyle w:val="ListParagraph"/>
        <w:numPr>
          <w:ilvl w:val="0"/>
          <w:numId w:val="2"/>
        </w:numPr>
        <w:spacing w:before="40" w:after="40"/>
      </w:pPr>
      <w:r>
        <w:rPr>
          <w:rFonts w:ascii="Arial" w:cs="Arial" w:eastAsia="Arial" w:hAnsi="Arial"/>
          <w:sz w:val="22"/>
          <w:szCs w:val="22"/>
        </w:rPr>
        <w:t xml:space="preserve">La accidentalidad en Bucaramanga muestra una tendencia decreciente desde 2012, con la reducción más drástica en 2020 por la pandemia.</w:t>
      </w:r>
    </w:p>
    <w:p>
      <w:pPr>
        <w:pStyle w:val="ListParagraph"/>
        <w:numPr>
          <w:ilvl w:val="0"/>
          <w:numId w:val="2"/>
        </w:numPr>
        <w:spacing w:before="40" w:after="40"/>
      </w:pPr>
      <w:r>
        <w:rPr>
          <w:rFonts w:ascii="Arial" w:cs="Arial" w:eastAsia="Arial" w:hAnsi="Arial"/>
          <w:sz w:val="22"/>
          <w:szCs w:val="22"/>
        </w:rPr>
        <w:t xml:space="preserve">El 62% de los accidentes se concentra en solo 5 comunas: Cabecera del Llano, San Francisco, Oriental, Centro y La Concordia.</w:t>
      </w:r>
    </w:p>
    <w:p>
      <w:pPr>
        <w:pStyle w:val="ListParagraph"/>
        <w:numPr>
          <w:ilvl w:val="0"/>
          <w:numId w:val="2"/>
        </w:numPr>
        <w:spacing w:before="40" w:after="40"/>
      </w:pPr>
      <w:r>
        <w:rPr>
          <w:rFonts w:ascii="Arial" w:cs="Arial" w:eastAsia="Arial" w:hAnsi="Arial"/>
          <w:sz w:val="22"/>
          <w:szCs w:val="22"/>
        </w:rPr>
        <w:t xml:space="preserve">Las motocicletas, aunque en segundo lugar en frecuencia, tienen la mayor proporción de accidentes fatales, representando un alto riesgo para sus conductores.</w:t>
      </w:r>
    </w:p>
    <w:p>
      <w:pPr>
        <w:pStyle w:val="ListParagraph"/>
        <w:numPr>
          <w:ilvl w:val="0"/>
          <w:numId w:val="2"/>
        </w:numPr>
        <w:spacing w:before="40" w:after="40"/>
      </w:pPr>
      <w:r>
        <w:rPr>
          <w:rFonts w:ascii="Arial" w:cs="Arial" w:eastAsia="Arial" w:hAnsi="Arial"/>
          <w:sz w:val="22"/>
          <w:szCs w:val="22"/>
        </w:rPr>
        <w:t xml:space="preserve">Los accidentes nocturnos, aunque son el 30% del total, presentan una proporción de gravedad superior a los diurnos.</w:t>
      </w:r>
    </w:p>
    <w:p>
      <w:pPr>
        <w:pStyle w:val="ListParagraph"/>
        <w:numPr>
          <w:ilvl w:val="0"/>
          <w:numId w:val="2"/>
        </w:numPr>
        <w:spacing w:before="40" w:after="40"/>
      </w:pPr>
      <w:r>
        <w:rPr>
          <w:rFonts w:ascii="Arial" w:cs="Arial" w:eastAsia="Arial" w:hAnsi="Arial"/>
          <w:sz w:val="22"/>
          <w:szCs w:val="22"/>
        </w:rPr>
        <w:t xml:space="preserve">Los días con mayor accidentalidad son los laborables con pico en horas de alto flujo vehicular (mañana y tarde).</w:t>
      </w:r>
    </w:p>
    <w:p>
      <w:pPr>
        <w:spacing w:before="80" w:after="80"/>
      </w:pPr>
      <w:r>
        <w:t xml:space="preserve"/>
      </w:r>
    </w:p>
    <w:p>
      <w:pPr>
        <w:pStyle w:val="Heading2"/>
        <w:spacing w:before="240" w:after="100"/>
      </w:pPr>
      <w:r>
        <w:rPr>
          <w:rFonts w:ascii="Arial" w:cs="Arial" w:eastAsia="Arial" w:hAnsi="Arial"/>
          <w:b/>
          <w:bCs/>
          <w:color w:val="2E75B6"/>
          <w:sz w:val="26"/>
          <w:szCs w:val="26"/>
        </w:rPr>
        <w:t xml:space="preserve">6.2 Recomendaciones estratégicas</w:t>
      </w:r>
    </w:p>
    <w:p>
      <w:pPr>
        <w:pStyle w:val="ListParagraph"/>
        <w:numPr>
          <w:ilvl w:val="0"/>
          <w:numId w:val="2"/>
        </w:numPr>
        <w:spacing w:before="40" w:after="40"/>
      </w:pPr>
      <w:r>
        <w:rPr>
          <w:rFonts w:ascii="Arial" w:cs="Arial" w:eastAsia="Arial" w:hAnsi="Arial"/>
          <w:sz w:val="22"/>
          <w:szCs w:val="22"/>
        </w:rPr>
        <w:t xml:space="preserve">Reforzar operativos de tránsito en las 5 comunas críticas identificadas, especialmente en horario nocturno.</w:t>
      </w:r>
    </w:p>
    <w:p>
      <w:pPr>
        <w:pStyle w:val="ListParagraph"/>
        <w:numPr>
          <w:ilvl w:val="0"/>
          <w:numId w:val="2"/>
        </w:numPr>
        <w:spacing w:before="40" w:after="40"/>
      </w:pPr>
      <w:r>
        <w:rPr>
          <w:rFonts w:ascii="Arial" w:cs="Arial" w:eastAsia="Arial" w:hAnsi="Arial"/>
          <w:sz w:val="22"/>
          <w:szCs w:val="22"/>
        </w:rPr>
        <w:t xml:space="preserve">Implementar campañas de seguridad vial dirigidas específicamente a motociclistas, que son la población más vulnerable en accidentes graves.</w:t>
      </w:r>
    </w:p>
    <w:p>
      <w:pPr>
        <w:pStyle w:val="ListParagraph"/>
        <w:numPr>
          <w:ilvl w:val="0"/>
          <w:numId w:val="2"/>
        </w:numPr>
        <w:spacing w:before="40" w:after="40"/>
      </w:pPr>
      <w:r>
        <w:rPr>
          <w:rFonts w:ascii="Arial" w:cs="Arial" w:eastAsia="Arial" w:hAnsi="Arial"/>
          <w:sz w:val="22"/>
          <w:szCs w:val="22"/>
        </w:rPr>
        <w:t xml:space="preserve">Instalar señalización adicional y controles de velocidad en los barrios de Cabecera del Llano y San Francisco.</w:t>
      </w:r>
    </w:p>
    <w:p>
      <w:pPr>
        <w:pStyle w:val="ListParagraph"/>
        <w:numPr>
          <w:ilvl w:val="0"/>
          <w:numId w:val="2"/>
        </w:numPr>
        <w:spacing w:before="40" w:after="40"/>
      </w:pPr>
      <w:r>
        <w:rPr>
          <w:rFonts w:ascii="Arial" w:cs="Arial" w:eastAsia="Arial" w:hAnsi="Arial"/>
          <w:sz w:val="22"/>
          <w:szCs w:val="22"/>
        </w:rPr>
        <w:t xml:space="preserve">Diseñar operativos especiales para horario nocturno enfocados en detección de conducción bajo efectos de sustancias.</w:t>
      </w:r>
    </w:p>
    <w:p>
      <w:pPr>
        <w:pStyle w:val="ListParagraph"/>
        <w:numPr>
          <w:ilvl w:val="0"/>
          <w:numId w:val="2"/>
        </w:numPr>
        <w:spacing w:before="40" w:after="40"/>
      </w:pPr>
      <w:r>
        <w:rPr>
          <w:rFonts w:ascii="Arial" w:cs="Arial" w:eastAsia="Arial" w:hAnsi="Arial"/>
          <w:sz w:val="22"/>
          <w:szCs w:val="22"/>
        </w:rPr>
        <w:t xml:space="preserve">Monitorear la tendencia post-pandemia para determinar si la reducción de accidentalidad se mantiene o revierte.</w:t>
      </w:r>
    </w:p>
    <w:p>
      <w:pPr>
        <w:spacing w:before="80" w:after="80"/>
      </w:pPr>
      <w:r>
        <w:t xml:space="preserve"/>
      </w:r>
    </w:p>
    <w:p>
      <w:pPr>
        <w:pStyle w:val="Heading2"/>
        <w:spacing w:before="240" w:after="100"/>
      </w:pPr>
      <w:r>
        <w:rPr>
          <w:rFonts w:ascii="Arial" w:cs="Arial" w:eastAsia="Arial" w:hAnsi="Arial"/>
          <w:b/>
          <w:bCs/>
          <w:color w:val="2E75B6"/>
          <w:sz w:val="26"/>
          <w:szCs w:val="26"/>
        </w:rPr>
        <w:t xml:space="preserve">6.3 Entregables adicionales sugeridos</w:t>
      </w:r>
    </w:p>
    <w:p>
      <w:pPr>
        <w:pStyle w:val="ListParagraph"/>
        <w:numPr>
          <w:ilvl w:val="0"/>
          <w:numId w:val="2"/>
        </w:numPr>
        <w:spacing w:before="40" w:after="40"/>
      </w:pPr>
      <w:r>
        <w:rPr>
          <w:rFonts w:ascii="Arial" w:cs="Arial" w:eastAsia="Arial" w:hAnsi="Arial"/>
          <w:sz w:val="22"/>
          <w:szCs w:val="22"/>
        </w:rPr>
        <w:t xml:space="preserve">Mapa de calor geoespacial de accidentes por barrio (con coordenadas si disponibles).</w:t>
      </w:r>
    </w:p>
    <w:p>
      <w:pPr>
        <w:pStyle w:val="ListParagraph"/>
        <w:numPr>
          <w:ilvl w:val="0"/>
          <w:numId w:val="2"/>
        </w:numPr>
        <w:spacing w:before="40" w:after="40"/>
      </w:pPr>
      <w:r>
        <w:rPr>
          <w:rFonts w:ascii="Arial" w:cs="Arial" w:eastAsia="Arial" w:hAnsi="Arial"/>
          <w:sz w:val="22"/>
          <w:szCs w:val="22"/>
        </w:rPr>
        <w:t xml:space="preserve">Dashboard interactivo en Tableau o Google Looker Studio para monitoreo continuo.</w:t>
      </w:r>
    </w:p>
    <w:p>
      <w:pPr>
        <w:pStyle w:val="ListParagraph"/>
        <w:numPr>
          <w:ilvl w:val="0"/>
          <w:numId w:val="2"/>
        </w:numPr>
        <w:spacing w:before="40" w:after="40"/>
      </w:pPr>
      <w:r>
        <w:rPr>
          <w:rFonts w:ascii="Arial" w:cs="Arial" w:eastAsia="Arial" w:hAnsi="Arial"/>
          <w:sz w:val="22"/>
          <w:szCs w:val="22"/>
        </w:rPr>
        <w:t xml:space="preserve">Análisis comparativo con otras ciudades colombianas de similar tamaño.</w:t>
      </w:r>
    </w:p>
    <w:p>
      <w:pPr>
        <w:pStyle w:val="ListParagraph"/>
        <w:numPr>
          <w:ilvl w:val="0"/>
          <w:numId w:val="2"/>
        </w:numPr>
        <w:spacing w:before="40" w:after="40"/>
      </w:pPr>
      <w:r>
        <w:rPr>
          <w:rFonts w:ascii="Arial" w:cs="Arial" w:eastAsia="Arial" w:hAnsi="Arial"/>
          <w:sz w:val="22"/>
          <w:szCs w:val="22"/>
        </w:rPr>
        <w:t xml:space="preserve">Modelo predictivo de accidentalidad por franja horaria y comuna.</w:t>
      </w:r>
    </w:p>
    <w:p>
      <w:pPr>
        <w:spacing w:before="80" w:after="8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7. Referencias y fuentes</w:t>
      </w:r>
    </w:p>
    <w:p>
      <w:pPr>
        <w:spacing w:before="80" w:after="80"/>
      </w:pPr>
      <w:r>
        <w:rPr>
          <w:rFonts w:ascii="Arial" w:cs="Arial" w:eastAsia="Arial" w:hAnsi="Arial"/>
          <w:b/>
          <w:bCs/>
          <w:sz w:val="22"/>
          <w:szCs w:val="22"/>
        </w:rPr>
        <w:t xml:space="preserve">Dataset: Accidentes de Tránsito ocurridos en el Municipio de Bucaramanga</w:t>
      </w:r>
    </w:p>
    <w:p>
      <w:pPr>
        <w:spacing w:before="80" w:after="80"/>
      </w:pPr>
      <w:r>
        <w:rPr>
          <w:rFonts w:ascii="Arial" w:cs="Arial" w:eastAsia="Arial" w:hAnsi="Arial"/>
          <w:sz w:val="22"/>
          <w:szCs w:val="22"/>
        </w:rPr>
        <w:t xml:space="preserve">Fuente: Datos Abiertos Colombia — datos.gov.co</w:t>
      </w:r>
    </w:p>
    <w:p>
      <w:pPr>
        <w:spacing w:before="80" w:after="80"/>
      </w:pPr>
      <w:r>
        <w:rPr>
          <w:rFonts w:ascii="Arial" w:cs="Arial" w:eastAsia="Arial" w:hAnsi="Arial"/>
          <w:sz w:val="22"/>
          <w:szCs w:val="22"/>
        </w:rPr>
        <w:t xml:space="preserve">Entidad responsable: Agentes de Tránsito de Bucaramanga (DTB)</w:t>
      </w:r>
    </w:p>
    <w:p>
      <w:pPr>
        <w:spacing w:before="80" w:after="80"/>
      </w:pPr>
      <w:r>
        <w:rPr>
          <w:rFonts w:ascii="Arial" w:cs="Arial" w:eastAsia="Arial" w:hAnsi="Arial"/>
          <w:sz w:val="22"/>
          <w:szCs w:val="22"/>
        </w:rPr>
        <w:t xml:space="preserve">Licencia: Datos abiertos para uso público</w:t>
      </w:r>
    </w:p>
    <w:p>
      <w:pPr>
        <w:spacing w:before="80" w:after="80"/>
      </w:pPr>
      <w:r>
        <w:t xml:space="preserve"/>
      </w:r>
    </w:p>
    <w:p>
      <w:pPr>
        <w:spacing w:before="80" w:after="80"/>
      </w:pPr>
      <w:r>
        <w:rPr>
          <w:rFonts w:ascii="Arial" w:cs="Arial" w:eastAsia="Arial" w:hAnsi="Arial"/>
          <w:b/>
          <w:bCs/>
          <w:sz w:val="22"/>
          <w:szCs w:val="22"/>
        </w:rPr>
        <w:t xml:space="preserve">Curso: Google Data Analytics Professional Certificate</w:t>
      </w:r>
    </w:p>
    <w:p>
      <w:pPr>
        <w:spacing w:before="80" w:after="80"/>
      </w:pPr>
      <w:r>
        <w:rPr>
          <w:rFonts w:ascii="Arial" w:cs="Arial" w:eastAsia="Arial" w:hAnsi="Arial"/>
          <w:sz w:val="22"/>
          <w:szCs w:val="22"/>
        </w:rPr>
        <w:t xml:space="preserve">Módulo: Capstone — Complete a Case Study (Track 3: Choose Your Own Dataset)</w:t>
      </w:r>
    </w:p>
    <w:p>
      <w:pPr>
        <w:spacing w:before="80" w:after="80"/>
      </w:pPr>
      <w:r>
        <w:rPr>
          <w:rFonts w:ascii="Arial" w:cs="Arial" w:eastAsia="Arial" w:hAnsi="Arial"/>
          <w:sz w:val="22"/>
          <w:szCs w:val="22"/>
        </w:rPr>
        <w:t xml:space="preserve">Plataforma: Coursera / Google</w:t>
      </w:r>
    </w:p>
    <w:sectPr>
      <w:footerReference w:type="default" r:id="rId6"/>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Caso de Estudio | Google Data Analytics Capstone  |  Pag.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2026-03-25T02:43:27.475Z</dcterms:created>
  <dcterms:modified xsi:type="dcterms:W3CDTF">2026-03-25T02:43:27.476Z</dcterms:modified>
</cp:coreProperties>
</file>

<file path=docProps/custom.xml><?xml version="1.0" encoding="utf-8"?>
<Properties xmlns="http://schemas.openxmlformats.org/officeDocument/2006/custom-properties" xmlns:vt="http://schemas.openxmlformats.org/officeDocument/2006/docPropsVTypes"/>
</file>