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Pontificia Universidad Javeriana</w:t>
      </w:r>
    </w:p>
    <w:p>
      <w:pPr>
        <w:pStyle w:val="Normal"/>
        <w:jc w:val="center"/>
        <w:rPr/>
      </w:pPr>
      <w:r>
        <w:rPr/>
        <w:t>Máquinas térmicas para ingenieros — Proyecto aplicado del curso</w:t>
      </w:r>
    </w:p>
    <w:p>
      <w:pPr>
        <w:pStyle w:val="Normal"/>
        <w:jc w:val="center"/>
        <w:rPr/>
      </w:pPr>
      <w:r>
        <w:rPr>
          <w:b/>
          <w:sz w:val="34"/>
        </w:rPr>
        <w:t>Primera entrega: Concepción, cálculo preliminar y diseño gráfico</w:t>
      </w:r>
    </w:p>
    <w:p>
      <w:pPr>
        <w:pStyle w:val="Normal"/>
        <w:jc w:val="center"/>
        <w:rPr/>
      </w:pPr>
      <w:r>
        <w:rPr>
          <w:i/>
        </w:rPr>
        <w:t>Maqueta didáctica a escala de un motor Otto reciprocante — cierre Corte 1</w:t>
      </w:r>
    </w:p>
    <w:p>
      <w:pPr>
        <w:pStyle w:val="Normal"/>
        <w:rPr/>
      </w:pPr>
      <w:r>
        <w:rPr/>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Curso</w:t>
            </w:r>
          </w:p>
        </w:tc>
        <w:tc>
          <w:tcPr>
            <w:tcW w:w="4319"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Máquinas térmicas para ingenieros (ID CURSO 036053)</w:t>
            </w:r>
          </w:p>
        </w:tc>
      </w:tr>
      <w:tr>
        <w:trPr/>
        <w:tc>
          <w:tcPr>
            <w:tcW w:w="432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Corte evaluado</w:t>
            </w:r>
          </w:p>
        </w:tc>
        <w:tc>
          <w:tcPr>
            <w:tcW w:w="431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Corte 1 (semana 6, según programa actualizado)</w:t>
            </w:r>
          </w:p>
        </w:tc>
      </w:tr>
      <w:tr>
        <w:trPr/>
        <w:tc>
          <w:tcPr>
            <w:tcW w:w="4320" w:type="dxa"/>
            <w:tcBorders/>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Contenidos ya vistos por el estudiante</w:t>
            </w:r>
          </w:p>
        </w:tc>
        <w:tc>
          <w:tcPr>
            <w:tcW w:w="431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Bloque 1 — ciclos termodinámicos reales (incluye ciclo Otto ideal); Bloque 2 — combustión (estequiometría, relación aire-combustible, energía de combustión)</w:t>
            </w:r>
          </w:p>
        </w:tc>
      </w:tr>
      <w:tr>
        <w:trPr/>
        <w:tc>
          <w:tcPr>
            <w:tcW w:w="432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Contenidos aún no vistos (no se exigen en esta entrega)</w:t>
            </w:r>
          </w:p>
        </w:tc>
        <w:tc>
          <w:tcPr>
            <w:tcW w:w="431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Arquitecturas reciprocantes reales, distribución de válvulas, sobrealimentación, ensayo/dinamometría (bloques 4-5, semanas 7-9)</w:t>
            </w:r>
          </w:p>
        </w:tc>
      </w:tr>
      <w:tr>
        <w:trPr/>
        <w:tc>
          <w:tcPr>
            <w:tcW w:w="4320" w:type="dxa"/>
            <w:tcBorders/>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Modelo de evaluación</w:t>
            </w:r>
          </w:p>
        </w:tc>
        <w:tc>
          <w:tcPr>
            <w:tcW w:w="431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Cliente (profesor) – Proveedores (equipo par) – Equipo, con autoevaluación y coevaluación</w:t>
            </w:r>
          </w:p>
        </w:tc>
      </w:tr>
    </w:tbl>
    <w:p>
      <w:pPr>
        <w:pStyle w:val="Heading1"/>
        <w:rPr/>
      </w:pPr>
      <w:r>
        <w:rPr>
          <w:color w:val="1F3B57"/>
        </w:rPr>
        <w:t>1. Encuadre: cliente, proveedores y equipo</w:t>
      </w:r>
    </w:p>
    <w:p>
      <w:pPr>
        <w:pStyle w:val="Normal"/>
        <w:rPr/>
      </w:pPr>
      <w:r>
        <w:rPr>
          <w:b w:val="false"/>
          <w:i w:val="false"/>
        </w:rPr>
        <w:t>El proyecto aplicado del curso (Idea pedagógica 3 del sílabus) se organiza como si el gripo entero de estudiantes fuera una pequeña oficina de ingeniería que atiende un encargo real. Esa metáfora define quién evalúa qué en esta entrega:</w:t>
      </w:r>
    </w:p>
    <w:p>
      <w:pPr>
        <w:pStyle w:val="ListBullet"/>
        <w:numPr>
          <w:ilvl w:val="0"/>
          <w:numId w:val="1"/>
        </w:numPr>
        <w:rPr/>
      </w:pPr>
      <w:r>
        <w:rPr/>
        <w:t>Cliente = el profesor. Encarga la maqueta didáctica, define los requisitos (alcance pedagógico, material PETG, uso del CTAI) y evalúa si el equipo entendió y resolvió el encargo con rigor técnico.</w:t>
      </w:r>
    </w:p>
    <w:p>
      <w:pPr>
        <w:pStyle w:val="ListBullet"/>
        <w:numPr>
          <w:ilvl w:val="0"/>
          <w:numId w:val="1"/>
        </w:numPr>
        <w:rPr/>
      </w:pPr>
      <w:r>
        <w:rPr/>
        <w:t>Proveedores = otro equipo del curso de Proyecto de Diseño Mecánico, asignado como par técnico. En esta primera entrega actúan como revisor técnico cruzado (auditoría de la memoria de cálculo y los planos); en cortes futuros, cuando empiece la fabricación, la relación puede volverse literal si dos equipos comparten piezas, insumos o servicios de manufactura en el CTAI.</w:t>
      </w:r>
    </w:p>
    <w:p>
      <w:pPr>
        <w:pStyle w:val="ListBullet"/>
        <w:numPr>
          <w:ilvl w:val="0"/>
          <w:numId w:val="1"/>
        </w:numPr>
        <w:rPr/>
      </w:pPr>
      <w:r>
        <w:rPr/>
        <w:t>Equipo = el propio grupo de trabajo, que debe organizarse, repartir tareas de forma equitativa y sostener esa relación cliente-proveedor con evidencia (elaboración de documentos).</w:t>
      </w:r>
    </w:p>
    <w:p>
      <w:pPr>
        <w:pStyle w:val="Heading1"/>
        <w:rPr/>
      </w:pPr>
      <w:r>
        <w:rPr>
          <w:color w:val="1F3B57"/>
        </w:rPr>
        <w:t>2. Objetivo de la entrega</w:t>
      </w:r>
    </w:p>
    <w:p>
      <w:pPr>
        <w:pStyle w:val="Normal"/>
        <w:rPr/>
      </w:pPr>
      <w:r>
        <w:rPr>
          <w:b w:val="false"/>
          <w:i w:val="false"/>
        </w:rPr>
        <w:t>Que el equipo de estudiantes de Máquinas Térmicas presente la concepción, el cálculo preliminar y el diseño gráfico (planos y ensambles) de una maqueta didáctica a escala de un motor Otto reciprocante de carrera (compresión) variable, con el rigor técnico correspondiente a lo visto hasta el momento en el curso (ciclo Otto ideal y combustión) y a la formación previa del estudiante en diseño y manufactura, dejando una base trazable para los cortes siguientes (arquitectura real del motor, fabricación y ensamblaje en el CTAI, y modelo de negocio).</w:t>
      </w:r>
    </w:p>
    <w:p>
      <w:pPr>
        <w:pStyle w:val="Heading1"/>
        <w:rPr/>
      </w:pPr>
      <w:r>
        <w:rPr>
          <w:color w:val="1F3B57"/>
        </w:rPr>
        <w:t>3. Alcance técnico requerido</w:t>
      </w:r>
    </w:p>
    <w:p>
      <w:pPr>
        <w:pStyle w:val="Heading2"/>
        <w:rPr/>
      </w:pPr>
      <w:r>
        <w:rPr>
          <w:color w:val="2A5378"/>
        </w:rPr>
        <w:t>3.1 Concepción del proyecto</w:t>
      </w:r>
    </w:p>
    <w:p>
      <w:pPr>
        <w:pStyle w:val="Normal"/>
        <w:rPr/>
      </w:pPr>
      <w:r>
        <w:rPr>
          <w:b w:val="false"/>
          <w:i w:val="false"/>
        </w:rPr>
        <w:t>Dado que la maqueta se fabricará en PETG (un termoplástico, no apto para combustión real ni altas temperaturas de llama), la concepción debe dejar explícito que se trata de una maqueta didáctica cinemática y visual del ciclo Otto con carrera variable — no de un motor que efectivamente queme combustible.</w:t>
      </w:r>
    </w:p>
    <w:p>
      <w:pPr>
        <w:pStyle w:val="ListBullet"/>
        <w:numPr>
          <w:ilvl w:val="0"/>
          <w:numId w:val="1"/>
        </w:numPr>
        <w:rPr/>
      </w:pPr>
      <w:r>
        <w:rPr/>
        <w:t>Motor real de referencia elegido (marca/modelo o especificación típica: cilindrada, número de cilindros, relación de compresión variable, combustible(s)) que la maqueta representará a escala.</w:t>
      </w:r>
    </w:p>
    <w:p>
      <w:pPr>
        <w:pStyle w:val="ListBullet"/>
        <w:numPr>
          <w:ilvl w:val="0"/>
          <w:numId w:val="1"/>
        </w:numPr>
        <w:rPr/>
      </w:pPr>
      <w:r>
        <w:rPr/>
        <w:t>Factor de escala geométrica propuesto y justificación (tamaño manejable, visibilidad didáctica, límites de impresión 3D del CTAI).</w:t>
      </w:r>
    </w:p>
    <w:p>
      <w:pPr>
        <w:pStyle w:val="ListBullet"/>
        <w:numPr>
          <w:ilvl w:val="0"/>
          <w:numId w:val="1"/>
        </w:numPr>
        <w:rPr/>
      </w:pPr>
      <w:r>
        <w:rPr/>
        <w:t>Público y propósito pedagógico de la maqueta (¿a quién le enseña el ciclo Otto y qué debe poder mostrar en movimiento: pistón, biela(s), cigüeñal, válvulas?).</w:t>
      </w:r>
    </w:p>
    <w:p>
      <w:pPr>
        <w:pStyle w:val="ListBullet"/>
        <w:numPr>
          <w:ilvl w:val="0"/>
          <w:numId w:val="1"/>
        </w:numPr>
        <w:rPr/>
      </w:pPr>
      <w:r>
        <w:rPr/>
        <w:t>Mecanismo de accionamiento propuesto para que, tanto el cigueñal, como la apertura de carrera de la maqueta se mueva sin combustión real (manivela manual) ni motores adicionales— trazable a que el material es PETG.</w:t>
      </w:r>
    </w:p>
    <w:p>
      <w:pPr>
        <w:pStyle w:val="ListBullet"/>
        <w:numPr>
          <w:ilvl w:val="0"/>
          <w:numId w:val="1"/>
        </w:numPr>
        <w:rPr/>
      </w:pPr>
      <w:r>
        <w:rPr/>
        <w:t>Alcance explícito de este corte frente a los siguientes: qué subsistema se resuelve ahora (tren pistón-biela(s)-cigüeñal-válvulas) y qué queda para cortes posteriores.</w:t>
      </w:r>
    </w:p>
    <w:p>
      <w:pPr>
        <w:pStyle w:val="Heading2"/>
        <w:rPr/>
      </w:pPr>
      <w:r>
        <w:rPr>
          <w:color w:val="2A5378"/>
        </w:rPr>
        <w:t>3.2 Cálculo preliminar</w:t>
      </w:r>
    </w:p>
    <w:p>
      <w:pPr>
        <w:pStyle w:val="Normal"/>
        <w:rPr/>
      </w:pPr>
      <w:r>
        <w:rPr>
          <w:b w:val="false"/>
          <w:i w:val="false"/>
        </w:rPr>
        <w:t>Se evalúa únicamente lo que el curso ha cubierto hasta ahora — ciclo Otto ideal (de la asignatura de Termodinámica, prerrequisito, y repasado en la semana 2) y combustión (semanas 3-4). No se exige todavía corrección por ciclo real, distribución de válvulas, fricción ni ensayo experimental: eso se evalúa en la segunda entrega.</w:t>
      </w:r>
    </w:p>
    <w:p>
      <w:pPr>
        <w:pStyle w:val="ListBullet"/>
        <w:numPr>
          <w:ilvl w:val="0"/>
          <w:numId w:val="1"/>
        </w:numPr>
        <w:rPr/>
      </w:pPr>
      <w:r>
        <w:rPr/>
        <w:t>Ciclo Otto ideal del motor de referencia: relación de compresión variable, presión y temperatura en los 4 estados, trabajo neto, eficiencia térmica ideal — memoria de cálculo en Jupyter (Python + CoolProp, unidades SI, estados numerados igual que en los OVA del curso).</w:t>
      </w:r>
    </w:p>
    <w:p>
      <w:pPr>
        <w:pStyle w:val="ListBullet"/>
        <w:numPr>
          <w:ilvl w:val="0"/>
          <w:numId w:val="1"/>
        </w:numPr>
        <w:rPr/>
      </w:pPr>
      <w:r>
        <w:rPr/>
        <w:t>Determinar la composición (última) de un hidrocarburo (</w:t>
      </w:r>
      <w:r>
        <w:rPr/>
        <w:t>asignado en clase</w:t>
      </w:r>
      <w:r>
        <w:rPr/>
        <w:t>) que use su tecnología/proyecto. Idealmente conseguir la composición de laboratorios Colombianos. Si no la consigue, usar composiciones últimas publicadas en la literatura científica.</w:t>
      </w:r>
    </w:p>
    <w:p>
      <w:pPr>
        <w:pStyle w:val="ListBullet"/>
        <w:numPr>
          <w:ilvl w:val="0"/>
          <w:numId w:val="1"/>
        </w:numPr>
        <w:rPr/>
      </w:pPr>
      <w:r>
        <w:rPr/>
        <w:t>Formular  la cinética de reacción y la energía entregada en la combustión del combustible (fósil convencional) usado en la tecnología de su proyecto.</w:t>
      </w:r>
    </w:p>
    <w:p>
      <w:pPr>
        <w:pStyle w:val="ListBullet"/>
        <w:numPr>
          <w:ilvl w:val="0"/>
          <w:numId w:val="1"/>
        </w:numPr>
        <w:rPr/>
      </w:pPr>
      <w:r>
        <w:rPr/>
        <w:t xml:space="preserve">Enlistar los parámetros cinéticos usados y referenciar apropiadamente su fuente bibliográfica. Idealmente usar literatura científica de bases de datos químicos. Si no la consigue, usar los valores de librerías abiertas de reacciones químicas. </w:t>
      </w:r>
    </w:p>
    <w:p>
      <w:pPr>
        <w:pStyle w:val="ListBullet"/>
        <w:numPr>
          <w:ilvl w:val="0"/>
          <w:numId w:val="1"/>
        </w:numPr>
        <w:rPr/>
      </w:pPr>
      <w:r>
        <w:rPr/>
        <w:t>Calcular las gráficas de concentración de especies y el calor aportado en cada instante del tiempo de combustión. Graficar la energía aportada por el combustible en función de la relación aire combustible.</w:t>
      </w:r>
    </w:p>
    <w:p>
      <w:pPr>
        <w:pStyle w:val="ListBullet"/>
        <w:numPr>
          <w:ilvl w:val="0"/>
          <w:numId w:val="1"/>
        </w:numPr>
        <w:rPr/>
      </w:pPr>
      <w:r>
        <w:rPr/>
        <w:t>Estequiometría de la combustión del combustible representado: reacción balanceada, relación aire-combustible teórica, comparación con relación real/estimada si aplica.</w:t>
      </w:r>
    </w:p>
    <w:p>
      <w:pPr>
        <w:pStyle w:val="ListBullet"/>
        <w:numPr>
          <w:ilvl w:val="0"/>
          <w:numId w:val="1"/>
        </w:numPr>
        <w:rPr/>
      </w:pPr>
      <w:r>
        <w:rPr/>
        <w:t>Dimensionamiento cinemático preliminar de la maqueta a escala (carrera, diámetro, relación biela-manivela) apoyado en lo ya visto en asignaturas previas de diseño mecánico — trazable al factor de escala de la concepción.</w:t>
      </w:r>
    </w:p>
    <w:p>
      <w:pPr>
        <w:pStyle w:val="ListBullet"/>
        <w:numPr>
          <w:ilvl w:val="0"/>
          <w:numId w:val="1"/>
        </w:numPr>
        <w:rPr/>
      </w:pPr>
      <w:r>
        <w:rPr/>
        <w:t>Selección preliminar de materiales y verificación de que el PETG es viable para las piezas propuestas (temperatura de trabajo, fricción, tolerancias de impresión 3D).</w:t>
      </w:r>
    </w:p>
    <w:p>
      <w:pPr>
        <w:pStyle w:val="Heading2"/>
        <w:rPr/>
      </w:pPr>
      <w:r>
        <w:rPr>
          <w:color w:val="2A5378"/>
        </w:rPr>
        <w:t>3.3 Diseño gráfico (planos y ensambles)</w:t>
      </w:r>
    </w:p>
    <w:p>
      <w:pPr>
        <w:pStyle w:val="ListBullet"/>
        <w:numPr>
          <w:ilvl w:val="0"/>
          <w:numId w:val="1"/>
        </w:numPr>
        <w:rPr/>
      </w:pPr>
      <w:r>
        <w:rPr/>
        <w:t>Modelo 3D en un modelador CAD de, al menos, las piezas del tren pistón-biela(s)-cigüeñal-válvulas.</w:t>
      </w:r>
    </w:p>
    <w:p>
      <w:pPr>
        <w:pStyle w:val="ListBullet"/>
        <w:numPr>
          <w:ilvl w:val="0"/>
          <w:numId w:val="1"/>
        </w:numPr>
        <w:rPr/>
      </w:pPr>
      <w:r>
        <w:rPr/>
        <w:t>Ensamble general de la maqueta, con vista explosionada y lista de materiales (BOM) numerada.</w:t>
      </w:r>
    </w:p>
    <w:p>
      <w:pPr>
        <w:pStyle w:val="ListBullet"/>
        <w:numPr>
          <w:ilvl w:val="0"/>
          <w:numId w:val="1"/>
        </w:numPr>
        <w:rPr/>
      </w:pPr>
      <w:r>
        <w:rPr/>
        <w:t>Planos de taller de las piezas críticas: vistas normalizadas, cotas, tolerancias, escala — con la rigurosidad de dibujo técnico ya vista en cursos previos de diseño.</w:t>
      </w:r>
    </w:p>
    <w:p>
      <w:pPr>
        <w:pStyle w:val="ListBullet"/>
        <w:numPr>
          <w:ilvl w:val="0"/>
          <w:numId w:val="1"/>
        </w:numPr>
        <w:rPr/>
      </w:pPr>
      <w:r>
        <w:rPr/>
        <w:t>Trazabilidad explícita entre las cotas del plano y los valores de la memoria de cálculo (§3.2): ninguna dimensión del plano debe aparecer sin sustento en el cálculo preliminar.</w:t>
      </w:r>
    </w:p>
    <w:p>
      <w:pPr>
        <w:pStyle w:val="Heading2"/>
        <w:rPr/>
      </w:pPr>
      <w:r>
        <w:rPr>
          <w:color w:val="2A5378"/>
        </w:rPr>
        <w:t>3.4 Avance de fabricación (opcional, valorado positivamente)</w:t>
      </w:r>
    </w:p>
    <w:p>
      <w:pPr>
        <w:pStyle w:val="Normal"/>
        <w:rPr/>
      </w:pPr>
      <w:r>
        <w:rPr>
          <w:b w:val="false"/>
          <w:i w:val="false"/>
        </w:rPr>
        <w:t>No es obligatorio haber fabricado piezas para esta entrega. Sin embargo, la presentación de piezas individuales ya impresas o mecanizadas — aunque no estén ensambladas — se valora positivamente como evidencia de avance real y como base para los cortes siguientes.</w:t>
      </w:r>
    </w:p>
    <w:p>
      <w:pPr>
        <w:pStyle w:val="Heading1"/>
        <w:rPr/>
      </w:pPr>
      <w:r>
        <w:rPr>
          <w:color w:val="1F3B57"/>
        </w:rPr>
        <w:t>4. Entregables formales (subir al canal de Teams del equipo)</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w:t>
            </w:r>
          </w:p>
        </w:tc>
        <w:tc>
          <w:tcPr>
            <w:tcW w:w="2880"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Entregable</w:t>
            </w:r>
          </w:p>
        </w:tc>
        <w:tc>
          <w:tcPr>
            <w:tcW w:w="2880"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Formato</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1</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Informe de concepción del proyecto (§3.1)</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PDF, máx. 4 páginas</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2</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Memoria de cálculo preliminar (§3.2)</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Jupyter Notebook (.ipynb) ejecutado sin errores</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3</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Modelo CAD y ensamble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Archivo nativo del modelador + PDF/imagen del ensamble explosionado</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4</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Planos de taller de piezas críticas</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PDF, formato normalizado (cajetín, escala, cotas)</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5</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Evidencia de avance de fabricación (si existe)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Fotografías de las piezas + breve descripción</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6</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Acta de organización del equipo</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PDF — roles, cronograma, matriz de tareas y responsables</w:t>
            </w:r>
          </w:p>
        </w:tc>
      </w:tr>
    </w:tbl>
    <w:p>
      <w:pPr>
        <w:pStyle w:val="Heading1"/>
        <w:rPr/>
      </w:pPr>
      <w:r>
        <w:rPr>
          <w:color w:val="1F3B57"/>
        </w:rPr>
        <w:t>5. Cómo se compone la nota de esta entrega</w:t>
      </w:r>
    </w:p>
    <w:p>
      <w:pPr>
        <w:pStyle w:val="Normal"/>
        <w:rPr/>
      </w:pPr>
      <w:r>
        <w:rPr>
          <w:b w:val="false"/>
          <w:i w:val="false"/>
        </w:rPr>
        <w:t>La nota tiene dos capas: una nota común del equipo (todos los integrantes parten de la misma base) y un ajuste individual que refleja la participación real de cada estudiante.</w:t>
      </w:r>
    </w:p>
    <w:p>
      <w:pPr>
        <w:pStyle w:val="Heading2"/>
        <w:rPr/>
      </w:pPr>
      <w:r>
        <w:rPr>
          <w:color w:val="2A5378"/>
        </w:rPr>
        <w:t>5.1 Nota común del equipo (100 %)</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Evaluador</w:t>
            </w:r>
          </w:p>
        </w:tc>
        <w:tc>
          <w:tcPr>
            <w:tcW w:w="2880"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Peso</w:t>
            </w:r>
          </w:p>
        </w:tc>
        <w:tc>
          <w:tcPr>
            <w:tcW w:w="2880"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¿Qué evalúa?</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Cliente (profesor)</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60 %</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Rigor técnico del entregable: concepción, cálculo preliminar, diseño gráfico, y gestión de la relación con el cliente. Rúbrica §6.</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Proveedores (equipo par asignado)</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25 %</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Auditoría técnica cruzada: trazabilidad y claridad de la documentación, y calidad de la relación proveedor-cliente entre equipos. Rúbrica §7.</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Autoevaluación grupal</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15 %</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El propio equipo evalúa su organización, participación equitativa y gestión de conflictos. Formato §8.</w:t>
            </w:r>
          </w:p>
        </w:tc>
      </w:tr>
    </w:tbl>
    <w:p>
      <w:pPr>
        <w:pStyle w:val="Normal"/>
        <w:rPr/>
      </w:pPr>
      <w:r>
        <w:rPr>
          <w:b w:val="false"/>
          <w:i/>
        </w:rPr>
        <w:t>Bono por avance de fabricación (§3.4): hasta +0.3 puntos adicionales sobre 5.0 en la nota común del equipo, sin superar 5.0.</w:t>
      </w:r>
    </w:p>
    <w:p>
      <w:pPr>
        <w:pStyle w:val="Heading2"/>
        <w:rPr/>
      </w:pPr>
      <w:r>
        <w:rPr>
          <w:color w:val="2A5378"/>
        </w:rPr>
        <w:t>5.2 Ajuste individual (coevaluación + autoevaluación individual)</w:t>
      </w:r>
    </w:p>
    <w:p>
      <w:pPr>
        <w:pStyle w:val="Normal"/>
        <w:rPr/>
      </w:pPr>
      <w:r>
        <w:rPr>
          <w:b w:val="false"/>
          <w:i w:val="false"/>
        </w:rPr>
        <w:t>Nota individual = Nota común del equipo × Factor de equidad individual.</w:t>
      </w:r>
    </w:p>
    <w:p>
      <w:pPr>
        <w:pStyle w:val="Normal"/>
        <w:rPr/>
      </w:pPr>
      <w:r>
        <w:rPr>
          <w:b w:val="false"/>
          <w:i w:val="false"/>
        </w:rPr>
        <w:t>Factor de equidad = 0.5 × (coevaluación recibida de los compañeros, normalizada) + 0.5 × (autoevaluación individual, normalizada), acotado entre 0.5 y 1.10.</w:t>
      </w:r>
    </w:p>
    <w:p>
      <w:pPr>
        <w:pStyle w:val="ListBullet"/>
        <w:numPr>
          <w:ilvl w:val="0"/>
          <w:numId w:val="1"/>
        </w:numPr>
        <w:rPr/>
      </w:pPr>
      <w:r>
        <w:rPr/>
        <w:t>Un estudiante con participación equitativa y bien valorada por sus compañeros obtiene factor ≈ 1.00 (recibe la nota común del equipo, sin cambios).</w:t>
      </w:r>
    </w:p>
    <w:p>
      <w:pPr>
        <w:pStyle w:val="ListBullet"/>
        <w:numPr>
          <w:ilvl w:val="0"/>
          <w:numId w:val="1"/>
        </w:numPr>
        <w:rPr/>
      </w:pPr>
      <w:r>
        <w:rPr/>
        <w:t>Un estudiante con evidencia de baja participación puede llegar a factor 0.5 (penalización de hasta 50 %) — que se refleja en su nota individual, no en la del equipo completo.</w:t>
      </w:r>
    </w:p>
    <w:p>
      <w:pPr>
        <w:pStyle w:val="ListBullet"/>
        <w:numPr>
          <w:ilvl w:val="0"/>
          <w:numId w:val="1"/>
        </w:numPr>
        <w:rPr/>
      </w:pPr>
      <w:r>
        <w:rPr/>
        <w:t>Un estudiante con liderazgo real y sobrecarga de trabajo evidenciada puede llegar a factor 1.10 (bono de hasta 10 %), sin superar la nota máxima de 5.0.</w:t>
      </w:r>
    </w:p>
    <w:p>
      <w:pPr>
        <w:pStyle w:val="Heading1"/>
        <w:rPr/>
      </w:pPr>
      <w:r>
        <w:rPr>
          <w:color w:val="1F3B57"/>
        </w:rPr>
        <w:t>6. Rúbrica de heteroevaluación — Cliente (profesor)</w:t>
      </w:r>
    </w:p>
    <w:p>
      <w:pPr>
        <w:pStyle w:val="Normal"/>
        <w:rPr/>
      </w:pPr>
      <w:r>
        <w:rPr>
          <w:b w:val="false"/>
          <w:i w:val="false"/>
        </w:rPr>
        <w:t>Escala PUJ 0.0–5.0. Niveles: Insuficiente (0.0–2.9) · Básico (3.0–3.7) · Sobresaliente (3.8–4.5) · Excelente (4.6–5.0).</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Criterio</w:t>
            </w:r>
          </w:p>
        </w:tc>
        <w:tc>
          <w:tcPr>
            <w:tcW w:w="1728"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Peso</w:t>
            </w:r>
          </w:p>
        </w:tc>
        <w:tc>
          <w:tcPr>
            <w:tcW w:w="1728"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Insuficiente</w:t>
            </w:r>
          </w:p>
        </w:tc>
        <w:tc>
          <w:tcPr>
            <w:tcW w:w="1728"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Básico</w:t>
            </w:r>
          </w:p>
        </w:tc>
        <w:tc>
          <w:tcPr>
            <w:tcW w:w="1728"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Sobresaliente / Excelente</w:t>
            </w:r>
          </w:p>
        </w:tc>
      </w:tr>
      <w:tr>
        <w:trPr/>
        <w:tc>
          <w:tcPr>
            <w:tcW w:w="1728"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Concepción del proyecto</w:t>
            </w:r>
          </w:p>
        </w:tc>
        <w:tc>
          <w:tcPr>
            <w:tcW w:w="1728"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15 %</w:t>
            </w:r>
          </w:p>
        </w:tc>
        <w:tc>
          <w:tcPr>
            <w:tcW w:w="1728"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hay motor de referencia ni escala definidos; no se reconoce la restricción del PETG.</w:t>
            </w:r>
          </w:p>
        </w:tc>
        <w:tc>
          <w:tcPr>
            <w:tcW w:w="1728"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Motor de referencia y escala definidos, pero poco justificados; restricción del PETG mencionada superficialmente.</w:t>
            </w:r>
          </w:p>
        </w:tc>
        <w:tc>
          <w:tcPr>
            <w:tcW w:w="1728"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Motor de referencia, escala y mecanismo de accionamiento bien justificados; la restricción del PETG determina explícitamente el diseño (maqueta cinemática, no de combustión real).</w:t>
            </w:r>
          </w:p>
        </w:tc>
      </w:tr>
      <w:tr>
        <w:trPr/>
        <w:tc>
          <w:tcPr>
            <w:tcW w:w="1728"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Cálculo preliminar</w:t>
            </w:r>
          </w:p>
        </w:tc>
        <w:tc>
          <w:tcPr>
            <w:tcW w:w="1728"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20 %</w:t>
            </w:r>
          </w:p>
        </w:tc>
        <w:tc>
          <w:tcPr>
            <w:tcW w:w="1728"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hay memoria de cálculo, o el ciclo Otto/la estequiometría están mal planteados o no ejecutan.</w:t>
            </w:r>
          </w:p>
        </w:tc>
        <w:tc>
          <w:tcPr>
            <w:tcW w:w="1728"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Ciclo Otto ideal y estequiometría correctos pero desconectados entre sí o de la escala de la maqueta.</w:t>
            </w:r>
          </w:p>
        </w:tc>
        <w:tc>
          <w:tcPr>
            <w:tcW w:w="1728"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Ciclo Otto ideal (CoolProp, SI, estados Cengel &amp; Boles) y estequiometría correctos, coherentes entre sí, y trazables al factor de escala y a los materiales elegidos.</w:t>
            </w:r>
          </w:p>
        </w:tc>
      </w:tr>
      <w:tr>
        <w:trPr/>
        <w:tc>
          <w:tcPr>
            <w:tcW w:w="1728"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Diseño gráfico (planos y ensambles)</w:t>
            </w:r>
          </w:p>
        </w:tc>
        <w:tc>
          <w:tcPr>
            <w:tcW w:w="1728"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20 %</w:t>
            </w:r>
          </w:p>
        </w:tc>
        <w:tc>
          <w:tcPr>
            <w:tcW w:w="1728"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hay modelo 3D o ensamble; planos ausentes o sin normalización básica.</w:t>
            </w:r>
          </w:p>
        </w:tc>
        <w:tc>
          <w:tcPr>
            <w:tcW w:w="1728"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Modelo 3D y planos presentes, pero con cotas no trazables al cálculo o normalización incompleta.</w:t>
            </w:r>
          </w:p>
        </w:tc>
        <w:tc>
          <w:tcPr>
            <w:tcW w:w="1728"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Ensamble completo con BOM, planos normalizados (cotas, tolerancias, escala) y cada cota trazable a la memoria de cálculo.</w:t>
            </w:r>
          </w:p>
        </w:tc>
      </w:tr>
      <w:tr>
        <w:trPr/>
        <w:tc>
          <w:tcPr>
            <w:tcW w:w="1728"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Gestión de la relación con el cliente</w:t>
            </w:r>
          </w:p>
        </w:tc>
        <w:tc>
          <w:tcPr>
            <w:tcW w:w="1728"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5 %</w:t>
            </w:r>
          </w:p>
        </w:tc>
        <w:tc>
          <w:tcPr>
            <w:tcW w:w="1728"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Sin comunicación proactiva ni cumplimiento de plazos.</w:t>
            </w:r>
          </w:p>
        </w:tc>
        <w:tc>
          <w:tcPr>
            <w:tcW w:w="1728"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Comunicación reactiva; cumple plazos con recordatorios.</w:t>
            </w:r>
          </w:p>
        </w:tc>
        <w:tc>
          <w:tcPr>
            <w:tcW w:w="1728"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Comunicación proactiva, plazos cumplidos, dudas resueltas con anticipación y actitud profesional.</w:t>
            </w:r>
          </w:p>
        </w:tc>
      </w:tr>
    </w:tbl>
    <w:p>
      <w:pPr>
        <w:pStyle w:val="Heading1"/>
        <w:rPr/>
      </w:pPr>
      <w:r>
        <w:rPr>
          <w:color w:val="1F3B57"/>
        </w:rPr>
        <w:t xml:space="preserve">7. Rúbrica de heteroevaluación — Proveedores </w:t>
      </w:r>
    </w:p>
    <w:p>
      <w:pPr>
        <w:pStyle w:val="Normal"/>
        <w:rPr/>
      </w:pPr>
      <w:r>
        <w:rPr>
          <w:b w:val="false"/>
          <w:i w:val="false"/>
        </w:rPr>
        <w:t>La completa el equipo par asignado por el profesor, después de revisar la memoria de cálculo y los planos del equipo evaluado (revisión técnica cruzada, sin ver la nota que el cliente va a asignar).</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Criterio</w:t>
            </w:r>
          </w:p>
        </w:tc>
        <w:tc>
          <w:tcPr>
            <w:tcW w:w="1728"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Peso</w:t>
            </w:r>
          </w:p>
        </w:tc>
        <w:tc>
          <w:tcPr>
            <w:tcW w:w="1728"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Insuficiente</w:t>
            </w:r>
          </w:p>
        </w:tc>
        <w:tc>
          <w:tcPr>
            <w:tcW w:w="1728"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Básico</w:t>
            </w:r>
          </w:p>
        </w:tc>
        <w:tc>
          <w:tcPr>
            <w:tcW w:w="1728"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Sobresaliente / Excelente</w:t>
            </w:r>
          </w:p>
        </w:tc>
      </w:tr>
      <w:tr>
        <w:trPr/>
        <w:tc>
          <w:tcPr>
            <w:tcW w:w="1728"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Trazabilidad y claridad de la documentación</w:t>
            </w:r>
          </w:p>
        </w:tc>
        <w:tc>
          <w:tcPr>
            <w:tcW w:w="1728"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15 %</w:t>
            </w:r>
          </w:p>
        </w:tc>
        <w:tc>
          <w:tcPr>
            <w:tcW w:w="1728"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se entiende el cálculo ni su relación con los planos sin explicación adicional.</w:t>
            </w:r>
          </w:p>
        </w:tc>
        <w:tc>
          <w:tcPr>
            <w:tcW w:w="1728"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 entiende con esfuerzo; faltan unidades, supuestos o referencias a estados/ecuaciones.</w:t>
            </w:r>
          </w:p>
        </w:tc>
        <w:tc>
          <w:tcPr>
            <w:tcW w:w="1728"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 equipo externo puede seguir el cálculo y verificar los planos sin ayuda del equipo autor.</w:t>
            </w:r>
          </w:p>
        </w:tc>
      </w:tr>
      <w:tr>
        <w:trPr/>
        <w:tc>
          <w:tcPr>
            <w:tcW w:w="1728"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Relación proveedor-cliente entre equipos</w:t>
            </w:r>
          </w:p>
        </w:tc>
        <w:tc>
          <w:tcPr>
            <w:tcW w:w="1728"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10 %</w:t>
            </w:r>
          </w:p>
        </w:tc>
        <w:tc>
          <w:tcPr>
            <w:tcW w:w="1728"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respondió consultas técnicas o entregó fuera de plazo para la revisión.</w:t>
            </w:r>
          </w:p>
        </w:tc>
        <w:tc>
          <w:tcPr>
            <w:tcW w:w="1728"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Respondió consultas con demora; entrega a tiempo pero incompleta.</w:t>
            </w:r>
          </w:p>
        </w:tc>
        <w:tc>
          <w:tcPr>
            <w:tcW w:w="1728"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Respondió consultas técnicas con prontitud y disposición a colaborar; entrega completa y a tiempo para la revisión cruzada.</w:t>
            </w:r>
          </w:p>
        </w:tc>
      </w:tr>
    </w:tbl>
    <w:p>
      <w:pPr>
        <w:pStyle w:val="Normal"/>
        <w:rPr>
          <w:i/>
          <w:i/>
          <w:color w:val="7A3A00"/>
        </w:rPr>
      </w:pPr>
      <w:r>
        <w:rPr>
          <w:i/>
          <w:color w:val="7A3A00"/>
        </w:rPr>
      </w:r>
    </w:p>
    <w:p>
      <w:pPr>
        <w:pStyle w:val="Heading1"/>
        <w:rPr/>
      </w:pPr>
      <w:r>
        <w:rPr>
          <w:color w:val="1F3B57"/>
        </w:rPr>
        <w:t>8. Autoevaluación grupal</w:t>
      </w:r>
    </w:p>
    <w:p>
      <w:pPr>
        <w:pStyle w:val="Normal"/>
        <w:rPr/>
      </w:pPr>
      <w:r>
        <w:rPr>
          <w:b w:val="false"/>
          <w:i w:val="false"/>
        </w:rPr>
        <w:t>El equipo completo responde en conjunto (una sola entrega por equipo), a partir de su acta de organización (§4, ítem 6).</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Criterio</w:t>
            </w:r>
          </w:p>
        </w:tc>
        <w:tc>
          <w:tcPr>
            <w:tcW w:w="2880"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Preguntas guía</w:t>
            </w:r>
          </w:p>
        </w:tc>
        <w:tc>
          <w:tcPr>
            <w:tcW w:w="2880"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Escala</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Organización y planeación</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 definieron roles y cronograma desde el inicio? ¿Se cumplieron?</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 (no hubo plan) – 5 (plan claro y cumplido)</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Participación equitativa</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¿Todos los integrantes aportaron en proporción similar a concepción, cálculo y diseño gráfico?</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 (muy desigual) – 5 (equitativa y verificable)</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Gestión de conflictos</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¿Hubo desacuerdos? ¿Cómo se resolvieron?</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 (sin resolver / evitados) – 5 (resueltos con acuerdo documentado)</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Relación con el cliente y los proveedores</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¿El equipo buscó retroalimentación del profesor y del equipo par antes de la entrega?</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 (ninguna interacción) – 5 (interacción proactiva y documentada)</w:t>
            </w:r>
          </w:p>
        </w:tc>
      </w:tr>
    </w:tbl>
    <w:p>
      <w:pPr>
        <w:pStyle w:val="Heading1"/>
        <w:rPr/>
      </w:pPr>
      <w:r>
        <w:rPr>
          <w:color w:val="1F3B57"/>
        </w:rPr>
        <w:t>9. Autoevaluación y coevaluación individual</w:t>
      </w:r>
    </w:p>
    <w:p>
      <w:pPr>
        <w:pStyle w:val="Normal"/>
        <w:rPr/>
      </w:pPr>
      <w:r>
        <w:rPr>
          <w:b w:val="false"/>
          <w:i w:val="false"/>
        </w:rPr>
        <w:t>Cada estudiante llena, de forma individual y confidencial, una única matriz que combina su autoevaluación con la evaluación de cada uno de sus compañeros de equipo (incluyéndose a sí mismo en la primera fila).</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Integrante</w:t>
            </w:r>
          </w:p>
        </w:tc>
        <w:tc>
          <w:tcPr>
            <w:tcW w:w="1439"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Cumplimiento de tareas asignadas</w:t>
            </w:r>
          </w:p>
        </w:tc>
        <w:tc>
          <w:tcPr>
            <w:tcW w:w="1441"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Calidad técnica del aporte</w:t>
            </w:r>
          </w:p>
        </w:tc>
        <w:tc>
          <w:tcPr>
            <w:tcW w:w="1440"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Comunicación y colaboración</w:t>
            </w:r>
          </w:p>
        </w:tc>
        <w:tc>
          <w:tcPr>
            <w:tcW w:w="1439"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Cumplimiento de plazos internos</w:t>
            </w:r>
          </w:p>
        </w:tc>
        <w:tc>
          <w:tcPr>
            <w:tcW w:w="1440" w:type="dxa"/>
            <w:tcBorders>
              <w:bottom w:val="single" w:sz="18" w:space="0" w:color="4F81BD"/>
            </w:tcBorders>
            <w:shd w:color="auto" w:fill="D9E2F3" w:val="clear"/>
          </w:tcPr>
          <w:p>
            <w:pPr>
              <w:pStyle w:val="Normal"/>
              <w:widowControl w:val="false"/>
              <w:suppressAutoHyphens w:val="true"/>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Observación breve</w:t>
            </w:r>
          </w:p>
        </w:tc>
      </w:tr>
      <w:tr>
        <w:trPr/>
        <w:tc>
          <w:tcPr>
            <w:tcW w:w="144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Yo (autoevaluación)</w:t>
            </w:r>
          </w:p>
        </w:tc>
        <w:tc>
          <w:tcPr>
            <w:tcW w:w="143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441"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44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43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44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t>
            </w:r>
          </w:p>
        </w:tc>
      </w:tr>
      <w:tr>
        <w:trPr/>
        <w:tc>
          <w:tcPr>
            <w:tcW w:w="144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Compañero/a 2</w:t>
            </w:r>
          </w:p>
        </w:tc>
        <w:tc>
          <w:tcPr>
            <w:tcW w:w="143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441"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44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43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44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t>
            </w:r>
          </w:p>
        </w:tc>
      </w:tr>
      <w:tr>
        <w:trPr/>
        <w:tc>
          <w:tcPr>
            <w:tcW w:w="144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Compañero/a 3</w:t>
            </w:r>
          </w:p>
        </w:tc>
        <w:tc>
          <w:tcPr>
            <w:tcW w:w="143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441"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44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43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44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t>
            </w:r>
          </w:p>
        </w:tc>
      </w:tr>
      <w:tr>
        <w:trPr/>
        <w:tc>
          <w:tcPr>
            <w:tcW w:w="144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Compañero/a n</w:t>
            </w:r>
          </w:p>
        </w:tc>
        <w:tc>
          <w:tcPr>
            <w:tcW w:w="143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441"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44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43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44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t>
            </w:r>
          </w:p>
        </w:tc>
      </w:tr>
    </w:tbl>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LibreOffice/7.4.7.2$Linux_X86_64 LibreOffice_project/40$Build-2</Application>
  <AppVersion>15.0000</AppVersion>
  <Pages>7</Pages>
  <Words>1936</Words>
  <Characters>10851</Characters>
  <CharactersWithSpaces>12584</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2026-08-27T14:04:40Z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