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Universidad Santo Tomás · Maestría en Ciencia de Datos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Profundización I: Redes Neuronales — Deep Learning (EA-N-F-004)</w:t>
      </w:r>
    </w:p>
    <w:p>
      <w:pPr>
        <w:pBdr>
          <w:bottom w:val="single" w:color="1F4E79" w:sz="6" w:space="1"/>
        </w:pBd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Bitácora de uso de IA — Proyecto Centinela · Fase 1</w:t>
      </w:r>
    </w:p>
    <w:p>
      <w:pPr>
        <w:spacing w:after="140" w:before="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Autores: Camilo Chiquiza · Brian Lerma · Luz Villarraga  ·  Registro de interacciones con IA generativa (aceptado / modificado / rechazado)</w:t>
      </w:r>
    </w:p>
    <w:p>
      <w:pPr>
        <w:spacing w:after="140" w:before="0" w:line="252"/>
        <w:jc w:val="both"/>
      </w:pPr>
      <w:r>
        <w:rPr>
          <w:rFonts w:ascii="Arial" w:cs="Arial" w:eastAsia="Arial" w:hAnsi="Arial"/>
          <w:sz w:val="16"/>
          <w:szCs w:val="16"/>
        </w:rPr>
        <w:t xml:space="preserve">Esta bitácora registra las interacciones relevantes con IA generativa durante el desarrollo de la Fase 1, indicando para cada una qué se solicitó, qué devolvió la herramienta y qué se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aceptó, modificó o rechazó</w:t>
      </w:r>
      <w:r>
        <w:rPr>
          <w:rFonts w:ascii="Arial" w:cs="Arial" w:eastAsia="Arial" w:hAnsi="Arial"/>
          <w:sz w:val="16"/>
          <w:szCs w:val="16"/>
        </w:rPr>
        <w:t xml:space="preserve">, con su justificación. Conforme al criterio de uso responsable de la actividad, las decisiones de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rechazo y modificación</w:t>
      </w:r>
      <w:r>
        <w:rPr>
          <w:rFonts w:ascii="Arial" w:cs="Arial" w:eastAsia="Arial" w:hAnsi="Arial"/>
          <w:sz w:val="16"/>
          <w:szCs w:val="16"/>
        </w:rPr>
        <w:t xml:space="preserve"> son las que más evidencian criterio propio y verificación.</w:t>
      </w:r>
    </w:p>
    <w:tbl>
      <w:tblPr>
        <w:tblW w:type="dxa" w:w="11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00"/>
        <w:gridCol w:w="2750"/>
        <w:gridCol w:w="2750"/>
        <w:gridCol w:w="1100"/>
        <w:gridCol w:w="3050"/>
      </w:tblGrid>
      <w:tr>
        <w:trPr>
          <w:tblHeader/>
        </w:trP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 / tarea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se pidió a la IA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devolvió la 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Definición del problema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Sugerir un escenario de alerta temprana apto para la Fase 1 y ayudar a elegir entre opciones.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Propuso varios escenarios (agua, aire, incendios, salud, crédito) con su lógica y dificultad.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eligió 'Centinela del Río' por encajar con el contexto rural, tener ética clara y datos limpios. La decisión final de escenario fue propia.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Selección de datos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Proponer un dataset real de calidad de agua, no-Kaggle, con licencia clara.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Inicialmente apuntó al dataset 'Water Potability' de 9 variables (pH, dureza, sulfatos, etc.).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Rechazada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 verificar el origen, ese dataset proviene de Kaggle y sus mirrors, vetado por la política del curso. Se descartó pese a ser popular.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Selección de datos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Buscar una alternativa de agua genuinamente no-Kaggle con licencia trazable.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Identificó el UCI 'Water Quality Prediction' (id 733), CC BY 4.0, con cita APA y enlace.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Fuente verificada en la página oficial de UCI: licencia y trazabilidad confirmadas. Cumple la política de datos.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Propuesta de Datos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Redactar la Propuesta de Datos de una página en español formal.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Generó el documento Word con problema, cliente, modalidades, fuente, ética y continuidad.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Modificada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ajustó la extensión para que cupiera en una sola página (la actividad lo exige) recortando prosa redundante sin perder contenido evaluable.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Carga de datos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Cargar el dataset 733 en Colab con el paquete ucimlrepo (fetch_ucirepo).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Entregó el código estándar con fetch_ucirepo(id=733).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Rechazada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 ejecutarlo en Colab, lanzó DatasetNotFoundError: el 733 existe pero NO es importable por ucimlrepo (formato .mat no estándar). El código no servía y se descartó.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Carga de datos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Resolver la carga manteniendo el agua, sin recurrir a Kaggle.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Propuso varias rutas (USGS, cargar el .mat manualmente, o cambiar de dataset).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Modificada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optó por cargar el archivo .mat real. La IA pidió subir el archivo para inspeccionarlo en vez de adivinar su estructura: decisión correcta de no programar a ciegas.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Inspección del .mat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Abrir el archivo real y entender su estructura para construir la tabla.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Descubrió que los datos son una serie 37 estaciones × 705 días y que vienen normalizados (pH dividido por 10).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Hallazgo crítico verificado con el README y los valores reales: sin él, el umbral de riesgo 6,5–8,5 se habría aplicado mal. Se documentó en el notebook.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Construcción del notebook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Generar el notebook PyTorch completo (MLP logit, bucle explícito, Dropout, evaluación).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Produjo el notebook, pero una primera versión tenía un error: usaba la variable 'y_te' sin definirla.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Modificada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error se detectó al ejecutar el notebook de punta a punta con los datos reales. Se corrigió (y_test) y se reprobó antes de entregar. No se aceptó código sin verificar.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Resultados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Entrenar y evaluar el modelo con los datos reales.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Reportó exactitud 87,8 %, recall 0,84 en riesgo, y la tabla de sensibilidad al umbral.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Cifras reproducidas localmente con semilla fija. Coherentes con un problema de acidificación; se usaron como base del informe.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Informe técnico-ético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Redactar el informe en PDF (máx. 4 págs.) con las gráficas y la discusión ética.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Generó el PDF con figuras reales, tablas, reflexión FN/FP y referencias APA 7.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revisó visualmente página por página; estructura, figuras y cifras correctas. Las referencias se contrastaron con las fuentes reales.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Mejora a nivel Estratégico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Subir el modelo a nivel Estratégico: red más rica y evaluación más completa, sin romper la rúbrica.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Propuso MLP de 3 capas con BatchNorm, weight decay, scheduler, early stopping y pos_weight, más ROC-AUC, PR-AUC y umbral óptimo.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mejora se justifica por su efecto: pos_weight reduce falsos negativos (ética), early stopping y regularización mejoran la reproducibilidad. Se mantuvo el MLP desde cero que exige la Fase 1.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Validación de resultados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Confirmar que el modelo estratégico mejora de forma real y reproducible.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Reportó ROC-AUC 0,955, PR-AUC 0,929 y recall de riesgo 0,89 (FN bajaron de 659 a 435).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Aceptada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Cifras reproducidas localmente con semilla fija antes de incorporarlas al informe. La mejora frente a la versión básica es consistente y explicable, no fruto del azar.</w:t>
            </w:r>
          </w:p>
        </w:tc>
      </w:tr>
      <w:tr>
        <w:tc>
          <w:tcPr>
            <w:tcW w:type="dxa" w:w="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Visualización (marco del curso)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Alinear las gráficas con los criterios de visualización vistos en clase (Pulido): jerarquía, audiencia, ética visual.</w:t>
            </w:r>
          </w:p>
        </w:tc>
        <w:tc>
          <w:tcPr>
            <w:tcW w:type="dxa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Una primera figura comparaba dos pérdidas en escalas distintas, sugiriendo visualmente algo falso.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2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Modificada</w:t>
            </w:r>
          </w:p>
        </w:tc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20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detectó que esa comparación era engañosa (ética visual) y se reemplazó por train vs. validación del mismo modelo. Se añadieron figuras explicativas para el cliente y un log de decisiones visuales con referentes (Cairo, Few, Nussbaumer Knaflic, Munzner).</w:t>
            </w:r>
          </w:p>
        </w:tc>
      </w:tr>
    </w:tbl>
    <w:p>
      <w:pPr>
        <w:pStyle w:val="Heading1"/>
        <w:spacing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Auditoría a la IA (fallo concreto detectado y corregido)</w:t>
      </w:r>
    </w:p>
    <w:p>
      <w:pPr>
        <w:spacing w:after="100" w:before="0" w:line="252"/>
        <w:jc w:val="both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Caso auditado (registro 5 y 8). </w:t>
      </w:r>
      <w:r>
        <w:rPr>
          <w:rFonts w:ascii="Arial" w:cs="Arial" w:eastAsia="Arial" w:hAnsi="Arial"/>
          <w:sz w:val="16"/>
          <w:szCs w:val="16"/>
        </w:rPr>
        <w:t xml:space="preserve">La IA entregó dos veces código que no funcionaba: primero un `fetch_ucirepo(id=733)` que fallaba porque el dataset no es importable por ese paquete (formato .mat), y luego una versión del notebook con una variable indefinida (`y_te`). Ambos fallos se detectaron al </w:t>
      </w:r>
      <w:r>
        <w:rPr>
          <w:rFonts w:ascii="Arial" w:cs="Arial" w:eastAsia="Arial" w:hAnsi="Arial"/>
          <w:b/>
          <w:bCs/>
          <w:sz w:val="16"/>
          <w:szCs w:val="16"/>
        </w:rPr>
        <w:t xml:space="preserve">ejecutar el código de principio a fin</w:t>
      </w:r>
      <w:r>
        <w:rPr>
          <w:rFonts w:ascii="Arial" w:cs="Arial" w:eastAsia="Arial" w:hAnsi="Arial"/>
          <w:sz w:val="16"/>
          <w:szCs w:val="16"/>
        </w:rPr>
        <w:t xml:space="preserve">, no al leerlo. La corrección consistió en (1) cargar el archivo .mat directamente con `scipy.io.loadmat` tras inspeccionar su estructura real, y (2) reemplazar `y_te` por `y_test` y volver a ejecutar el notebook completo para confirmar que corría sin errores. La lección: el código generado por IA se verifica ejecutándolo, no se asume correcto.</w:t>
      </w:r>
    </w:p>
    <w:p>
      <w:pPr>
        <w:pBdr>
          <w:top w:val="single" w:color="BBBBBB" w:sz="4" w:space="4"/>
        </w:pBdr>
        <w:spacing w:before="60"/>
      </w:pPr>
      <w:r>
        <w:rPr>
          <w:rFonts w:ascii="Arial" w:cs="Arial" w:eastAsia="Arial" w:hAnsi="Arial"/>
          <w:i/>
          <w:iCs/>
          <w:color w:val="595959"/>
          <w:sz w:val="14"/>
          <w:szCs w:val="14"/>
        </w:rPr>
        <w:t xml:space="preserve">Herramienta de IA utilizada: asistente conversacional con ejecución de código. Todas las cifras y figuras del proyecto fueron reproducidas y verificadas por el autor antes de su entrega.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</dc:creator>
  <cp:lastModifiedBy>Un-named</cp:lastModifiedBy>
  <cp:revision>1</cp:revision>
  <dcterms:created xsi:type="dcterms:W3CDTF">2026-06-25T02:56:28.702Z</dcterms:created>
  <dcterms:modified xsi:type="dcterms:W3CDTF">2026-06-25T02:56:28.702Z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