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Universidad Santo Tomás · Maestría en Ciencia de Datos</w:t>
      </w:r>
    </w:p>
    <w:p>
      <w:pPr>
        <w:spacing w:after="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Profundización I: Redes Neuronales — Deep Learning (EA-N-F-004)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Proyecto Centinela · Fase 1 (Módulo 1) — Propuesta de Datos</w:t>
      </w:r>
    </w:p>
    <w:p>
      <w:pPr>
        <w:pBdr>
          <w:bottom w:val="single" w:color="1F4E79" w:sz="6" w:space="1"/>
        </w:pBd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Centinela del Río: alerta temprana de calidad del agua de consumo</w:t>
      </w:r>
    </w:p>
    <w:p>
      <w:pPr>
        <w:spacing w:after="100" w:before="30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Autores: Camilo Chiquiza · Brian Lerma · Luz Villarraga  ·  Modalidad: individual  ·  Fase 1 de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1. Problema y cliente</w:t>
      </w:r>
    </w:p>
    <w:p>
      <w:pPr>
        <w:spacing w:after="70" w:before="0" w:line="234"/>
        <w:jc w:val="both"/>
      </w:pPr>
      <w:r>
        <w:rPr>
          <w:rFonts w:ascii="Arial" w:cs="Arial" w:eastAsia="Arial" w:hAnsi="Arial"/>
          <w:sz w:val="17"/>
          <w:szCs w:val="17"/>
        </w:rPr>
        <w:t xml:space="preserve">El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Centinela del Río</w:t>
      </w:r>
      <w:r>
        <w:rPr>
          <w:rFonts w:ascii="Arial" w:cs="Arial" w:eastAsia="Arial" w:hAnsi="Arial"/>
          <w:sz w:val="17"/>
          <w:szCs w:val="17"/>
        </w:rPr>
        <w:t xml:space="preserve"> es un sistema de alerta temprana que predice, con un día de anticipación, si el agua de una fuente de abastecimiento quedará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fuera del rango de pH seguro para consumo humano</w:t>
      </w:r>
      <w:r>
        <w:rPr>
          <w:rFonts w:ascii="Arial" w:cs="Arial" w:eastAsia="Arial" w:hAnsi="Arial"/>
          <w:sz w:val="17"/>
          <w:szCs w:val="17"/>
        </w:rPr>
        <w:t xml:space="preserve"> (6,5–8,5 unidades, conforme a las guías de la Organización Mundial de la Salud). El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cliente</w:t>
      </w:r>
      <w:r>
        <w:rPr>
          <w:rFonts w:ascii="Arial" w:cs="Arial" w:eastAsia="Arial" w:hAnsi="Arial"/>
          <w:sz w:val="17"/>
          <w:szCs w:val="17"/>
        </w:rPr>
        <w:t xml:space="preserve"> es la junta administradora de un acueducto comunitario rural (JAAR), integrada por personas sin formación técnica en ciencia de datos, responsable de garantizar agua apta a la comunidad. Una alerta anticipada le permite tomar acciones preventivas —reforzar el monitoreo, ajustar la dosificación o suspender la captación— antes de que la población consuma agua fuera de norma.</w:t>
      </w:r>
    </w:p>
    <w:p>
      <w:pPr>
        <w:spacing w:after="70" w:before="0" w:line="234"/>
        <w:jc w:val="both"/>
      </w:pPr>
      <w:r>
        <w:rPr>
          <w:rFonts w:ascii="Arial" w:cs="Arial" w:eastAsia="Arial" w:hAnsi="Arial"/>
          <w:sz w:val="17"/>
          <w:szCs w:val="17"/>
        </w:rPr>
        <w:t xml:space="preserve">La variable objetivo es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binaria</w:t>
      </w:r>
      <w:r>
        <w:rPr>
          <w:rFonts w:ascii="Arial" w:cs="Arial" w:eastAsia="Arial" w:hAnsi="Arial"/>
          <w:sz w:val="17"/>
          <w:szCs w:val="17"/>
        </w:rPr>
        <w:t xml:space="preserve">: el evento de riesgo (etiqueta = 1) ocurre cuando el pH medio previsto para el día siguiente cae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fuera</w:t>
      </w:r>
      <w:r>
        <w:rPr>
          <w:rFonts w:ascii="Arial" w:cs="Arial" w:eastAsia="Arial" w:hAnsi="Arial"/>
          <w:sz w:val="17"/>
          <w:szCs w:val="17"/>
        </w:rPr>
        <w:t xml:space="preserve"> del intervalo seguro [6,5 ; 8,5]; la condición normal (etiqueta = 0) corresponde a un pH dentro del intervalo. El problema se formula así como una clasificación binaria, coherente con la línea base mediante un MLP.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2. Las dos modalidades del sistema completo y la modalidad que se aplana</w:t>
      </w:r>
    </w:p>
    <w:p>
      <w:pPr>
        <w:spacing w:after="40" w:before="0" w:line="234"/>
        <w:jc w:val="both"/>
      </w:pPr>
      <w:r>
        <w:rPr>
          <w:rFonts w:ascii="Arial" w:cs="Arial" w:eastAsia="Arial" w:hAnsi="Arial"/>
          <w:sz w:val="17"/>
          <w:szCs w:val="17"/>
        </w:rPr>
        <w:t xml:space="preserve">El sistema Centinela completo (visión a tres fases) se concibe como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multimodal</w:t>
      </w:r>
      <w:r>
        <w:rPr>
          <w:rFonts w:ascii="Arial" w:cs="Arial" w:eastAsia="Arial" w:hAnsi="Arial"/>
          <w:sz w:val="17"/>
          <w:szCs w:val="17"/>
        </w:rPr>
        <w:t xml:space="preserve">:</w:t>
      </w:r>
    </w:p>
    <w:p>
      <w:pPr>
        <w:pStyle w:val="ListParagraph"/>
        <w:numPr>
          <w:ilvl w:val="0"/>
          <w:numId w:val="2"/>
        </w:numPr>
        <w:spacing w:after="30" w:line="232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Modalidad serie temporal: </w:t>
      </w:r>
      <w:r>
        <w:rPr>
          <w:rFonts w:ascii="Arial" w:cs="Arial" w:eastAsia="Arial" w:hAnsi="Arial"/>
          <w:sz w:val="17"/>
          <w:szCs w:val="17"/>
        </w:rPr>
        <w:t xml:space="preserve">registros diarios de sensores físico-químicos de la fuente (oxígeno disuelto, temperatura, conductancia específica), que conforman una secuencia en el tiempo. Esta es la modalidad nativa de la Fase 2 mediante una arquitectura recurrente (RNN/LSTM/GRU).</w:t>
      </w:r>
    </w:p>
    <w:p>
      <w:pPr>
        <w:pStyle w:val="ListParagraph"/>
        <w:numPr>
          <w:ilvl w:val="0"/>
          <w:numId w:val="2"/>
        </w:numPr>
        <w:spacing w:after="30" w:line="232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Modalidad imagen: </w:t>
      </w:r>
      <w:r>
        <w:rPr>
          <w:rFonts w:ascii="Arial" w:cs="Arial" w:eastAsia="Arial" w:hAnsi="Arial"/>
          <w:sz w:val="17"/>
          <w:szCs w:val="17"/>
        </w:rPr>
        <w:t xml:space="preserve">fotografías de la fuente o de la lámina de agua (turbidez visible, presencia de sólidos o coloración), que en la Fase 2 se procesarían con una red convolucional (CNN) y se fusionarían con la serie.</w:t>
      </w:r>
    </w:p>
    <w:p>
      <w:pPr>
        <w:spacing w:after="70" w:before="0" w:line="234"/>
        <w:jc w:val="both"/>
      </w:pPr>
      <w:r>
        <w:rPr>
          <w:rFonts w:ascii="Arial" w:cs="Arial" w:eastAsia="Arial" w:hAnsi="Arial"/>
          <w:sz w:val="17"/>
          <w:szCs w:val="17"/>
        </w:rPr>
        <w:t xml:space="preserve">En esta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Fase 1 se aplana la modalidad serie temporal a una tabla</w:t>
      </w:r>
      <w:r>
        <w:rPr>
          <w:rFonts w:ascii="Arial" w:cs="Arial" w:eastAsia="Arial" w:hAnsi="Arial"/>
          <w:sz w:val="17"/>
          <w:szCs w:val="17"/>
        </w:rPr>
        <w:t xml:space="preserve">: cada instancia (día-sitio) se representa por un vector de características numéricas —máximos, mínimos y medias de oxígeno disuelto, temperatura y conductancia específica— y se predice el evento de riesgo del día siguiente. En la Fase 2, ese aplanamiento se reemplaza por la arquitectura recurrente nativa de la serie y se incorpora la segunda modalidad (imagen) mediante fusión.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3. Fuente de datos, licencia y enlace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Conjunto</w:t>
            </w:r>
          </w:p>
        </w:tc>
        <w:tc>
          <w:tcPr>
            <w:tcW w:type="dxa" w:w="7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Water Quality Prediction (id 733) — UCI Machine Learning Repository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Origen / financiación</w:t>
            </w:r>
          </w:p>
        </w:tc>
        <w:tc>
          <w:tcPr>
            <w:tcW w:type="dxa" w:w="7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Donado el 14/05/2022; financiado por la National Science Foundation (EE. UU.). Muestras diarias de 36 sitios de monitoreo en Georgia, EE. UU.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Tamaño</w:t>
            </w:r>
          </w:p>
        </w:tc>
        <w:tc>
          <w:tcPr>
            <w:tcW w:type="dxa" w:w="7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705 instancias; 11 índices físico-químicos de entrada; sin valores faltantes.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Acceso</w:t>
            </w:r>
          </w:p>
        </w:tc>
        <w:tc>
          <w:tcPr>
            <w:tcW w:type="dxa" w:w="7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Carga directa en Google Colab con el paquete ucimlrepo: fetch_ucirepo(id=733).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Licencia</w:t>
            </w:r>
          </w:p>
        </w:tc>
        <w:tc>
          <w:tcPr>
            <w:tcW w:type="dxa" w:w="7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Creative Commons Attribution 4.0 International (CC BY 4.0): permite compartir y adaptar para cualquier propósito dando el crédito apropiado.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Enlace</w:t>
            </w:r>
          </w:p>
        </w:tc>
        <w:tc>
          <w:tcPr>
            <w:tcW w:type="dxa" w:w="7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hyperlink w:history="1" r:id="rIdcwol_z-p82dop8yf2wlby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archive.ics.uci.edu/dataset/733/water+quality+prediction-1</w:t>
              </w:r>
            </w:hyperlink>
          </w:p>
        </w:tc>
      </w:tr>
    </w:tbl>
    <w:p>
      <w:pPr>
        <w:spacing w:after="80" w:before="60" w:line="234"/>
        <w:jc w:val="both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Cita (APA 7): </w:t>
      </w:r>
      <w:r>
        <w:rPr>
          <w:rFonts w:ascii="Arial" w:cs="Arial" w:eastAsia="Arial" w:hAnsi="Arial"/>
          <w:i/>
          <w:iCs/>
          <w:sz w:val="15"/>
          <w:szCs w:val="15"/>
        </w:rPr>
        <w:t xml:space="preserve">Zhao, L. (2019). Water Quality Prediction [Conjunto de datos]. UCI Machine Learning Repository. https://doi.org/10.1145/3339823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4. Por qué no es un reto ya resuelto (ni Kaggle)</w:t>
      </w:r>
    </w:p>
    <w:p>
      <w:pPr>
        <w:spacing w:after="70" w:before="0" w:line="234"/>
        <w:jc w:val="both"/>
      </w:pPr>
      <w:r>
        <w:rPr>
          <w:rFonts w:ascii="Arial" w:cs="Arial" w:eastAsia="Arial" w:hAnsi="Arial"/>
          <w:sz w:val="17"/>
          <w:szCs w:val="17"/>
        </w:rPr>
        <w:t xml:space="preserve">La fuente proviene del UCI Machine Learning Repository,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no de Kaggle ni de sus mirrors</w:t>
      </w:r>
      <w:r>
        <w:rPr>
          <w:rFonts w:ascii="Arial" w:cs="Arial" w:eastAsia="Arial" w:hAnsi="Arial"/>
          <w:sz w:val="17"/>
          <w:szCs w:val="17"/>
        </w:rPr>
        <w:t xml:space="preserve">, por lo que respeta la política de datos del curso. Su tarea original es de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regresión espacio-temporal</w:t>
      </w:r>
      <w:r>
        <w:rPr>
          <w:rFonts w:ascii="Arial" w:cs="Arial" w:eastAsia="Arial" w:hAnsi="Arial"/>
          <w:sz w:val="17"/>
          <w:szCs w:val="17"/>
        </w:rPr>
        <w:t xml:space="preserve"> (pronosticar el valor continuo de pH del día siguiente), no una clasificación binaria con solución pública establecida. La reformulación propuesta —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binarizar el pH pronosticado en torno al rango seguro 6,5–8,5 para construir un evento de alerta temprana</w:t>
      </w:r>
      <w:r>
        <w:rPr>
          <w:rFonts w:ascii="Arial" w:cs="Arial" w:eastAsia="Arial" w:hAnsi="Arial"/>
          <w:sz w:val="17"/>
          <w:szCs w:val="17"/>
        </w:rPr>
        <w:t xml:space="preserve">— es una decisión de diseño propia que exige justificar el umbral, la partición temporal y el costo de los errores. No es un benchmark depurado con respuesta conocida, sino un problema reencuadrado para un cliente y un propósito concretos.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5. Riesgos éticos</w:t>
      </w:r>
    </w:p>
    <w:p>
      <w:pPr>
        <w:pStyle w:val="ListParagraph"/>
        <w:numPr>
          <w:ilvl w:val="0"/>
          <w:numId w:val="2"/>
        </w:numPr>
        <w:spacing w:after="30" w:line="232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Falso negativo (el más costoso): </w:t>
      </w:r>
      <w:r>
        <w:rPr>
          <w:rFonts w:ascii="Arial" w:cs="Arial" w:eastAsia="Arial" w:hAnsi="Arial"/>
          <w:sz w:val="17"/>
          <w:szCs w:val="17"/>
        </w:rPr>
        <w:t xml:space="preserve">no alertar cuando el agua sí quedará fuera de norma. La comunidad consumiría agua potencialmente insegura sin prevención; el daño recae sobre la salud pública. Este error debe minimizarse de forma prioritaria.</w:t>
      </w:r>
    </w:p>
    <w:p>
      <w:pPr>
        <w:pStyle w:val="ListParagraph"/>
        <w:numPr>
          <w:ilvl w:val="0"/>
          <w:numId w:val="2"/>
        </w:numPr>
        <w:spacing w:after="30" w:line="232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Falso positivo: </w:t>
      </w:r>
      <w:r>
        <w:rPr>
          <w:rFonts w:ascii="Arial" w:cs="Arial" w:eastAsia="Arial" w:hAnsi="Arial"/>
          <w:sz w:val="17"/>
          <w:szCs w:val="17"/>
        </w:rPr>
        <w:t xml:space="preserve">alertar sin causa real. Genera costos de operación innecesarios (sobre-dosificación, suspensiones de captación) y, si se repite, erosiona la confianza de la comunidad en el sistema de alerta.</w:t>
      </w:r>
    </w:p>
    <w:p>
      <w:pPr>
        <w:pStyle w:val="ListParagraph"/>
        <w:numPr>
          <w:ilvl w:val="0"/>
          <w:numId w:val="2"/>
        </w:numPr>
        <w:spacing w:after="30" w:line="232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Sesgo de transferencia geográfica: </w:t>
      </w:r>
      <w:r>
        <w:rPr>
          <w:rFonts w:ascii="Arial" w:cs="Arial" w:eastAsia="Arial" w:hAnsi="Arial"/>
          <w:sz w:val="17"/>
          <w:szCs w:val="17"/>
        </w:rPr>
        <w:t xml:space="preserve">los datos provienen de Georgia (EE. UU.); aplicar el modelo a una fuente colombiana exige validación local, pues los rangos y dinámicas hídricas difieren. Se declara como limitación.</w:t>
      </w:r>
    </w:p>
    <w:p>
      <w:pPr>
        <w:pStyle w:val="ListParagraph"/>
        <w:numPr>
          <w:ilvl w:val="0"/>
          <w:numId w:val="2"/>
        </w:numPr>
        <w:spacing w:after="30" w:line="232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Uso responsable: </w:t>
      </w:r>
      <w:r>
        <w:rPr>
          <w:rFonts w:ascii="Arial" w:cs="Arial" w:eastAsia="Arial" w:hAnsi="Arial"/>
          <w:sz w:val="17"/>
          <w:szCs w:val="17"/>
        </w:rPr>
        <w:t xml:space="preserve">el sistema es una ayuda a la decisión, no un sustituto del criterio técnico ni del muestreo de laboratorio; la auditoría ética se anclará en el Marco Ético para la IA en Colombia (Minciencias, 2021).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En la Fase 2, la serie temporal aplanada evolucionará a una arquitectura recurrente nativa, incorporando la imagen mediante fusión multimodal.</w:t>
      </w:r>
    </w:p>
    <w:sectPr>
      <w:pgSz w:w="12240" w:h="15840" w:orient="portrait"/>
      <w:pgMar w:top="85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wol_z-p82dop8yf2wlby" Type="http://schemas.openxmlformats.org/officeDocument/2006/relationships/hyperlink" Target="https://archive.ics.uci.edu/dataset/733/water+quality+prediction-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Chiquiza, Brian Lerma, Luz Villarraga</dc:creator>
  <cp:lastModifiedBy>Un-named</cp:lastModifiedBy>
  <cp:revision>1</cp:revision>
  <dcterms:created xsi:type="dcterms:W3CDTF">2026-06-25T02:47:21.880Z</dcterms:created>
  <dcterms:modified xsi:type="dcterms:W3CDTF">2026-06-25T02:47:21.886Z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