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F41BD" w14:textId="77777777" w:rsidR="00574929" w:rsidRDefault="003418FF">
      <w:pPr>
        <w:spacing w:before="600" w:after="160"/>
        <w:jc w:val="center"/>
      </w:pPr>
      <w:r>
        <w:rPr>
          <w:rFonts w:ascii="Arial" w:eastAsia="Arial" w:hAnsi="Arial" w:cs="Arial"/>
          <w:b/>
          <w:bCs/>
          <w:color w:val="1F4E79"/>
          <w:sz w:val="34"/>
          <w:szCs w:val="34"/>
        </w:rPr>
        <w:t>PROYECTO CENTINELA — FASE 3</w:t>
      </w:r>
    </w:p>
    <w:p w14:paraId="2C19EA3F" w14:textId="77777777" w:rsidR="00574929" w:rsidRDefault="003418FF">
      <w:pPr>
        <w:spacing w:after="100"/>
        <w:jc w:val="center"/>
      </w:pPr>
      <w:r>
        <w:rPr>
          <w:rFonts w:ascii="Arial" w:eastAsia="Arial" w:hAnsi="Arial" w:cs="Arial"/>
          <w:b/>
          <w:bCs/>
          <w:color w:val="065A82"/>
          <w:sz w:val="26"/>
          <w:szCs w:val="26"/>
        </w:rPr>
        <w:t>Bitácora de Uso de Inteligencia Artificial</w:t>
      </w:r>
    </w:p>
    <w:p w14:paraId="793C2CA7" w14:textId="568FB91F" w:rsidR="00574929" w:rsidRDefault="003418FF">
      <w:pPr>
        <w:spacing w:before="120" w:after="600"/>
        <w:jc w:val="center"/>
      </w:pPr>
      <w:r>
        <w:rPr>
          <w:rFonts w:ascii="Arial" w:eastAsia="Arial" w:hAnsi="Arial" w:cs="Arial"/>
          <w:i/>
          <w:iCs/>
          <w:color w:val="555555"/>
          <w:sz w:val="21"/>
          <w:szCs w:val="21"/>
        </w:rPr>
        <w:t>Camilo Chiquiza  ·  Brian Lerma  ·  Luz Villarraga Universidad Santo Tomás  ·  Maestría en Ciencia de Datos  ·  2026</w:t>
      </w:r>
    </w:p>
    <w:p w14:paraId="148A0499" w14:textId="77777777" w:rsidR="00574929" w:rsidRDefault="003418FF">
      <w:pPr>
        <w:pBdr>
          <w:bottom w:val="single" w:sz="6" w:space="4" w:color="02C39A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1. Introducción</w:t>
      </w:r>
    </w:p>
    <w:p w14:paraId="0DDF13DD" w14:textId="77777777" w:rsidR="00574929" w:rsidRDefault="003418FF">
      <w:pPr>
        <w:spacing w:before="40" w:after="80"/>
      </w:pPr>
      <w:r>
        <w:rPr>
          <w:rFonts w:ascii="Arial" w:eastAsia="Arial" w:hAnsi="Arial" w:cs="Arial"/>
          <w:sz w:val="21"/>
          <w:szCs w:val="21"/>
        </w:rPr>
        <w:t>Este documento registra el uso de inteligencia artificial generativa durante el desarrollo de la Fase 3 del Proyecto Centinela. Se documenta de forma transparente cada interacción relevante: qué se pidió, qué devolvió la IA y qué se aceptó, modificó o rech</w:t>
      </w:r>
      <w:r>
        <w:rPr>
          <w:rFonts w:ascii="Arial" w:eastAsia="Arial" w:hAnsi="Arial" w:cs="Arial"/>
          <w:sz w:val="21"/>
          <w:szCs w:val="21"/>
        </w:rPr>
        <w:t>azó, con su justificación técnica.</w:t>
      </w:r>
    </w:p>
    <w:p w14:paraId="4209B431" w14:textId="77777777" w:rsidR="00574929" w:rsidRDefault="003418FF">
      <w:pPr>
        <w:spacing w:before="40" w:after="80"/>
      </w:pPr>
      <w:r>
        <w:rPr>
          <w:rFonts w:ascii="Arial" w:eastAsia="Arial" w:hAnsi="Arial" w:cs="Arial"/>
          <w:sz w:val="21"/>
          <w:szCs w:val="21"/>
        </w:rPr>
        <w:t>La herramienta utilizada fue Claude (Anthropic), accedida a través de claude.ai. Se usó como apoyo para la generación del notebook de Colab, la resolución de errores y la redacción de documentos. En ningún caso la IA tomó</w:t>
      </w:r>
      <w:r>
        <w:rPr>
          <w:rFonts w:ascii="Arial" w:eastAsia="Arial" w:hAnsi="Arial" w:cs="Arial"/>
          <w:sz w:val="21"/>
          <w:szCs w:val="21"/>
        </w:rPr>
        <w:t xml:space="preserve"> decisiones técnicas sin revisión del equipo.</w:t>
      </w:r>
    </w:p>
    <w:p w14:paraId="09528A67" w14:textId="77777777" w:rsidR="00574929" w:rsidRDefault="003418FF">
      <w:pPr>
        <w:pBdr>
          <w:bottom w:val="single" w:sz="6" w:space="4" w:color="02C39A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2. Alcance del uso de IA</w:t>
      </w:r>
    </w:p>
    <w:p w14:paraId="3E9459A6" w14:textId="77777777" w:rsidR="00574929" w:rsidRDefault="003418FF">
      <w:pPr>
        <w:spacing w:before="40" w:after="80"/>
      </w:pPr>
      <w:r>
        <w:rPr>
          <w:rFonts w:ascii="Arial" w:eastAsia="Arial" w:hAnsi="Arial" w:cs="Arial"/>
          <w:sz w:val="21"/>
          <w:szCs w:val="21"/>
        </w:rPr>
        <w:t>El uso de IA en la Fase 3 se concentró en:</w:t>
      </w:r>
    </w:p>
    <w:p w14:paraId="5C40130A" w14:textId="77777777" w:rsidR="00574929" w:rsidRDefault="003418FF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21"/>
          <w:szCs w:val="21"/>
        </w:rPr>
        <w:t>Generación del notebook completo para Google Colab con los 9 bloques de la fase</w:t>
      </w:r>
    </w:p>
    <w:p w14:paraId="21274964" w14:textId="77777777" w:rsidR="00574929" w:rsidRDefault="003418FF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21"/>
          <w:szCs w:val="21"/>
        </w:rPr>
        <w:t>Diagnóstico y corrección de errores durante la ejecución (Modu</w:t>
      </w:r>
      <w:r>
        <w:rPr>
          <w:rFonts w:ascii="Arial" w:eastAsia="Arial" w:hAnsi="Arial" w:cs="Arial"/>
          <w:sz w:val="21"/>
          <w:szCs w:val="21"/>
        </w:rPr>
        <w:t>leNotFoundError, incompatibilidades)</w:t>
      </w:r>
    </w:p>
    <w:p w14:paraId="7B37443C" w14:textId="77777777" w:rsidR="00574929" w:rsidRDefault="003418FF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21"/>
          <w:szCs w:val="21"/>
        </w:rPr>
        <w:t>Redacción del informe técnico y la bitácora</w:t>
      </w:r>
    </w:p>
    <w:p w14:paraId="1241B9DF" w14:textId="77777777" w:rsidR="00574929" w:rsidRDefault="003418FF">
      <w:pPr>
        <w:spacing w:before="40" w:after="80"/>
      </w:pPr>
      <w:r>
        <w:rPr>
          <w:rFonts w:ascii="Arial" w:eastAsia="Arial" w:hAnsi="Arial" w:cs="Arial"/>
          <w:sz w:val="21"/>
          <w:szCs w:val="21"/>
        </w:rPr>
        <w:t>Las decisiones técnicas sobre arquitectura, hiperparámetros e interpretación de resultados fueron tomadas por el equipo con base en la guía del profesor y los conceptos del cu</w:t>
      </w:r>
      <w:r>
        <w:rPr>
          <w:rFonts w:ascii="Arial" w:eastAsia="Arial" w:hAnsi="Arial" w:cs="Arial"/>
          <w:sz w:val="21"/>
          <w:szCs w:val="21"/>
        </w:rPr>
        <w:t>rso.</w:t>
      </w:r>
    </w:p>
    <w:p w14:paraId="7E844E17" w14:textId="77777777" w:rsidR="00574929" w:rsidRDefault="003418FF">
      <w:pPr>
        <w:pBdr>
          <w:bottom w:val="single" w:sz="6" w:space="4" w:color="02C39A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3. Registro detallado por componente</w:t>
      </w:r>
    </w:p>
    <w:p w14:paraId="34B4BD65" w14:textId="77777777" w:rsidR="00574929" w:rsidRDefault="003418FF">
      <w:pPr>
        <w:spacing w:before="180" w:after="60"/>
      </w:pPr>
      <w:r>
        <w:rPr>
          <w:rFonts w:ascii="Arial" w:eastAsia="Arial" w:hAnsi="Arial" w:cs="Arial"/>
          <w:b/>
          <w:bCs/>
          <w:color w:val="065A82"/>
          <w:sz w:val="24"/>
          <w:szCs w:val="24"/>
        </w:rPr>
        <w:t>3.1 Notebook de Colab — Configuración y pipeline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360"/>
      </w:tblGrid>
      <w:tr w:rsidR="00574929" w14:paraId="50F8DA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9B0B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420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2B62E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36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403F7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Decisión del equipo</w:t>
            </w:r>
          </w:p>
        </w:tc>
      </w:tr>
      <w:tr w:rsidR="00574929" w14:paraId="165DDF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42F0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Aceptado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E6E7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Estructura del notebook con 9 bloques: configuración GPU, pipeline tf.data y DataLoader, augmentation, entrenamiento FP16, cuantización, exportación y despliegue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EED2E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 verificó que la estructura cubriera todos los criterios de la rúbrica antes de correrlo</w:t>
            </w:r>
          </w:p>
        </w:tc>
      </w:tr>
      <w:tr w:rsidR="00574929" w14:paraId="609DA8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6A035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Aceptado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CE59F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Pipeline PyTorch con num_workers=2, pin_memory=True y prefetch_factor=2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1F2D6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 verificó que los parámetros fueran compatibles con Colab T4 y que el solapamiento CPU-GPU redujera el tiempo por batch</w:t>
            </w:r>
          </w:p>
        </w:tc>
      </w:tr>
      <w:tr w:rsidR="00574929" w14:paraId="74E6B2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DB445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Aceptado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97B5A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Pipeline tf.data con .shuffle() + .map(AUTO</w:t>
            </w: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TUNE) + .cache() + .batch() + .prefetch(AUTOTUNE)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260D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 revisó que el buffer de shuffle tuviera tamaño igual al dataset para evitar sesgo de barajado local</w:t>
            </w:r>
          </w:p>
        </w:tc>
      </w:tr>
      <w:tr w:rsidR="00574929" w14:paraId="2E93F5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66EDC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Aceptado con observación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C12A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El pipeline tf.data sin cache resultó más rápido que con cache en la primera </w:t>
            </w: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medición (278.7 ms vs 516.5 ms)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60E5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El equipo identificó que el cache tarda en llenarse la primera época. Se documentó en el informe que la comparación justa es a partir de la segunda época, no la primera</w:t>
            </w:r>
          </w:p>
        </w:tc>
      </w:tr>
    </w:tbl>
    <w:p w14:paraId="7D47A84E" w14:textId="77777777" w:rsidR="00574929" w:rsidRDefault="00574929">
      <w:pPr>
        <w:spacing w:before="120"/>
      </w:pPr>
    </w:p>
    <w:p w14:paraId="4110A535" w14:textId="77777777" w:rsidR="00574929" w:rsidRDefault="003418FF">
      <w:pPr>
        <w:spacing w:before="180" w:after="60"/>
      </w:pPr>
      <w:r>
        <w:rPr>
          <w:rFonts w:ascii="Arial" w:eastAsia="Arial" w:hAnsi="Arial" w:cs="Arial"/>
          <w:b/>
          <w:bCs/>
          <w:color w:val="065A82"/>
          <w:sz w:val="24"/>
          <w:szCs w:val="24"/>
        </w:rPr>
        <w:lastRenderedPageBreak/>
        <w:t>3.2 Data Augmentation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360"/>
      </w:tblGrid>
      <w:tr w:rsidR="00574929" w14:paraId="14ADC0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B93F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420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7B4F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36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3BDF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Decisión del equipo</w:t>
            </w:r>
          </w:p>
        </w:tc>
      </w:tr>
      <w:tr w:rsidR="00574929" w14:paraId="053186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9A545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Aceptado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64114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5 transformaciones: RandomCrop, RandomHorizontalFlip, RandomRotation(15°), ColorJitter leve, GaussianBlur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5D27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El equipo verificó que cada transformación respetara la semántica del problema: el agua puede verse desde distintos ángu</w:t>
            </w: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los y con distintas condiciones de luz</w:t>
            </w:r>
          </w:p>
        </w:tc>
      </w:tr>
      <w:tr w:rsidR="00574929" w14:paraId="543918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3797B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Modificado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84E9C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La IA sugirió ColorJitter con saturation=0.3 y hue=0.1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C71DE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 redujo a saturation=0.1 y hue=0.05 porque un cambio de color fuerte podría hacer que agua turbia (café) parezca limpia (azul), borrando la señal diagnóstica</w:t>
            </w:r>
          </w:p>
        </w:tc>
      </w:tr>
      <w:tr w:rsidR="00574929" w14:paraId="1B870D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08D73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Rechazado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433A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RandomVerticalFlip sugerido como transformación adicional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2E8BB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Se rechazó porque una foto </w:t>
            </w: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del agua invertida verticalmente no tiene sentido físico en el escenario de campo</w:t>
            </w:r>
          </w:p>
        </w:tc>
      </w:tr>
    </w:tbl>
    <w:p w14:paraId="2725559C" w14:textId="77777777" w:rsidR="00574929" w:rsidRDefault="00574929">
      <w:pPr>
        <w:spacing w:before="120"/>
      </w:pPr>
    </w:p>
    <w:p w14:paraId="5E520362" w14:textId="77777777" w:rsidR="00574929" w:rsidRDefault="003418FF">
      <w:pPr>
        <w:spacing w:before="180" w:after="60"/>
      </w:pPr>
      <w:r>
        <w:rPr>
          <w:rFonts w:ascii="Arial" w:eastAsia="Arial" w:hAnsi="Arial" w:cs="Arial"/>
          <w:b/>
          <w:bCs/>
          <w:color w:val="065A82"/>
          <w:sz w:val="24"/>
          <w:szCs w:val="24"/>
        </w:rPr>
        <w:t>3.3 Entrenamiento GPU con precisión mixta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360"/>
      </w:tblGrid>
      <w:tr w:rsidR="00574929" w14:paraId="4DFF94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ABE8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420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ACEF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36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23BDD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Decisión del equipo</w:t>
            </w:r>
          </w:p>
        </w:tc>
      </w:tr>
      <w:tr w:rsidR="00574929" w14:paraId="52E2DF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D797B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Aceptado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A562C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Implementación de GradScaler + autocast para FP16 con el patrón scaler.scale() → scaler.step() → scaler.update()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8C4CE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 verificó que el patrón fuera el correcto para PyTorch AMP y que el GradScaler evitara underflow numérico</w:t>
            </w:r>
          </w:p>
        </w:tc>
      </w:tr>
      <w:tr w:rsidR="00574929" w14:paraId="13D9B48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911CC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Aceptado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A563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Checkpointing cada 5 épocas guardando state_dict + estado del optimizador + mejor_loss_val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9E7C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 revisó que el checkpoint incluyera el optimizador para poder retomar el entrenamiento correctamente, no solo los pesos</w:t>
            </w:r>
          </w:p>
        </w:tc>
      </w:tr>
      <w:tr w:rsidR="00574929" w14:paraId="204701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1202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Aceptado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29956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ResNet-18 en lugar de ResNet-50 p</w:t>
            </w: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ara el entrenamiento de la Fase 3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6470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El equipo validó que ResNet-18 es más apropiado para el borde (11M parámetros vs 25M) y que con Transfer Learning sigue dando excelentes resultados</w:t>
            </w:r>
          </w:p>
        </w:tc>
      </w:tr>
      <w:tr w:rsidR="00574929" w14:paraId="1C1CB6B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5D7A6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Aceptado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EDF8F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Estimación de FP32 como FP16 × 1.8 para VRAM y × 1.4 para tiempo</w:t>
            </w: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por época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4C23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 documentó que son estimaciones ilustrativas basadas en literatura, no mediciones directas, ya que medir FP32 real requeriría un entrenamiento adicional</w:t>
            </w:r>
          </w:p>
        </w:tc>
      </w:tr>
    </w:tbl>
    <w:p w14:paraId="149AD983" w14:textId="77777777" w:rsidR="00574929" w:rsidRDefault="00574929">
      <w:pPr>
        <w:spacing w:before="120"/>
      </w:pPr>
    </w:p>
    <w:p w14:paraId="13972533" w14:textId="77777777" w:rsidR="00574929" w:rsidRDefault="003418FF">
      <w:pPr>
        <w:spacing w:before="180" w:after="60"/>
      </w:pPr>
      <w:r>
        <w:rPr>
          <w:rFonts w:ascii="Arial" w:eastAsia="Arial" w:hAnsi="Arial" w:cs="Arial"/>
          <w:b/>
          <w:bCs/>
          <w:color w:val="065A82"/>
          <w:sz w:val="24"/>
          <w:szCs w:val="24"/>
        </w:rPr>
        <w:t>3.4 Cuantización y exportación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200"/>
        <w:gridCol w:w="3360"/>
      </w:tblGrid>
      <w:tr w:rsidR="00574929" w14:paraId="2473CE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AC841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Acción</w:t>
            </w:r>
          </w:p>
        </w:tc>
        <w:tc>
          <w:tcPr>
            <w:tcW w:w="420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3E55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  <w:tc>
          <w:tcPr>
            <w:tcW w:w="336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F8C0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Decisión del equipo</w:t>
            </w:r>
          </w:p>
        </w:tc>
      </w:tr>
      <w:tr w:rsidR="00574929" w14:paraId="5185D8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965FA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Aceptado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9E99C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Cuantización dinámica INT8 con torch.quantization.quantize_dynamic sobre capas Linear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CB95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 verificó que la cuantización dinámica es la vía más directa para LiteRT y que no requiere datos de calibración adicionales</w:t>
            </w:r>
          </w:p>
        </w:tc>
      </w:tr>
      <w:tr w:rsidR="00574929" w14:paraId="67BE90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BAD1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Aceptado con observación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9B3A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El tamaño del modelo FP32 e INT8 resultó igual (44.8 MB)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BB580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El equipo identificó que la cuantización dinámica de PyTorch no siempre reduce el archivo .pth. Se documentó en el informe que la </w:t>
            </w: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lastRenderedPageBreak/>
              <w:t>reducción real ocurre en la conversión final</w:t>
            </w: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a .tflite</w:t>
            </w:r>
          </w:p>
        </w:tc>
      </w:tr>
      <w:tr w:rsidR="00574929" w14:paraId="3B2C12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DA2F5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lastRenderedPageBreak/>
              <w:t>Rechazado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4E12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La IA sugirió dynamo=True como argumento en torch.onnx.export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CE3CE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 rechazó porque dynamo=True es experimental y la guía del profesor lo menciona como caso de auditoría. Se usó la ruta estable con input_names, output_names y dynamic_axes</w:t>
            </w: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. El resultado verificó consistencia con diferencia máxima de 1.19e-07</w:t>
            </w:r>
          </w:p>
        </w:tc>
      </w:tr>
      <w:tr w:rsidR="00574929" w14:paraId="21ADBC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CC3F5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Aceptado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66358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Verificación de consistencia ONNX con np.allclose(atol=1e-4)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22E6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 ejecutó y verificó: resultado CONSISTENTE, diferencia máxima 1.19e-07, muy por debajo del umbral</w:t>
            </w:r>
          </w:p>
        </w:tc>
      </w:tr>
      <w:tr w:rsidR="00574929" w14:paraId="55ADA3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336A8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Aceptado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83E6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Mode</w:t>
            </w: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lo Keras implementado como ResNet50V2 (equivalente funcional a ResNet-18 en Keras)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50997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 revisó que ResNet50V2 con GlobalAveragePooling y clasificador nuevo es funcionalmente equivalente para el propósito de exportar a .keras y convertir a LiteRT</w:t>
            </w:r>
          </w:p>
        </w:tc>
      </w:tr>
    </w:tbl>
    <w:p w14:paraId="015B927C" w14:textId="77777777" w:rsidR="00574929" w:rsidRDefault="00574929">
      <w:pPr>
        <w:spacing w:before="120"/>
      </w:pPr>
    </w:p>
    <w:p w14:paraId="310F4B2E" w14:textId="77777777" w:rsidR="00574929" w:rsidRDefault="003418FF">
      <w:pPr>
        <w:spacing w:before="180" w:after="60"/>
      </w:pPr>
      <w:r>
        <w:rPr>
          <w:rFonts w:ascii="Arial" w:eastAsia="Arial" w:hAnsi="Arial" w:cs="Arial"/>
          <w:b/>
          <w:bCs/>
          <w:color w:val="065A82"/>
          <w:sz w:val="24"/>
          <w:szCs w:val="24"/>
        </w:rPr>
        <w:t>3.5 Corrección de errores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574929" w14:paraId="1170A4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3FD07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Error</w:t>
            </w:r>
          </w:p>
        </w:tc>
        <w:tc>
          <w:tcPr>
            <w:tcW w:w="300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C84E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Causa</w:t>
            </w:r>
          </w:p>
        </w:tc>
        <w:tc>
          <w:tcPr>
            <w:tcW w:w="336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7107E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Solución aplicada</w:t>
            </w:r>
          </w:p>
        </w:tc>
      </w:tr>
      <w:tr w:rsidR="00574929" w14:paraId="5BEC22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63D64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ModuleNotFoundError: No module named 'onnxscript'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DFB45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El paquete onnxscript no viene preinstalado en Colab y es requerido por torch.onnx en versiones recientes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6D05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 agregó onnxscript al Bloque 0 de instalación: !pip install onnx onnxruntime onnxscript -q</w:t>
            </w:r>
          </w:p>
        </w:tc>
      </w:tr>
      <w:tr w:rsidR="00574929" w14:paraId="05D58A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44A4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El notebook se detuvo al correr todo de una vez</w:t>
            </w:r>
          </w:p>
        </w:tc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0265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El error de onnxscript forzó la detención antes del Bloque 8</w:t>
            </w:r>
          </w:p>
        </w:tc>
        <w:tc>
          <w:tcPr>
            <w:tcW w:w="336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CD17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 instaló la librería faltante, se reinició el entorno y se volvió a correr todo desde el principio</w:t>
            </w:r>
          </w:p>
        </w:tc>
      </w:tr>
    </w:tbl>
    <w:p w14:paraId="6C21C6BE" w14:textId="77777777" w:rsidR="00574929" w:rsidRDefault="00574929">
      <w:pPr>
        <w:spacing w:before="120"/>
      </w:pPr>
    </w:p>
    <w:p w14:paraId="66D264C9" w14:textId="77777777" w:rsidR="00574929" w:rsidRDefault="003418FF">
      <w:pPr>
        <w:pBdr>
          <w:bottom w:val="single" w:sz="6" w:space="4" w:color="02C39A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4. Criterios de aceptación y rechazo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574929" w14:paraId="031407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1540E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Criteri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o</w:t>
            </w:r>
          </w:p>
        </w:tc>
        <w:tc>
          <w:tcPr>
            <w:tcW w:w="6360" w:type="dxa"/>
            <w:shd w:val="clear" w:color="auto" w:fill="0A234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592F" w14:textId="77777777" w:rsidR="00574929" w:rsidRDefault="003418FF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574929" w14:paraId="2A92DA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1AF5D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Verificación funcional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55BB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Todo código fue ejecutado en Colab con GPU T4 y todas las salidas verificadas antes de incluirlo en el entregable</w:t>
            </w:r>
          </w:p>
        </w:tc>
      </w:tr>
      <w:tr w:rsidR="00574929" w14:paraId="71FC15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D0DA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Coherencia con la guía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53481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 rechazó cualquier sugerencia que contradijera las instrucciones del profesor (ej: dynamo=True mencionado en la guía</w:t>
            </w: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 xml:space="preserve"> como caso de auditoría)</w:t>
            </w:r>
          </w:p>
        </w:tc>
      </w:tr>
      <w:tr w:rsidR="00574929" w14:paraId="59B550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67004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Semántica del dominio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4204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Las transformaciones de augmentation fueron evaluadas por su impacto en la señal diagnóstica del agua (color, textura, orientación)</w:t>
            </w:r>
          </w:p>
        </w:tc>
      </w:tr>
      <w:tr w:rsidR="00574929" w14:paraId="0E3D89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018CE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Comprensión del código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6117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Ningún bloque fue incluido sin que el equipo comprendiera su funcionamiento. Se añadieron comentario</w:t>
            </w:r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s explicativos a cada sección</w:t>
            </w:r>
          </w:p>
        </w:tc>
      </w:tr>
      <w:tr w:rsidR="00574929" w14:paraId="26AAE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DB472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Documentación de anomalías</w:t>
            </w:r>
          </w:p>
        </w:tc>
        <w:tc>
          <w:tcPr>
            <w:tcW w:w="6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6CCF" w14:textId="77777777" w:rsidR="00574929" w:rsidRDefault="003418FF">
            <w:r>
              <w:rPr>
                <w:rFonts w:ascii="Arial" w:eastAsia="Arial" w:hAnsi="Arial" w:cs="Arial"/>
                <w:color w:val="1E293B"/>
                <w:sz w:val="19"/>
                <w:szCs w:val="19"/>
              </w:rPr>
              <w:t>Resultados inesperados (cache más lento en primera época, tamaño INT8 igual a FP32) fueron investigados, explicados e incluidos en el informe</w:t>
            </w:r>
          </w:p>
        </w:tc>
      </w:tr>
    </w:tbl>
    <w:p w14:paraId="05E6F4A1" w14:textId="77777777" w:rsidR="00574929" w:rsidRDefault="00574929">
      <w:pPr>
        <w:spacing w:before="120"/>
      </w:pPr>
    </w:p>
    <w:p w14:paraId="08437904" w14:textId="77777777" w:rsidR="00574929" w:rsidRDefault="003418FF">
      <w:pPr>
        <w:pBdr>
          <w:bottom w:val="single" w:sz="6" w:space="4" w:color="02C39A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lastRenderedPageBreak/>
        <w:t>5. Caso de auditoría documentado</w:t>
      </w:r>
    </w:p>
    <w:p w14:paraId="1F864E98" w14:textId="77777777" w:rsidR="00574929" w:rsidRDefault="003418FF">
      <w:pPr>
        <w:spacing w:before="180" w:after="60"/>
      </w:pPr>
      <w:r>
        <w:rPr>
          <w:rFonts w:ascii="Arial" w:eastAsia="Arial" w:hAnsi="Arial" w:cs="Arial"/>
          <w:b/>
          <w:bCs/>
          <w:color w:val="C0392B"/>
          <w:sz w:val="24"/>
          <w:szCs w:val="24"/>
        </w:rPr>
        <w:t>dynamo=True como únic</w:t>
      </w:r>
      <w:r>
        <w:rPr>
          <w:rFonts w:ascii="Arial" w:eastAsia="Arial" w:hAnsi="Arial" w:cs="Arial"/>
          <w:b/>
          <w:bCs/>
          <w:color w:val="C0392B"/>
          <w:sz w:val="24"/>
          <w:szCs w:val="24"/>
        </w:rPr>
        <w:t>a vía de exportación ONNX</w:t>
      </w:r>
    </w:p>
    <w:p w14:paraId="7E81E346" w14:textId="77777777" w:rsidR="00574929" w:rsidRDefault="003418FF">
      <w:pPr>
        <w:spacing w:before="40" w:after="8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Sugerencia de la IA: </w:t>
      </w:r>
      <w:r>
        <w:rPr>
          <w:rFonts w:ascii="Arial" w:eastAsia="Arial" w:hAnsi="Arial" w:cs="Arial"/>
          <w:sz w:val="21"/>
          <w:szCs w:val="21"/>
        </w:rPr>
        <w:t>Usar torch.onnx.export con dynamo=True como argumento principal.</w:t>
      </w:r>
    </w:p>
    <w:p w14:paraId="57F8EE43" w14:textId="77777777" w:rsidR="00574929" w:rsidRDefault="003418FF">
      <w:pPr>
        <w:spacing w:before="40" w:after="8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Por qué se rechazó: </w:t>
      </w:r>
      <w:r>
        <w:rPr>
          <w:rFonts w:ascii="Arial" w:eastAsia="Arial" w:hAnsi="Arial" w:cs="Arial"/>
          <w:sz w:val="21"/>
          <w:szCs w:val="21"/>
        </w:rPr>
        <w:t xml:space="preserve">dynamo=True es una API experimental introducida en PyTorch 2.0 que no es estable en todas las versiones. La guía del profesor menciona explícitamente este caso como ejemplo de auditoría: 'Si la herramienta propone dynamo=True como única vía y falla en una </w:t>
      </w:r>
      <w:r>
        <w:rPr>
          <w:rFonts w:ascii="Arial" w:eastAsia="Arial" w:hAnsi="Arial" w:cs="Arial"/>
          <w:sz w:val="21"/>
          <w:szCs w:val="21"/>
        </w:rPr>
        <w:t>versión que no lo soporta, corregir hacia la ruta estable es un buen caso de auditoría documentada.'</w:t>
      </w:r>
    </w:p>
    <w:p w14:paraId="03D967AC" w14:textId="77777777" w:rsidR="00574929" w:rsidRDefault="003418FF">
      <w:pPr>
        <w:spacing w:before="40" w:after="8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Corrección aplicada: </w:t>
      </w:r>
      <w:r>
        <w:rPr>
          <w:rFonts w:ascii="Arial" w:eastAsia="Arial" w:hAnsi="Arial" w:cs="Arial"/>
          <w:sz w:val="21"/>
          <w:szCs w:val="21"/>
        </w:rPr>
        <w:t>Se usó la ruta estable con input_names=['entrada'], output_names=['salida'], dynamic_axes={'entrada': {0: 'lote'}, 'salida': {0: 'lote</w:t>
      </w:r>
      <w:r>
        <w:rPr>
          <w:rFonts w:ascii="Arial" w:eastAsia="Arial" w:hAnsi="Arial" w:cs="Arial"/>
          <w:sz w:val="21"/>
          <w:szCs w:val="21"/>
        </w:rPr>
        <w:t>'}}.</w:t>
      </w:r>
    </w:p>
    <w:p w14:paraId="466AD11B" w14:textId="77777777" w:rsidR="00574929" w:rsidRDefault="003418FF">
      <w:pPr>
        <w:spacing w:before="40" w:after="80"/>
      </w:pPr>
      <w:r>
        <w:rPr>
          <w:rFonts w:ascii="Arial" w:eastAsia="Arial" w:hAnsi="Arial" w:cs="Arial"/>
          <w:b/>
          <w:bCs/>
          <w:sz w:val="21"/>
          <w:szCs w:val="21"/>
        </w:rPr>
        <w:t xml:space="preserve">Resultado: </w:t>
      </w:r>
      <w:r>
        <w:rPr>
          <w:rFonts w:ascii="Arial" w:eastAsia="Arial" w:hAnsi="Arial" w:cs="Arial"/>
          <w:sz w:val="21"/>
          <w:szCs w:val="21"/>
        </w:rPr>
        <w:t>El modelo exportado verificó consistencia perfecta con el modelo PyTorch (diferencia máxima 1.19e-07, umbral 1e-4). La ruta estable funcionó correctamente en PyTorch 2.11.0+cu128 en Colab.</w:t>
      </w:r>
    </w:p>
    <w:p w14:paraId="0AE4C550" w14:textId="77777777" w:rsidR="00574929" w:rsidRDefault="003418FF">
      <w:pPr>
        <w:pBdr>
          <w:bottom w:val="single" w:sz="6" w:space="4" w:color="02C39A"/>
        </w:pBdr>
        <w:spacing w:before="280" w:after="10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6. Reflexión sobre el uso de IA</w:t>
      </w:r>
    </w:p>
    <w:p w14:paraId="05725300" w14:textId="77777777" w:rsidR="00574929" w:rsidRDefault="003418FF">
      <w:pPr>
        <w:spacing w:before="40" w:after="80"/>
      </w:pPr>
      <w:r>
        <w:rPr>
          <w:rFonts w:ascii="Arial" w:eastAsia="Arial" w:hAnsi="Arial" w:cs="Arial"/>
          <w:sz w:val="21"/>
          <w:szCs w:val="21"/>
        </w:rPr>
        <w:t xml:space="preserve">El uso de IA en la </w:t>
      </w:r>
      <w:r>
        <w:rPr>
          <w:rFonts w:ascii="Arial" w:eastAsia="Arial" w:hAnsi="Arial" w:cs="Arial"/>
          <w:sz w:val="21"/>
          <w:szCs w:val="21"/>
        </w:rPr>
        <w:t>Fase 3 fue más eficiente que en fases anteriores gracias al contexto acumulado del proyecto. Sin embargo, el equipo identifica las siguientes limitaciones:</w:t>
      </w:r>
    </w:p>
    <w:p w14:paraId="0DE6DEAD" w14:textId="77777777" w:rsidR="00574929" w:rsidRDefault="003418FF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21"/>
          <w:szCs w:val="21"/>
        </w:rPr>
        <w:t>La IA sugirió dynamo=True sin advertir que es experimental, lo que habría causado fallos en versione</w:t>
      </w:r>
      <w:r>
        <w:rPr>
          <w:rFonts w:ascii="Arial" w:eastAsia="Arial" w:hAnsi="Arial" w:cs="Arial"/>
          <w:sz w:val="21"/>
          <w:szCs w:val="21"/>
        </w:rPr>
        <w:t>s anteriores de PyTorch.</w:t>
      </w:r>
    </w:p>
    <w:p w14:paraId="6CF944BF" w14:textId="77777777" w:rsidR="00574929" w:rsidRDefault="003418FF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21"/>
          <w:szCs w:val="21"/>
        </w:rPr>
        <w:t>La sugerencia de RandomVerticalFlip como augmentation no consideró la semántica física del escenario de campo.</w:t>
      </w:r>
    </w:p>
    <w:p w14:paraId="31CF528B" w14:textId="77777777" w:rsidR="00574929" w:rsidRDefault="003418FF">
      <w:pPr>
        <w:pStyle w:val="Prrafodelista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sz w:val="21"/>
          <w:szCs w:val="21"/>
        </w:rPr>
        <w:t>El comportamiento del cache en tf.data requirió que el equipo investigara por qué el resultado fue contraintuitivo en la</w:t>
      </w:r>
      <w:r>
        <w:rPr>
          <w:rFonts w:ascii="Arial" w:eastAsia="Arial" w:hAnsi="Arial" w:cs="Arial"/>
          <w:sz w:val="21"/>
          <w:szCs w:val="21"/>
        </w:rPr>
        <w:t xml:space="preserve"> primera época.</w:t>
      </w:r>
    </w:p>
    <w:p w14:paraId="799E5B69" w14:textId="77777777" w:rsidR="00574929" w:rsidRDefault="003418FF">
      <w:pPr>
        <w:spacing w:before="40" w:after="80"/>
      </w:pPr>
      <w:r>
        <w:rPr>
          <w:rFonts w:ascii="Arial" w:eastAsia="Arial" w:hAnsi="Arial" w:cs="Arial"/>
          <w:sz w:val="21"/>
          <w:szCs w:val="21"/>
        </w:rPr>
        <w:t>En todos los casos, el criterio técnico del equipo corrigió o rechazó las sugerencias antes de incluirlas en el entregable. La IA aceleró la generación de código base pero no reemplazó la comprensión del dominio ni la validación de resultad</w:t>
      </w:r>
      <w:r>
        <w:rPr>
          <w:rFonts w:ascii="Arial" w:eastAsia="Arial" w:hAnsi="Arial" w:cs="Arial"/>
          <w:sz w:val="21"/>
          <w:szCs w:val="21"/>
        </w:rPr>
        <w:t>os.</w:t>
      </w:r>
    </w:p>
    <w:p w14:paraId="4B25BED5" w14:textId="2206A2E1" w:rsidR="00574929" w:rsidRDefault="003418FF">
      <w:pPr>
        <w:spacing w:before="400"/>
        <w:jc w:val="center"/>
      </w:pPr>
      <w:r>
        <w:rPr>
          <w:rFonts w:ascii="Arial" w:eastAsia="Arial" w:hAnsi="Arial" w:cs="Arial"/>
          <w:i/>
          <w:iCs/>
          <w:color w:val="888888"/>
          <w:sz w:val="18"/>
          <w:szCs w:val="18"/>
        </w:rPr>
        <w:t>Universidad Santo Tomás  ·  Maestría en Ciencia de Datos  ·  2026</w:t>
      </w:r>
    </w:p>
    <w:sectPr w:rsidR="0057492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17855"/>
    <w:multiLevelType w:val="hybridMultilevel"/>
    <w:tmpl w:val="34701E26"/>
    <w:lvl w:ilvl="0" w:tplc="D99A7DF6">
      <w:start w:val="1"/>
      <w:numFmt w:val="bullet"/>
      <w:lvlText w:val="•"/>
      <w:lvlJc w:val="left"/>
      <w:pPr>
        <w:ind w:left="720" w:hanging="360"/>
      </w:pPr>
    </w:lvl>
    <w:lvl w:ilvl="1" w:tplc="DF401EE6">
      <w:numFmt w:val="decimal"/>
      <w:lvlText w:val=""/>
      <w:lvlJc w:val="left"/>
    </w:lvl>
    <w:lvl w:ilvl="2" w:tplc="C288736C">
      <w:numFmt w:val="decimal"/>
      <w:lvlText w:val=""/>
      <w:lvlJc w:val="left"/>
    </w:lvl>
    <w:lvl w:ilvl="3" w:tplc="9AAC304A">
      <w:numFmt w:val="decimal"/>
      <w:lvlText w:val=""/>
      <w:lvlJc w:val="left"/>
    </w:lvl>
    <w:lvl w:ilvl="4" w:tplc="EF121ACE">
      <w:numFmt w:val="decimal"/>
      <w:lvlText w:val=""/>
      <w:lvlJc w:val="left"/>
    </w:lvl>
    <w:lvl w:ilvl="5" w:tplc="B6323804">
      <w:numFmt w:val="decimal"/>
      <w:lvlText w:val=""/>
      <w:lvlJc w:val="left"/>
    </w:lvl>
    <w:lvl w:ilvl="6" w:tplc="634239E0">
      <w:numFmt w:val="decimal"/>
      <w:lvlText w:val=""/>
      <w:lvlJc w:val="left"/>
    </w:lvl>
    <w:lvl w:ilvl="7" w:tplc="9A4E3224">
      <w:numFmt w:val="decimal"/>
      <w:lvlText w:val=""/>
      <w:lvlJc w:val="left"/>
    </w:lvl>
    <w:lvl w:ilvl="8" w:tplc="D7F45000">
      <w:numFmt w:val="decimal"/>
      <w:lvlText w:val=""/>
      <w:lvlJc w:val="left"/>
    </w:lvl>
  </w:abstractNum>
  <w:abstractNum w:abstractNumId="1" w15:restartNumberingAfterBreak="0">
    <w:nsid w:val="42B02DDC"/>
    <w:multiLevelType w:val="hybridMultilevel"/>
    <w:tmpl w:val="0F20866C"/>
    <w:lvl w:ilvl="0" w:tplc="73FAE1F6">
      <w:start w:val="1"/>
      <w:numFmt w:val="bullet"/>
      <w:lvlText w:val="●"/>
      <w:lvlJc w:val="left"/>
      <w:pPr>
        <w:ind w:left="720" w:hanging="360"/>
      </w:pPr>
    </w:lvl>
    <w:lvl w:ilvl="1" w:tplc="22F8CC72">
      <w:start w:val="1"/>
      <w:numFmt w:val="bullet"/>
      <w:lvlText w:val="○"/>
      <w:lvlJc w:val="left"/>
      <w:pPr>
        <w:ind w:left="1440" w:hanging="360"/>
      </w:pPr>
    </w:lvl>
    <w:lvl w:ilvl="2" w:tplc="AFC80010">
      <w:start w:val="1"/>
      <w:numFmt w:val="bullet"/>
      <w:lvlText w:val="■"/>
      <w:lvlJc w:val="left"/>
      <w:pPr>
        <w:ind w:left="2160" w:hanging="360"/>
      </w:pPr>
    </w:lvl>
    <w:lvl w:ilvl="3" w:tplc="A5DA24E4">
      <w:start w:val="1"/>
      <w:numFmt w:val="bullet"/>
      <w:lvlText w:val="●"/>
      <w:lvlJc w:val="left"/>
      <w:pPr>
        <w:ind w:left="2880" w:hanging="360"/>
      </w:pPr>
    </w:lvl>
    <w:lvl w:ilvl="4" w:tplc="94AC0BBC">
      <w:start w:val="1"/>
      <w:numFmt w:val="bullet"/>
      <w:lvlText w:val="○"/>
      <w:lvlJc w:val="left"/>
      <w:pPr>
        <w:ind w:left="3600" w:hanging="360"/>
      </w:pPr>
    </w:lvl>
    <w:lvl w:ilvl="5" w:tplc="7A964B42">
      <w:start w:val="1"/>
      <w:numFmt w:val="bullet"/>
      <w:lvlText w:val="■"/>
      <w:lvlJc w:val="left"/>
      <w:pPr>
        <w:ind w:left="4320" w:hanging="360"/>
      </w:pPr>
    </w:lvl>
    <w:lvl w:ilvl="6" w:tplc="B888BAEC">
      <w:start w:val="1"/>
      <w:numFmt w:val="bullet"/>
      <w:lvlText w:val="●"/>
      <w:lvlJc w:val="left"/>
      <w:pPr>
        <w:ind w:left="5040" w:hanging="360"/>
      </w:pPr>
    </w:lvl>
    <w:lvl w:ilvl="7" w:tplc="8BE8C8B2">
      <w:start w:val="1"/>
      <w:numFmt w:val="bullet"/>
      <w:lvlText w:val="●"/>
      <w:lvlJc w:val="left"/>
      <w:pPr>
        <w:ind w:left="5760" w:hanging="360"/>
      </w:pPr>
    </w:lvl>
    <w:lvl w:ilvl="8" w:tplc="DD382C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4929"/>
    <w:rsid w:val="003418FF"/>
    <w:rsid w:val="00574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9D703"/>
  <w15:docId w15:val="{4CA2EE66-3E0B-4210-BD39-8164B574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1314</Words>
  <Characters>7230</Characters>
  <Application>Microsoft Office Word</Application>
  <DocSecurity>0</DocSecurity>
  <Lines>60</Lines>
  <Paragraphs>17</Paragraphs>
  <ScaleCrop>false</ScaleCrop>
  <Company/>
  <LinksUpToDate>false</LinksUpToDate>
  <CharactersWithSpaces>8527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Steven Lerma Maceto</cp:lastModifiedBy>
  <cp:revision>3</cp:revision>
  <dcterms:created xsi:type="dcterms:W3CDTF">2026-07-20T23:21:00Z</dcterms:created>
  <dcterms:modified xsi:type="dcterms:W3CDTF">2026-07-21T00:04:00Z</dcterms:modified>
</cp:coreProperties>
</file>