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 w:after="40"/>
      </w:pPr>
      <w:r>
        <w:t xml:space="preserve"/>
      </w:r>
    </w:p>
    <w:p>
      <w:pPr>
        <w:spacing w:before="40" w:after="40"/>
      </w:pPr>
      <w:r>
        <w:t xml:space="preserve"/>
      </w:r>
    </w:p>
    <w:p>
      <w:pPr>
        <w:spacing w:before="40" w:after="40"/>
      </w:pPr>
      <w:r>
        <w:t xml:space="preserve"/>
      </w:r>
    </w:p>
    <w:p>
      <w:pPr>
        <w:spacing w:before="40" w:after="40"/>
      </w:pPr>
      <w:r>
        <w:t xml:space="preserve"/>
      </w:r>
    </w:p>
    <w:p>
      <w:pPr>
        <w:spacing w:before="40" w:after="40"/>
      </w:pPr>
      <w:r>
        <w:t xml:space="preserve"/>
      </w:r>
    </w:p>
    <w:p>
      <w:pPr>
        <w:spacing w:before="0" w:after="100"/>
        <w:jc w:val="center"/>
      </w:pPr>
      <w:r>
        <w:rPr>
          <w:rFonts w:ascii="Arial" w:cs="Arial" w:eastAsia="Arial" w:hAnsi="Arial"/>
          <w:b/>
          <w:bCs/>
          <w:color w:val="D4500A"/>
          <w:sz w:val="22"/>
          <w:szCs w:val="22"/>
        </w:rPr>
        <w:t xml:space="preserve">COMPETITIVE POSITIONING RESEARCH</w:t>
      </w:r>
    </w:p>
    <w:p>
      <w:pPr>
        <w:spacing w:before="0" w:after="120"/>
        <w:jc w:val="center"/>
      </w:pPr>
      <w:r>
        <w:rPr>
          <w:rFonts w:ascii="Arial" w:cs="Arial" w:eastAsia="Arial" w:hAnsi="Arial"/>
          <w:b/>
          <w:bCs/>
          <w:color w:val="0A2342"/>
          <w:sz w:val="52"/>
          <w:szCs w:val="52"/>
        </w:rPr>
        <w:t xml:space="preserve">StrandedGas.pro vs. MCF.digital</w:t>
      </w:r>
    </w:p>
    <w:p>
      <w:pPr>
        <w:spacing w:before="0" w:after="60"/>
        <w:jc w:val="center"/>
      </w:pPr>
      <w:r>
        <w:rPr>
          <w:rFonts w:ascii="Arial" w:cs="Arial" w:eastAsia="Arial" w:hAnsi="Arial"/>
          <w:color w:val="666666"/>
          <w:sz w:val="26"/>
          <w:szCs w:val="26"/>
        </w:rPr>
        <w:t xml:space="preserve">Business Models, Services, and Go-to-Market Architecture</w:t>
      </w:r>
    </w:p>
    <w:p>
      <w:pPr>
        <w:pBdr>
          <w:bottom w:val="single" w:color="D4500A" w:sz="6" w:space="4"/>
        </w:pBdr>
        <w:spacing w:before="60" w:after="240"/>
        <w:jc w:val="center"/>
      </w:pPr>
      <w:r>
        <w:t xml:space="preserve"/>
      </w:r>
    </w:p>
    <w:p>
      <w:pPr>
        <w:spacing w:before="0" w:after="60"/>
        <w:jc w:val="center"/>
      </w:pPr>
      <w:r>
        <w:rPr>
          <w:rFonts w:ascii="Arial" w:cs="Arial" w:eastAsia="Arial" w:hAnsi="Arial"/>
          <w:color w:val="666666"/>
          <w:sz w:val="21"/>
          <w:szCs w:val="21"/>
        </w:rPr>
        <w:t xml:space="preserve">February 26, 2026</w:t>
      </w:r>
    </w:p>
    <w:p>
      <w:pPr>
        <w:spacing w:before="0" w:after="60"/>
        <w:jc w:val="center"/>
      </w:pPr>
      <w:r>
        <w:rPr>
          <w:rFonts w:ascii="Arial" w:cs="Arial" w:eastAsia="Arial" w:hAnsi="Arial"/>
          <w:i/>
          <w:iCs/>
          <w:color w:val="666666"/>
          <w:sz w:val="21"/>
          <w:szCs w:val="21"/>
        </w:rPr>
        <w:t xml:space="preserve">Prepared for: MCF.digital internal strategy use</w:t>
      </w:r>
    </w:p>
    <w:p>
      <w:pPr>
        <w:spacing w:before="0" w:after="60"/>
        <w:jc w:val="center"/>
      </w:pPr>
      <w:r>
        <w:rPr>
          <w:rFonts w:ascii="Arial" w:cs="Arial" w:eastAsia="Arial" w:hAnsi="Arial"/>
          <w:i/>
          <w:iCs/>
          <w:color w:val="666666"/>
          <w:sz w:val="20"/>
          <w:szCs w:val="20"/>
        </w:rPr>
        <w:t xml:space="preserve">Confidential — Not for external distribution</w:t>
      </w:r>
    </w:p>
    <w:p>
      <w:r>
        <w:br w:type="page"/>
      </w:r>
    </w:p>
    <w:p>
      <w:pPr>
        <w:pStyle w:val="Heading1"/>
        <w:spacing w:before="360" w:after="140"/>
      </w:pPr>
      <w:r>
        <w:rPr>
          <w:rFonts w:ascii="Arial" w:cs="Arial" w:eastAsia="Arial" w:hAnsi="Arial"/>
          <w:b/>
          <w:bCs/>
          <w:color w:val="0A2342"/>
          <w:sz w:val="30"/>
          <w:szCs w:val="30"/>
        </w:rPr>
        <w:t xml:space="preserve">Executive Summary</w:t>
      </w:r>
    </w:p>
    <w:p>
      <w:pPr>
        <w:pBdr>
          <w:bottom w:val="single" w:color="C8D8E8" w:sz="4" w:space="1"/>
        </w:pBdr>
        <w:spacing w:before="180" w:after="180"/>
      </w:pPr>
      <w:r>
        <w:t xml:space="preserve"/>
      </w:r>
    </w:p>
    <w:p>
      <w:pPr>
        <w:spacing w:before="80" w:after="80"/>
      </w:pPr>
      <w:r>
        <w:rPr>
          <w:rFonts w:ascii="Arial" w:cs="Arial" w:eastAsia="Arial" w:hAnsi="Arial"/>
          <w:color w:val="2B2B2B"/>
          <w:sz w:val="21"/>
          <w:szCs w:val="21"/>
        </w:rPr>
        <w:t xml:space="preserve">This document compares three properties competing in the stranded gas monetization and distributed compute space: StrandedGas.pro, MCF.digital, and tools.mcf.digital (currently in development at on360.me). The analysis is grounded in what each property explicitly states on its public-facing pages — not implied features, not aspirational roadmaps.</w:t>
      </w:r>
    </w:p>
    <w:p>
      <w:pPr>
        <w:spacing w:before="40" w:after="4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8" w:val="clear"/>
            <w:tcMar>
              <w:top w:type="dxa" w:w="160"/>
              <w:left w:type="dxa" w:w="220"/>
              <w:bottom w:type="dxa" w:w="160"/>
              <w:right w:type="dxa" w:w="220"/>
            </w:tcMar>
          </w:tcPr>
          <w:p>
            <w:pPr>
              <w:spacing w:before="0" w:after="80"/>
            </w:pPr>
            <w:r>
              <w:rPr>
                <w:rFonts w:ascii="Arial" w:cs="Arial" w:eastAsia="Arial" w:hAnsi="Arial"/>
                <w:b/>
                <w:bCs/>
                <w:color w:val="0A2342"/>
                <w:sz w:val="21"/>
                <w:szCs w:val="21"/>
              </w:rPr>
              <w:t xml:space="preserve">Three-Line Summary</w:t>
            </w:r>
          </w:p>
          <w:p>
            <w:pPr>
              <w:spacing w:before="40" w:after="40"/>
            </w:pPr>
            <w:r>
              <w:rPr>
                <w:rFonts w:ascii="Arial" w:cs="Arial" w:eastAsia="Arial" w:hAnsi="Arial"/>
                <w:color w:val="2B2B2B"/>
                <w:sz w:val="20"/>
                <w:szCs w:val="20"/>
              </w:rPr>
              <w:t xml:space="preserve">StrandedGas.pro is a lifecycle SaaS platform. It sells workflow, modules, and marketplace infrastructure.</w:t>
            </w:r>
          </w:p>
          <w:p>
            <w:pPr>
              <w:spacing w:before="40" w:after="40"/>
            </w:pPr>
            <w:r>
              <w:rPr>
                <w:rFonts w:ascii="Arial" w:cs="Arial" w:eastAsia="Arial" w:hAnsi="Arial"/>
                <w:color w:val="2B2B2B"/>
                <w:sz w:val="20"/>
                <w:szCs w:val="20"/>
              </w:rPr>
              <w:t xml:space="preserve">MCF.digital is an outcome operator. It sells matching, build-and-run execution, and reporting trust.</w:t>
            </w:r>
          </w:p>
          <w:p>
            <w:pPr>
              <w:spacing w:before="40" w:after="40"/>
            </w:pPr>
            <w:r>
              <w:rPr>
                <w:rFonts w:ascii="Arial" w:cs="Arial" w:eastAsia="Arial" w:hAnsi="Arial"/>
                <w:color w:val="2B2B2B"/>
                <w:sz w:val="20"/>
                <w:szCs w:val="20"/>
              </w:rPr>
              <w:t xml:space="preserve">tools.mcf.digital is the decision wedge. It makes the economics obvious fast and qualifies deals into MCF.digital.</w:t>
            </w:r>
          </w:p>
        </w:tc>
      </w:tr>
    </w:tbl>
    <w:p>
      <w:pPr>
        <w:spacing w:before="40" w:after="40"/>
      </w:pPr>
      <w:r>
        <w:t xml:space="preserve"/>
      </w:r>
    </w:p>
    <w:p>
      <w:pPr>
        <w:spacing w:before="80" w:after="80"/>
      </w:pPr>
      <w:r>
        <w:rPr>
          <w:rFonts w:ascii="Arial" w:cs="Arial" w:eastAsia="Arial" w:hAnsi="Arial"/>
          <w:color w:val="2B2B2B"/>
          <w:sz w:val="21"/>
          <w:szCs w:val="21"/>
        </w:rPr>
        <w:t xml:space="preserve">The strategic conclusion is direct: MCF.digital should not compete in StrandedGas.pro's category. The two platforms are not the same kind of business. MCF.digital wins by dominating Square D — build-and-run stranded compute operator — while tools.mcf.digital feeds that funnel by owning Square C, the calculator and decision-tool layer.</w:t>
      </w:r>
    </w:p>
    <w:p>
      <w:r>
        <w:br w:type="page"/>
      </w:r>
    </w:p>
    <w:p>
      <w:pPr>
        <w:pStyle w:val="Heading1"/>
        <w:spacing w:before="360" w:after="140"/>
      </w:pPr>
      <w:r>
        <w:rPr>
          <w:rFonts w:ascii="Arial" w:cs="Arial" w:eastAsia="Arial" w:hAnsi="Arial"/>
          <w:b/>
          <w:bCs/>
          <w:color w:val="0A2342"/>
          <w:sz w:val="30"/>
          <w:szCs w:val="30"/>
        </w:rPr>
        <w:t xml:space="preserve">1. Research Questions and Method</w:t>
      </w:r>
    </w:p>
    <w:p>
      <w:pPr>
        <w:pBdr>
          <w:bottom w:val="single" w:color="C8D8E8" w:sz="4" w:space="1"/>
        </w:pBdr>
        <w:spacing w:before="180" w:after="180"/>
      </w:pPr>
      <w:r>
        <w:t xml:space="preserve"/>
      </w:r>
    </w:p>
    <w:p>
      <w:pPr>
        <w:pStyle w:val="Heading2"/>
        <w:spacing w:before="280" w:after="100"/>
      </w:pPr>
      <w:r>
        <w:rPr>
          <w:rFonts w:ascii="Arial" w:cs="Arial" w:eastAsia="Arial" w:hAnsi="Arial"/>
          <w:b/>
          <w:bCs/>
          <w:color w:val="0A2342"/>
          <w:sz w:val="24"/>
          <w:szCs w:val="24"/>
        </w:rPr>
        <w:t xml:space="preserve">1.1 Research Questions</w:t>
      </w:r>
    </w:p>
    <w:p>
      <w:pPr>
        <w:pStyle w:val="ListParagraph"/>
        <w:numPr>
          <w:ilvl w:val="0"/>
          <w:numId w:val="2"/>
        </w:numPr>
        <w:spacing w:before="60" w:after="60"/>
      </w:pPr>
      <w:r>
        <w:rPr>
          <w:rFonts w:ascii="Arial" w:cs="Arial" w:eastAsia="Arial" w:hAnsi="Arial"/>
          <w:color w:val="2B2B2B"/>
          <w:sz w:val="21"/>
          <w:szCs w:val="21"/>
        </w:rPr>
        <w:t xml:space="preserve">What business model is each property primarily built to monetize?</w:t>
      </w:r>
    </w:p>
    <w:p>
      <w:pPr>
        <w:pStyle w:val="ListParagraph"/>
        <w:numPr>
          <w:ilvl w:val="0"/>
          <w:numId w:val="2"/>
        </w:numPr>
        <w:spacing w:before="60" w:after="60"/>
      </w:pPr>
      <w:r>
        <w:rPr>
          <w:rFonts w:ascii="Arial" w:cs="Arial" w:eastAsia="Arial" w:hAnsi="Arial"/>
          <w:color w:val="2B2B2B"/>
          <w:sz w:val="21"/>
          <w:szCs w:val="21"/>
        </w:rPr>
        <w:t xml:space="preserve">What services are actually being promised — not implied, explicitly stated?</w:t>
      </w:r>
    </w:p>
    <w:p>
      <w:pPr>
        <w:pStyle w:val="ListParagraph"/>
        <w:numPr>
          <w:ilvl w:val="0"/>
          <w:numId w:val="2"/>
        </w:numPr>
        <w:spacing w:before="60" w:after="60"/>
      </w:pPr>
      <w:r>
        <w:rPr>
          <w:rFonts w:ascii="Arial" w:cs="Arial" w:eastAsia="Arial" w:hAnsi="Arial"/>
          <w:color w:val="2B2B2B"/>
          <w:sz w:val="21"/>
          <w:szCs w:val="21"/>
        </w:rPr>
        <w:t xml:space="preserve">Where do offerings overlap, and where do they diverge?</w:t>
      </w:r>
    </w:p>
    <w:p>
      <w:pPr>
        <w:pStyle w:val="ListParagraph"/>
        <w:numPr>
          <w:ilvl w:val="0"/>
          <w:numId w:val="2"/>
        </w:numPr>
        <w:spacing w:before="60" w:after="60"/>
      </w:pPr>
      <w:r>
        <w:rPr>
          <w:rFonts w:ascii="Arial" w:cs="Arial" w:eastAsia="Arial" w:hAnsi="Arial"/>
          <w:color w:val="2B2B2B"/>
          <w:sz w:val="21"/>
          <w:szCs w:val="21"/>
        </w:rPr>
        <w:t xml:space="preserve">How does each property win in its category, and what is the implied moat?</w:t>
      </w:r>
    </w:p>
    <w:p>
      <w:pPr>
        <w:pStyle w:val="ListParagraph"/>
        <w:numPr>
          <w:ilvl w:val="0"/>
          <w:numId w:val="2"/>
        </w:numPr>
        <w:spacing w:before="60" w:after="60"/>
      </w:pPr>
      <w:r>
        <w:rPr>
          <w:rFonts w:ascii="Arial" w:cs="Arial" w:eastAsia="Arial" w:hAnsi="Arial"/>
          <w:color w:val="2B2B2B"/>
          <w:sz w:val="21"/>
          <w:szCs w:val="21"/>
        </w:rPr>
        <w:t xml:space="preserve">How should MCF.digital and tools.mcf.digital position against StrandedGas.pro without being drawn into feature comparisons?</w:t>
      </w:r>
    </w:p>
    <w:p>
      <w:pPr>
        <w:pStyle w:val="ListParagraph"/>
        <w:numPr>
          <w:ilvl w:val="0"/>
          <w:numId w:val="2"/>
        </w:numPr>
        <w:spacing w:before="60" w:after="60"/>
      </w:pPr>
      <w:r>
        <w:rPr>
          <w:rFonts w:ascii="Arial" w:cs="Arial" w:eastAsia="Arial" w:hAnsi="Arial"/>
          <w:color w:val="2B2B2B"/>
          <w:sz w:val="21"/>
          <w:szCs w:val="21"/>
        </w:rPr>
        <w:t xml:space="preserve">How should the three properties relate in a single go-to-market funnel?</w:t>
      </w:r>
    </w:p>
    <w:p>
      <w:pPr>
        <w:spacing w:before="40" w:after="40"/>
      </w:pPr>
      <w:r>
        <w:t xml:space="preserve"/>
      </w:r>
    </w:p>
    <w:p>
      <w:pPr>
        <w:pStyle w:val="Heading2"/>
        <w:spacing w:before="280" w:after="100"/>
      </w:pPr>
      <w:r>
        <w:rPr>
          <w:rFonts w:ascii="Arial" w:cs="Arial" w:eastAsia="Arial" w:hAnsi="Arial"/>
          <w:b/>
          <w:bCs/>
          <w:color w:val="0A2342"/>
          <w:sz w:val="24"/>
          <w:szCs w:val="24"/>
        </w:rPr>
        <w:t xml:space="preserve">1.2 Method and Evidence</w:t>
      </w:r>
    </w:p>
    <w:p>
      <w:pPr>
        <w:spacing w:before="80" w:after="80"/>
      </w:pPr>
      <w:r>
        <w:rPr>
          <w:rFonts w:ascii="Arial" w:cs="Arial" w:eastAsia="Arial" w:hAnsi="Arial"/>
          <w:color w:val="2B2B2B"/>
          <w:sz w:val="21"/>
          <w:szCs w:val="21"/>
        </w:rPr>
        <w:t xml:space="preserve">Primary landing pages for StrandedGas.pro and MCF.digital were reviewed directly, including stated modules, offers, and positioning language. The following constraints applied at time of research:</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0A2342" w:val="clear"/>
            <w:tcMar>
              <w:top w:type="dxa" w:w="100"/>
              <w:left w:type="dxa" w:w="140"/>
              <w:bottom w:type="dxa" w:w="100"/>
              <w:right w:type="dxa" w:w="140"/>
            </w:tcMar>
          </w:tcPr>
          <w:p>
            <w:r>
              <w:rPr>
                <w:rFonts w:ascii="Arial" w:cs="Arial" w:eastAsia="Arial" w:hAnsi="Arial"/>
                <w:b/>
                <w:bCs/>
                <w:color w:val="FFFFFF"/>
                <w:sz w:val="20"/>
                <w:szCs w:val="20"/>
              </w:rPr>
              <w:t xml:space="preserve">Property</w:t>
            </w:r>
          </w:p>
        </w:tc>
        <w:tc>
          <w:tcPr>
            <w:tcW w:type="dxa" w:w="6760"/>
            <w:tcBorders>
              <w:top w:val="single" w:color="CCCCCC" w:sz="1"/>
              <w:left w:val="single" w:color="CCCCCC" w:sz="1"/>
              <w:bottom w:val="single" w:color="CCCCCC" w:sz="1"/>
              <w:right w:val="single" w:color="CCCCCC" w:sz="1"/>
            </w:tcBorders>
            <w:shd w:fill="0A2342" w:val="clear"/>
            <w:tcMar>
              <w:top w:type="dxa" w:w="100"/>
              <w:left w:type="dxa" w:w="140"/>
              <w:bottom w:type="dxa" w:w="100"/>
              <w:right w:type="dxa" w:w="140"/>
            </w:tcMar>
          </w:tcPr>
          <w:p>
            <w:r>
              <w:rPr>
                <w:rFonts w:ascii="Arial" w:cs="Arial" w:eastAsia="Arial" w:hAnsi="Arial"/>
                <w:b/>
                <w:bCs/>
                <w:color w:val="FFFFFF"/>
                <w:sz w:val="20"/>
                <w:szCs w:val="20"/>
              </w:rPr>
              <w:t xml:space="preserve">Evidence Status</w:t>
            </w:r>
          </w:p>
        </w:tc>
      </w:tr>
      <w:tr>
        <w:tc>
          <w:tcPr>
            <w:tcW w:type="dxa" w:w="26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r>
              <w:rPr>
                <w:rFonts w:ascii="Arial" w:cs="Arial" w:eastAsia="Arial" w:hAnsi="Arial"/>
                <w:b/>
                <w:bCs/>
                <w:color w:val="0A2342"/>
                <w:sz w:val="20"/>
                <w:szCs w:val="20"/>
              </w:rPr>
              <w:t xml:space="preserve">StrandedGas.pro</w:t>
            </w:r>
          </w:p>
        </w:tc>
        <w:tc>
          <w:tcPr>
            <w:tcW w:type="dxa" w:w="67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r>
              <w:rPr>
                <w:rFonts w:ascii="Arial" w:cs="Arial" w:eastAsia="Arial" w:hAnsi="Arial"/>
                <w:b w:val="false"/>
                <w:bCs w:val="false"/>
                <w:color w:val="2B2B2B"/>
                <w:sz w:val="20"/>
                <w:szCs w:val="20"/>
              </w:rPr>
              <w:t xml:space="preserve">Fully readable. Lifecycle modules, pricing structure, and AI integration all publicly stated.</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bCs/>
                <w:color w:val="0A2342"/>
                <w:sz w:val="20"/>
                <w:szCs w:val="20"/>
              </w:rPr>
              <w:t xml:space="preserve">MCF.digital</w:t>
            </w:r>
          </w:p>
        </w:tc>
        <w:tc>
          <w:tcPr>
            <w:tcW w:type="dxa" w:w="6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2B2B2B"/>
                <w:sz w:val="20"/>
                <w:szCs w:val="20"/>
              </w:rPr>
              <w:t xml:space="preserve">Fully readable. Four-offer structure, build-and-run framing, and custody-first payouts confirmed.</w:t>
            </w:r>
          </w:p>
        </w:tc>
      </w:tr>
      <w:tr>
        <w:tc>
          <w:tcPr>
            <w:tcW w:type="dxa" w:w="26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r>
              <w:rPr>
                <w:rFonts w:ascii="Arial" w:cs="Arial" w:eastAsia="Arial" w:hAnsi="Arial"/>
                <w:b/>
                <w:bCs/>
                <w:color w:val="0A2342"/>
                <w:sz w:val="20"/>
                <w:szCs w:val="20"/>
              </w:rPr>
              <w:t xml:space="preserve">tools.mcf.digital</w:t>
            </w:r>
          </w:p>
        </w:tc>
        <w:tc>
          <w:tcPr>
            <w:tcW w:type="dxa" w:w="67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r>
              <w:rPr>
                <w:rFonts w:ascii="Arial" w:cs="Arial" w:eastAsia="Arial" w:hAnsi="Arial"/>
                <w:b w:val="false"/>
                <w:bCs w:val="false"/>
                <w:color w:val="2B2B2B"/>
                <w:sz w:val="20"/>
                <w:szCs w:val="20"/>
              </w:rPr>
              <w:t xml:space="preserve">Returned a 502 error at time of review. Not currently reachable.</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bCs/>
                <w:color w:val="0A2342"/>
                <w:sz w:val="20"/>
                <w:szCs w:val="20"/>
              </w:rPr>
              <w:t xml:space="preserve">on360.me</w:t>
            </w:r>
          </w:p>
        </w:tc>
        <w:tc>
          <w:tcPr>
            <w:tcW w:type="dxa" w:w="6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2B2B2B"/>
                <w:sz w:val="20"/>
                <w:szCs w:val="20"/>
              </w:rPr>
              <w:t xml:space="preserve">Client-rendered. Page text not directly extractable. Relies on indexed snippet: described as 'Power Profit Simulator' and 'MCF.digital Intelligence.'</w:t>
            </w:r>
          </w:p>
        </w:tc>
      </w:tr>
    </w:tbl>
    <w:p>
      <w:pPr>
        <w:spacing w:before="40" w:after="40"/>
      </w:pPr>
      <w:r>
        <w:t xml:space="preserve"/>
      </w:r>
    </w:p>
    <w:p>
      <w:pPr>
        <w:spacing w:before="80" w:after="80"/>
      </w:pPr>
      <w:r>
        <w:rPr>
          <w:rFonts w:ascii="Arial" w:cs="Arial" w:eastAsia="Arial" w:hAnsi="Arial"/>
          <w:color w:val="2B2B2B"/>
          <w:sz w:val="21"/>
          <w:szCs w:val="21"/>
        </w:rPr>
        <w:t xml:space="preserve">Note on PDF assets: MCF.digital lists three downloadable documents on its homepage — Flare → Bitcoin Blueprint, Netback Fixer, and BTU → BTC Quick-Start — which likely contain the full offer specifications. These were not reviewed for this document. Incorporating them would materially sharpen the offer comparison matrix and battle-card language.</w:t>
      </w:r>
    </w:p>
    <w:p>
      <w:r>
        <w:br w:type="page"/>
      </w:r>
    </w:p>
    <w:p>
      <w:pPr>
        <w:pStyle w:val="Heading1"/>
        <w:spacing w:before="360" w:after="140"/>
      </w:pPr>
      <w:r>
        <w:rPr>
          <w:rFonts w:ascii="Arial" w:cs="Arial" w:eastAsia="Arial" w:hAnsi="Arial"/>
          <w:b/>
          <w:bCs/>
          <w:color w:val="0A2342"/>
          <w:sz w:val="30"/>
          <w:szCs w:val="30"/>
        </w:rPr>
        <w:t xml:space="preserve">2. What Each Property Is Explicitly Selling</w:t>
      </w:r>
    </w:p>
    <w:p>
      <w:pPr>
        <w:pBdr>
          <w:bottom w:val="single" w:color="C8D8E8" w:sz="4" w:space="1"/>
        </w:pBdr>
        <w:spacing w:before="180" w:after="180"/>
      </w:pPr>
      <w:r>
        <w:t xml:space="preserve"/>
      </w:r>
    </w:p>
    <w:p>
      <w:pPr>
        <w:pStyle w:val="Heading2"/>
        <w:spacing w:before="280" w:after="100"/>
      </w:pPr>
      <w:r>
        <w:rPr>
          <w:rFonts w:ascii="Arial" w:cs="Arial" w:eastAsia="Arial" w:hAnsi="Arial"/>
          <w:b/>
          <w:bCs/>
          <w:color w:val="0A2342"/>
          <w:sz w:val="24"/>
          <w:szCs w:val="24"/>
        </w:rPr>
        <w:t xml:space="preserve">2.1 StrandedGas.pro — "Platform for the Energy Asset Lifecycle"</w:t>
      </w:r>
    </w:p>
    <w:p>
      <w:pPr>
        <w:spacing w:before="80" w:after="80"/>
      </w:pPr>
      <w:r>
        <w:rPr>
          <w:rFonts w:ascii="Arial" w:cs="Arial" w:eastAsia="Arial" w:hAnsi="Arial"/>
          <w:color w:val="2B2B2B"/>
          <w:sz w:val="21"/>
          <w:szCs w:val="21"/>
        </w:rPr>
        <w:t xml:space="preserve">StrandedGas.pro positions itself as the platform for siting, deploying, and operating distributed energy projects. It organizes its offer into three explicit lifecycle phases with named modules in each:</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560"/>
        <w:gridCol w:w="3400"/>
      </w:tblGrid>
      <w:tr>
        <w:tc>
          <w:tcPr>
            <w:tcW w:type="dxa" w:w="1400"/>
            <w:tcBorders>
              <w:top w:val="single" w:color="CCCCCC" w:sz="1"/>
              <w:left w:val="single" w:color="CCCCCC" w:sz="1"/>
              <w:bottom w:val="single" w:color="CCCCCC" w:sz="1"/>
              <w:right w:val="single" w:color="CCCCCC" w:sz="1"/>
            </w:tcBorders>
            <w:shd w:fill="0A2342"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4560"/>
            <w:tcBorders>
              <w:top w:val="single" w:color="CCCCCC" w:sz="1"/>
              <w:left w:val="single" w:color="CCCCCC" w:sz="1"/>
              <w:bottom w:val="single" w:color="CCCCCC" w:sz="1"/>
              <w:right w:val="single" w:color="CCCCCC" w:sz="1"/>
            </w:tcBorders>
            <w:shd w:fill="0A2342" w:val="clear"/>
            <w:tcMar>
              <w:top w:type="dxa" w:w="100"/>
              <w:left w:type="dxa" w:w="140"/>
              <w:bottom w:type="dxa" w:w="100"/>
              <w:right w:type="dxa" w:w="140"/>
            </w:tcMar>
          </w:tcPr>
          <w:p>
            <w:r>
              <w:rPr>
                <w:rFonts w:ascii="Arial" w:cs="Arial" w:eastAsia="Arial" w:hAnsi="Arial"/>
                <w:b/>
                <w:bCs/>
                <w:color w:val="FFFFFF"/>
                <w:sz w:val="20"/>
                <w:szCs w:val="20"/>
              </w:rPr>
              <w:t xml:space="preserve">Modules</w:t>
            </w:r>
          </w:p>
        </w:tc>
        <w:tc>
          <w:tcPr>
            <w:tcW w:type="dxa" w:w="3400"/>
            <w:tcBorders>
              <w:top w:val="single" w:color="CCCCCC" w:sz="1"/>
              <w:left w:val="single" w:color="CCCCCC" w:sz="1"/>
              <w:bottom w:val="single" w:color="CCCCCC" w:sz="1"/>
              <w:right w:val="single" w:color="CCCCCC" w:sz="1"/>
            </w:tcBorders>
            <w:shd w:fill="0A2342" w:val="clear"/>
            <w:tcMar>
              <w:top w:type="dxa" w:w="100"/>
              <w:left w:type="dxa" w:w="140"/>
              <w:bottom w:type="dxa" w:w="100"/>
              <w:right w:type="dxa" w:w="140"/>
            </w:tcMar>
          </w:tcPr>
          <w:p>
            <w:r>
              <w:rPr>
                <w:rFonts w:ascii="Arial" w:cs="Arial" w:eastAsia="Arial" w:hAnsi="Arial"/>
                <w:b/>
                <w:bCs/>
                <w:color w:val="FFFFFF"/>
                <w:sz w:val="20"/>
                <w:szCs w:val="20"/>
              </w:rPr>
              <w:t xml:space="preserve">Function</w:t>
            </w:r>
          </w:p>
        </w:tc>
      </w:tr>
      <w:tr>
        <w:tc>
          <w:tcPr>
            <w:tcW w:type="dxa" w:w="14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r>
              <w:rPr>
                <w:rFonts w:ascii="Arial" w:cs="Arial" w:eastAsia="Arial" w:hAnsi="Arial"/>
                <w:b/>
                <w:bCs/>
                <w:color w:val="0A2342"/>
                <w:sz w:val="20"/>
                <w:szCs w:val="20"/>
              </w:rPr>
              <w:t xml:space="preserve">Site</w:t>
            </w:r>
          </w:p>
        </w:tc>
        <w:tc>
          <w:tcPr>
            <w:tcW w:type="dxa" w:w="45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r>
              <w:rPr>
                <w:rFonts w:ascii="Arial" w:cs="Arial" w:eastAsia="Arial" w:hAnsi="Arial"/>
                <w:b w:val="false"/>
                <w:bCs w:val="false"/>
                <w:color w:val="2B2B2B"/>
                <w:sz w:val="20"/>
                <w:szCs w:val="20"/>
              </w:rPr>
              <w:t xml:space="preserve">Financial modeling (NPV, IRR), Energy CRM, Stranded gas finder, Site listings, Gas quality calculator</w:t>
            </w:r>
          </w:p>
        </w:tc>
        <w:tc>
          <w:tcPr>
            <w:tcW w:type="dxa" w:w="34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r>
              <w:rPr>
                <w:rFonts w:ascii="Arial" w:cs="Arial" w:eastAsia="Arial" w:hAnsi="Arial"/>
                <w:b w:val="false"/>
                <w:bCs w:val="false"/>
                <w:color w:val="2B2B2B"/>
                <w:sz w:val="20"/>
                <w:szCs w:val="20"/>
              </w:rPr>
              <w:t xml:space="preserve">Pre-deal evaluation and opportunity identification</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bCs/>
                <w:color w:val="0A2342"/>
                <w:sz w:val="20"/>
                <w:szCs w:val="20"/>
              </w:rPr>
              <w:t xml:space="preserve">Deploy</w:t>
            </w:r>
          </w:p>
        </w:tc>
        <w:tc>
          <w:tcPr>
            <w:tcW w:type="dxa" w:w="4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2B2B2B"/>
                <w:sz w:val="20"/>
                <w:szCs w:val="20"/>
              </w:rPr>
              <w:t xml:space="preserve">Equipment marketplace, Project management, Vendor coordination, Task tracking</w:t>
            </w:r>
          </w:p>
        </w:tc>
        <w:tc>
          <w:tcPr>
            <w:tcW w:type="dxa" w:w="3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2B2B2B"/>
                <w:sz w:val="20"/>
                <w:szCs w:val="20"/>
              </w:rPr>
              <w:t xml:space="preserve">Active project execution and procurement</w:t>
            </w:r>
          </w:p>
        </w:tc>
      </w:tr>
      <w:tr>
        <w:tc>
          <w:tcPr>
            <w:tcW w:type="dxa" w:w="14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r>
              <w:rPr>
                <w:rFonts w:ascii="Arial" w:cs="Arial" w:eastAsia="Arial" w:hAnsi="Arial"/>
                <w:b/>
                <w:bCs/>
                <w:color w:val="0A2342"/>
                <w:sz w:val="20"/>
                <w:szCs w:val="20"/>
              </w:rPr>
              <w:t xml:space="preserve">Operate</w:t>
            </w:r>
          </w:p>
        </w:tc>
        <w:tc>
          <w:tcPr>
            <w:tcW w:type="dxa" w:w="45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r>
              <w:rPr>
                <w:rFonts w:ascii="Arial" w:cs="Arial" w:eastAsia="Arial" w:hAnsi="Arial"/>
                <w:b w:val="false"/>
                <w:bCs w:val="false"/>
                <w:color w:val="2B2B2B"/>
                <w:sz w:val="20"/>
                <w:szCs w:val="20"/>
              </w:rPr>
              <w:t xml:space="preserve">Site management, Data rooms, E-signature, Gas nominations</w:t>
            </w:r>
          </w:p>
        </w:tc>
        <w:tc>
          <w:tcPr>
            <w:tcW w:type="dxa" w:w="34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r>
              <w:rPr>
                <w:rFonts w:ascii="Arial" w:cs="Arial" w:eastAsia="Arial" w:hAnsi="Arial"/>
                <w:b w:val="false"/>
                <w:bCs w:val="false"/>
                <w:color w:val="2B2B2B"/>
                <w:sz w:val="20"/>
                <w:szCs w:val="20"/>
              </w:rPr>
              <w:t xml:space="preserve">Ongoing operations, compliance, and settlement</w:t>
            </w:r>
          </w:p>
        </w:tc>
      </w:tr>
    </w:tbl>
    <w:p>
      <w:pPr>
        <w:spacing w:before="40" w:after="40"/>
      </w:pPr>
      <w:r>
        <w:t xml:space="preserve"/>
      </w:r>
    </w:p>
    <w:p>
      <w:pPr>
        <w:spacing w:before="80" w:after="80"/>
      </w:pPr>
      <w:r>
        <w:rPr>
          <w:rFonts w:ascii="Arial" w:cs="Arial" w:eastAsia="Arial" w:hAnsi="Arial"/>
          <w:color w:val="2B2B2B"/>
          <w:sz w:val="21"/>
          <w:szCs w:val="21"/>
        </w:rPr>
        <w:t xml:space="preserve">Additionally, StrandedGas.pro explicitly highlights AI integration through an MCP server, positioning it as a workflow intelligence layer across the platform. Its marketplace lists mining containers as an asset category, indicating direct adjacency to the same deployment class as MCF.digital.</w:t>
      </w:r>
    </w:p>
    <w:p>
      <w:pPr>
        <w:spacing w:before="80" w:after="80"/>
      </w:pPr>
      <w:r>
        <w:rPr>
          <w:rFonts w:ascii="Arial" w:cs="Arial" w:eastAsia="Arial" w:hAnsi="Arial"/>
          <w:color w:val="2B2B2B"/>
          <w:sz w:val="21"/>
          <w:szCs w:val="21"/>
        </w:rPr>
        <w:t xml:space="preserve">The monetization model implied is subscription-based with a potential marketplace take rate. The moat is product compounding and workflow lock-in — teams that run deals through the platform accumulate data, templates, and process history that makes switching costly.</w:t>
      </w:r>
    </w:p>
    <w:p>
      <w:pPr>
        <w:spacing w:before="40" w:after="40"/>
      </w:pPr>
      <w:r>
        <w:t xml:space="preserve"/>
      </w:r>
    </w:p>
    <w:p>
      <w:pPr>
        <w:pStyle w:val="Heading2"/>
        <w:spacing w:before="280" w:after="100"/>
      </w:pPr>
      <w:r>
        <w:rPr>
          <w:rFonts w:ascii="Arial" w:cs="Arial" w:eastAsia="Arial" w:hAnsi="Arial"/>
          <w:b/>
          <w:bCs/>
          <w:color w:val="0A2342"/>
          <w:sz w:val="24"/>
          <w:szCs w:val="24"/>
        </w:rPr>
        <w:t xml:space="preserve">2.2 MCF.digital — "Outcome Delivery: Deal Matching Plus Build-and-Run"</w:t>
      </w:r>
    </w:p>
    <w:p>
      <w:pPr>
        <w:spacing w:before="80" w:after="80"/>
      </w:pPr>
      <w:r>
        <w:rPr>
          <w:rFonts w:ascii="Arial" w:cs="Arial" w:eastAsia="Arial" w:hAnsi="Arial"/>
          <w:color w:val="2B2B2B"/>
          <w:sz w:val="21"/>
          <w:szCs w:val="21"/>
        </w:rPr>
        <w:t xml:space="preserve">MCF.digital states it "matches oil and gas operators, miners, and capital, then builds and runs on-lease power and compute so everyone wins." It frames four distinct audience-specific offers: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0A2342" w:val="clear"/>
            <w:tcMar>
              <w:top w:type="dxa" w:w="100"/>
              <w:left w:type="dxa" w:w="140"/>
              <w:bottom w:type="dxa" w:w="100"/>
              <w:right w:type="dxa" w:w="140"/>
            </w:tcMar>
          </w:tcPr>
          <w:p>
            <w:r>
              <w:rPr>
                <w:rFonts w:ascii="Arial" w:cs="Arial" w:eastAsia="Arial" w:hAnsi="Arial"/>
                <w:b/>
                <w:bCs/>
                <w:color w:val="FFFFFF"/>
                <w:sz w:val="20"/>
                <w:szCs w:val="20"/>
              </w:rPr>
              <w:t xml:space="preserve">Audience</w:t>
            </w:r>
          </w:p>
        </w:tc>
        <w:tc>
          <w:tcPr>
            <w:tcW w:type="dxa" w:w="6760"/>
            <w:tcBorders>
              <w:top w:val="single" w:color="CCCCCC" w:sz="1"/>
              <w:left w:val="single" w:color="CCCCCC" w:sz="1"/>
              <w:bottom w:val="single" w:color="CCCCCC" w:sz="1"/>
              <w:right w:val="single" w:color="CCCCCC" w:sz="1"/>
            </w:tcBorders>
            <w:shd w:fill="0A2342" w:val="clear"/>
            <w:tcMar>
              <w:top w:type="dxa" w:w="100"/>
              <w:left w:type="dxa" w:w="140"/>
              <w:bottom w:type="dxa" w:w="100"/>
              <w:right w:type="dxa" w:w="140"/>
            </w:tcMar>
          </w:tcPr>
          <w:p>
            <w:r>
              <w:rPr>
                <w:rFonts w:ascii="Arial" w:cs="Arial" w:eastAsia="Arial" w:hAnsi="Arial"/>
                <w:b/>
                <w:bCs/>
                <w:color w:val="FFFFFF"/>
                <w:sz w:val="20"/>
                <w:szCs w:val="20"/>
              </w:rPr>
              <w:t xml:space="preserve">Stated Offer</w:t>
            </w:r>
          </w:p>
        </w:tc>
      </w:tr>
      <w:tr>
        <w:tc>
          <w:tcPr>
            <w:tcW w:type="dxa" w:w="26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r>
              <w:rPr>
                <w:rFonts w:ascii="Arial" w:cs="Arial" w:eastAsia="Arial" w:hAnsi="Arial"/>
                <w:b/>
                <w:bCs/>
                <w:color w:val="0A2342"/>
                <w:sz w:val="20"/>
                <w:szCs w:val="20"/>
              </w:rPr>
              <w:t xml:space="preserve">Flaring site operators</w:t>
            </w:r>
          </w:p>
        </w:tc>
        <w:tc>
          <w:tcPr>
            <w:tcW w:type="dxa" w:w="67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r>
              <w:rPr>
                <w:rFonts w:ascii="Arial" w:cs="Arial" w:eastAsia="Arial" w:hAnsi="Arial"/>
                <w:b w:val="false"/>
                <w:bCs w:val="false"/>
                <w:color w:val="2B2B2B"/>
                <w:sz w:val="20"/>
                <w:szCs w:val="20"/>
              </w:rPr>
              <w:t xml:space="preserve">Compliance optics and fast relief. Clear steps, field-ready.</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bCs/>
                <w:color w:val="0A2342"/>
                <w:sz w:val="20"/>
                <w:szCs w:val="20"/>
              </w:rPr>
              <w:t xml:space="preserve">Low-netback sites</w:t>
            </w:r>
          </w:p>
        </w:tc>
        <w:tc>
          <w:tcPr>
            <w:tcW w:type="dxa" w:w="6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2B2B2B"/>
                <w:sz w:val="20"/>
                <w:szCs w:val="20"/>
              </w:rPr>
              <w:t xml:space="preserve">Beat pipeline take-home with an on-lease carve-out that pencils at parity.</w:t>
            </w:r>
          </w:p>
        </w:tc>
      </w:tr>
      <w:tr>
        <w:tc>
          <w:tcPr>
            <w:tcW w:type="dxa" w:w="26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r>
              <w:rPr>
                <w:rFonts w:ascii="Arial" w:cs="Arial" w:eastAsia="Arial" w:hAnsi="Arial"/>
                <w:b/>
                <w:bCs/>
                <w:color w:val="0A2342"/>
                <w:sz w:val="20"/>
                <w:szCs w:val="20"/>
              </w:rPr>
              <w:t xml:space="preserve">Bitcoin miners</w:t>
            </w:r>
          </w:p>
        </w:tc>
        <w:tc>
          <w:tcPr>
            <w:tcW w:type="dxa" w:w="67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r>
              <w:rPr>
                <w:rFonts w:ascii="Arial" w:cs="Arial" w:eastAsia="Arial" w:hAnsi="Arial"/>
                <w:b w:val="false"/>
                <w:bCs w:val="false"/>
                <w:color w:val="2B2B2B"/>
                <w:sz w:val="20"/>
                <w:szCs w:val="20"/>
              </w:rPr>
              <w:t xml:space="preserve">On-lease power and compute that survives dust, heat, and churn.</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bCs/>
                <w:color w:val="0A2342"/>
                <w:sz w:val="20"/>
                <w:szCs w:val="20"/>
              </w:rPr>
              <w:t xml:space="preserve">HNWI &amp; family offices</w:t>
            </w:r>
          </w:p>
        </w:tc>
        <w:tc>
          <w:tcPr>
            <w:tcW w:type="dxa" w:w="6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2B2B2B"/>
                <w:sz w:val="20"/>
                <w:szCs w:val="20"/>
              </w:rPr>
              <w:t xml:space="preserve">Real-asset exposure with custody-first payouts and clean reporting.</w:t>
            </w:r>
          </w:p>
        </w:tc>
      </w:tr>
    </w:tbl>
    <w:p>
      <w:pPr>
        <w:spacing w:before="40" w:after="40"/>
      </w:pPr>
      <w:r>
        <w:t xml:space="preserve"/>
      </w:r>
    </w:p>
    <w:p>
      <w:pPr>
        <w:spacing w:before="80" w:after="80"/>
      </w:pPr>
      <w:r>
        <w:rPr>
          <w:rFonts w:ascii="Arial" w:cs="Arial" w:eastAsia="Arial" w:hAnsi="Arial"/>
          <w:color w:val="2B2B2B"/>
          <w:sz w:val="21"/>
          <w:szCs w:val="21"/>
        </w:rPr>
        <w:t xml:space="preserve">MCF.digital also lists three downloadable briefs that serve as entry-point assets for each operator type: the Flare → Bitcoin Blueprint, the Netback Fixer, and the BTU → BTC Quick-Start. These are the likely bridge between awareness and a fit call.</w:t>
      </w:r>
    </w:p>
    <w:p>
      <w:pPr>
        <w:spacing w:before="80" w:after="80"/>
      </w:pPr>
      <w:r>
        <w:rPr>
          <w:rFonts w:ascii="Arial" w:cs="Arial" w:eastAsia="Arial" w:hAnsi="Arial"/>
          <w:color w:val="2B2B2B"/>
          <w:sz w:val="21"/>
          <w:szCs w:val="21"/>
        </w:rPr>
        <w:t xml:space="preserve">The monetization model is project-margin based — hosting structures, revenue-share arrangements, operational fees, and deal origination. The moat is execution capability, commercial structuring credibility, field track record, and reporting trust (specifically the custody-first payout framing for capital allocators).</w:t>
      </w:r>
    </w:p>
    <w:p>
      <w:pPr>
        <w:spacing w:before="40" w:after="40"/>
      </w:pPr>
      <w:r>
        <w:t xml:space="preserve"/>
      </w:r>
    </w:p>
    <w:p>
      <w:pPr>
        <w:pStyle w:val="Heading2"/>
        <w:spacing w:before="280" w:after="100"/>
      </w:pPr>
      <w:r>
        <w:rPr>
          <w:rFonts w:ascii="Arial" w:cs="Arial" w:eastAsia="Arial" w:hAnsi="Arial"/>
          <w:b/>
          <w:bCs/>
          <w:color w:val="0A2342"/>
          <w:sz w:val="24"/>
          <w:szCs w:val="24"/>
        </w:rPr>
        <w:t xml:space="preserve">2.3 on360.me / tools.mcf.digital — "Power Profit Simulator"</w:t>
      </w:r>
    </w:p>
    <w:p>
      <w:pPr>
        <w:spacing w:before="80" w:after="80"/>
      </w:pPr>
      <w:r>
        <w:rPr>
          <w:rFonts w:ascii="Arial" w:cs="Arial" w:eastAsia="Arial" w:hAnsi="Arial"/>
          <w:color w:val="2B2B2B"/>
          <w:sz w:val="21"/>
          <w:szCs w:val="21"/>
        </w:rPr>
        <w:t xml:space="preserve">on360.me is described in indexed page content as a "Power Profit Simulator" and as "MCF.digital Intelligence." Its stated purpose is to help energy-intensive businesses turn idle power into revenue through strategic Bitcoin mining by making the economics visible quickly.</w:t>
      </w:r>
    </w:p>
    <w:p>
      <w:pPr>
        <w:spacing w:before="80" w:after="80"/>
      </w:pPr>
      <w:r>
        <w:rPr>
          <w:rFonts w:ascii="Arial" w:cs="Arial" w:eastAsia="Arial" w:hAnsi="Arial"/>
          <w:color w:val="2B2B2B"/>
          <w:sz w:val="21"/>
          <w:szCs w:val="21"/>
        </w:rPr>
        <w:t xml:space="preserve">This positions it as a decision-layer tool, not an operational platform. The funnel logic is explicit in its framing: run the numbers, determine feasibility, and route qualified opportunities into MCF.digital's deployment pipeline.</w:t>
      </w:r>
    </w:p>
    <w:p>
      <w:pPr>
        <w:spacing w:before="80" w:after="80"/>
      </w:pPr>
      <w:r>
        <w:rPr>
          <w:rFonts w:ascii="Arial" w:cs="Arial" w:eastAsia="Arial" w:hAnsi="Arial"/>
          <w:color w:val="2B2B2B"/>
          <w:sz w:val="21"/>
          <w:szCs w:val="21"/>
        </w:rPr>
        <w:t xml:space="preserve">Note: tools.mcf.digital is the planned production subdomain for this toolkit. It currently returns a 502 error. Until the subdomain resolves, any marketing materials that link directly to tools.mcf.digital will break the funnel.</w:t>
      </w:r>
    </w:p>
    <w:p>
      <w:r>
        <w:br w:type="page"/>
      </w:r>
    </w:p>
    <w:p>
      <w:pPr>
        <w:pStyle w:val="Heading1"/>
        <w:spacing w:before="360" w:after="140"/>
      </w:pPr>
      <w:r>
        <w:rPr>
          <w:rFonts w:ascii="Arial" w:cs="Arial" w:eastAsia="Arial" w:hAnsi="Arial"/>
          <w:b/>
          <w:bCs/>
          <w:color w:val="0A2342"/>
          <w:sz w:val="30"/>
          <w:szCs w:val="30"/>
        </w:rPr>
        <w:t xml:space="preserve">3. Comparative Analysis</w:t>
      </w:r>
    </w:p>
    <w:p>
      <w:pPr>
        <w:pBdr>
          <w:bottom w:val="single" w:color="C8D8E8" w:sz="4" w:space="1"/>
        </w:pBdr>
        <w:spacing w:before="180" w:after="180"/>
      </w:pPr>
      <w:r>
        <w:t xml:space="preserve"/>
      </w:r>
    </w:p>
    <w:p>
      <w:pPr>
        <w:spacing w:before="80" w:after="80"/>
      </w:pPr>
      <w:r>
        <w:rPr>
          <w:rFonts w:ascii="Arial" w:cs="Arial" w:eastAsia="Arial" w:hAnsi="Arial"/>
          <w:color w:val="2B2B2B"/>
          <w:sz w:val="21"/>
          <w:szCs w:val="21"/>
        </w:rPr>
        <w:t xml:space="preserve">The table below maps all three properties across six business and product dimensions. Entries reflect only what is publicly and explicitly stated by each property.</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50"/>
        <w:gridCol w:w="2450"/>
        <w:gridCol w:w="2460"/>
      </w:tblGrid>
      <w:tr>
        <w:tc>
          <w:tcPr>
            <w:tcW w:type="dxa" w:w="2000"/>
            <w:tcBorders>
              <w:top w:val="single" w:color="CCCCCC" w:sz="1"/>
              <w:left w:val="single" w:color="CCCCCC" w:sz="1"/>
              <w:bottom w:val="single" w:color="CCCCCC" w:sz="1"/>
              <w:right w:val="single" w:color="CCCCCC" w:sz="1"/>
            </w:tcBorders>
            <w:shd w:fill="0A2342" w:val="clear"/>
            <w:tcMar>
              <w:top w:type="dxa" w:w="100"/>
              <w:left w:type="dxa" w:w="130"/>
              <w:bottom w:type="dxa" w:w="100"/>
              <w:right w:type="dxa" w:w="130"/>
            </w:tcMar>
          </w:tcPr>
          <w:p>
            <w:r>
              <w:rPr>
                <w:rFonts w:ascii="Arial" w:cs="Arial" w:eastAsia="Arial" w:hAnsi="Arial"/>
                <w:b/>
                <w:bCs/>
                <w:color w:val="FFFFFF"/>
                <w:sz w:val="19"/>
                <w:szCs w:val="19"/>
              </w:rPr>
              <w:t xml:space="preserve">Dimension</w:t>
            </w:r>
          </w:p>
        </w:tc>
        <w:tc>
          <w:tcPr>
            <w:tcW w:type="dxa" w:w="2450"/>
            <w:tcBorders>
              <w:top w:val="single" w:color="CCCCCC" w:sz="1"/>
              <w:left w:val="single" w:color="CCCCCC" w:sz="1"/>
              <w:bottom w:val="single" w:color="CCCCCC" w:sz="1"/>
              <w:right w:val="single" w:color="CCCCCC" w:sz="1"/>
            </w:tcBorders>
            <w:shd w:fill="1A7A6E" w:val="clear"/>
            <w:tcMar>
              <w:top w:type="dxa" w:w="100"/>
              <w:left w:type="dxa" w:w="130"/>
              <w:bottom w:type="dxa" w:w="100"/>
              <w:right w:type="dxa" w:w="130"/>
            </w:tcMar>
          </w:tcPr>
          <w:p>
            <w:r>
              <w:rPr>
                <w:rFonts w:ascii="Arial" w:cs="Arial" w:eastAsia="Arial" w:hAnsi="Arial"/>
                <w:b/>
                <w:bCs/>
                <w:color w:val="FFFFFF"/>
                <w:sz w:val="19"/>
                <w:szCs w:val="19"/>
              </w:rPr>
              <w:t xml:space="preserve">StrandedGas.pro</w:t>
            </w:r>
          </w:p>
        </w:tc>
        <w:tc>
          <w:tcPr>
            <w:tcW w:type="dxa" w:w="2450"/>
            <w:tcBorders>
              <w:top w:val="single" w:color="CCCCCC" w:sz="1"/>
              <w:left w:val="single" w:color="CCCCCC" w:sz="1"/>
              <w:bottom w:val="single" w:color="CCCCCC" w:sz="1"/>
              <w:right w:val="single" w:color="CCCCCC" w:sz="1"/>
            </w:tcBorders>
            <w:shd w:fill="D4500A" w:val="clear"/>
            <w:tcMar>
              <w:top w:type="dxa" w:w="100"/>
              <w:left w:type="dxa" w:w="130"/>
              <w:bottom w:type="dxa" w:w="100"/>
              <w:right w:type="dxa" w:w="130"/>
            </w:tcMar>
          </w:tcPr>
          <w:p>
            <w:r>
              <w:rPr>
                <w:rFonts w:ascii="Arial" w:cs="Arial" w:eastAsia="Arial" w:hAnsi="Arial"/>
                <w:b/>
                <w:bCs/>
                <w:color w:val="FFFFFF"/>
                <w:sz w:val="19"/>
                <w:szCs w:val="19"/>
              </w:rPr>
              <w:t xml:space="preserve">MCF.digital</w:t>
            </w:r>
          </w:p>
        </w:tc>
        <w:tc>
          <w:tcPr>
            <w:tcW w:type="dxa" w:w="2460"/>
            <w:tcBorders>
              <w:top w:val="single" w:color="CCCCCC" w:sz="1"/>
              <w:left w:val="single" w:color="CCCCCC" w:sz="1"/>
              <w:bottom w:val="single" w:color="CCCCCC" w:sz="1"/>
              <w:right w:val="single" w:color="CCCCCC" w:sz="1"/>
            </w:tcBorders>
            <w:shd w:fill="4A6FA5" w:val="clear"/>
            <w:tcMar>
              <w:top w:type="dxa" w:w="100"/>
              <w:left w:type="dxa" w:w="130"/>
              <w:bottom w:type="dxa" w:w="100"/>
              <w:right w:type="dxa" w:w="130"/>
            </w:tcMar>
          </w:tcPr>
          <w:p>
            <w:r>
              <w:rPr>
                <w:rFonts w:ascii="Arial" w:cs="Arial" w:eastAsia="Arial" w:hAnsi="Arial"/>
                <w:b/>
                <w:bCs/>
                <w:color w:val="FFFFFF"/>
                <w:sz w:val="19"/>
                <w:szCs w:val="19"/>
              </w:rPr>
              <w:t xml:space="preserve">tools.mcf.digital</w:t>
            </w:r>
          </w:p>
        </w:tc>
      </w:tr>
      <w:tr>
        <w:tc>
          <w:tcPr>
            <w:tcW w:type="dxa" w:w="20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color w:val="0A2342"/>
                <w:sz w:val="19"/>
                <w:szCs w:val="19"/>
              </w:rPr>
              <w:t xml:space="preserve">Primary business model</w:t>
            </w:r>
          </w:p>
        </w:tc>
        <w:tc>
          <w:tcPr>
            <w:tcW w:type="dxa" w:w="245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2B2B2B"/>
                <w:sz w:val="19"/>
                <w:szCs w:val="19"/>
              </w:rPr>
              <w:t xml:space="preserve">SaaS platform across the full project lifecycle</w:t>
            </w:r>
          </w:p>
        </w:tc>
        <w:tc>
          <w:tcPr>
            <w:tcW w:type="dxa" w:w="245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2B2B2B"/>
                <w:sz w:val="19"/>
                <w:szCs w:val="19"/>
              </w:rPr>
              <w:t xml:space="preserve">Operator and integrator. Delivered outcomes</w:t>
            </w:r>
          </w:p>
        </w:tc>
        <w:tc>
          <w:tcPr>
            <w:tcW w:type="dxa" w:w="246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2B2B2B"/>
                <w:sz w:val="19"/>
                <w:szCs w:val="19"/>
              </w:rPr>
              <w:t xml:space="preserve">Productized decision tool. Funnel and qualification layer</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bCs/>
                <w:color w:val="0A2342"/>
                <w:sz w:val="19"/>
                <w:szCs w:val="19"/>
              </w:rPr>
              <w:t xml:space="preserve">Core promise</w:t>
            </w:r>
          </w:p>
        </w:tc>
        <w:tc>
          <w:tcPr>
            <w:tcW w:type="dxa" w:w="245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B2B2B"/>
                <w:sz w:val="19"/>
                <w:szCs w:val="19"/>
              </w:rPr>
              <w:t xml:space="preserve">Run the lifecycle in one system</w:t>
            </w:r>
          </w:p>
        </w:tc>
        <w:tc>
          <w:tcPr>
            <w:tcW w:type="dxa" w:w="245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B2B2B"/>
                <w:sz w:val="19"/>
                <w:szCs w:val="19"/>
              </w:rPr>
              <w:t xml:space="preserve">Convert stranded or low-value gas into Bitcoin production via on-lease power and compute</w:t>
            </w:r>
          </w:p>
        </w:tc>
        <w:tc>
          <w:tcPr>
            <w:tcW w:type="dxa" w:w="24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B2B2B"/>
                <w:sz w:val="19"/>
                <w:szCs w:val="19"/>
              </w:rPr>
              <w:t xml:space="preserve">Show the economics fast. Feasibility and scenario clarity</w:t>
            </w:r>
          </w:p>
        </w:tc>
      </w:tr>
      <w:tr>
        <w:tc>
          <w:tcPr>
            <w:tcW w:type="dxa" w:w="20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color w:val="0A2342"/>
                <w:sz w:val="19"/>
                <w:szCs w:val="19"/>
              </w:rPr>
              <w:t xml:space="preserve">Explicit modules</w:t>
            </w:r>
          </w:p>
        </w:tc>
        <w:tc>
          <w:tcPr>
            <w:tcW w:type="dxa" w:w="245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2B2B2B"/>
                <w:sz w:val="19"/>
                <w:szCs w:val="19"/>
              </w:rPr>
              <w:t xml:space="preserve">Modeling, CRM, finder, marketplace, PM, site ops, data rooms, e-sign, nominations, AI/MCP</w:t>
            </w:r>
          </w:p>
        </w:tc>
        <w:tc>
          <w:tcPr>
            <w:tcW w:type="dxa" w:w="245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2B2B2B"/>
                <w:sz w:val="19"/>
                <w:szCs w:val="19"/>
              </w:rPr>
              <w:t xml:space="preserve">Four offers by buyer type. Build-and-run plus reporting plus custody-first payouts</w:t>
            </w:r>
          </w:p>
        </w:tc>
        <w:tc>
          <w:tcPr>
            <w:tcW w:type="dxa" w:w="246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2B2B2B"/>
                <w:sz w:val="19"/>
                <w:szCs w:val="19"/>
              </w:rPr>
              <w:t xml:space="preserve">Simulator. Economics tool that leads into MCF.digital system</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bCs/>
                <w:color w:val="0A2342"/>
                <w:sz w:val="19"/>
                <w:szCs w:val="19"/>
              </w:rPr>
              <w:t xml:space="preserve">Primary buyer</w:t>
            </w:r>
          </w:p>
        </w:tc>
        <w:tc>
          <w:tcPr>
            <w:tcW w:type="dxa" w:w="245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B2B2B"/>
                <w:sz w:val="19"/>
                <w:szCs w:val="19"/>
              </w:rPr>
              <w:t xml:space="preserve">Teams running many deals — developers, operators, vendors</w:t>
            </w:r>
          </w:p>
        </w:tc>
        <w:tc>
          <w:tcPr>
            <w:tcW w:type="dxa" w:w="245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B2B2B"/>
                <w:sz w:val="19"/>
                <w:szCs w:val="19"/>
              </w:rPr>
              <w:t xml:space="preserve">Operators, miners, capital allocators. Multi-party deal stakeholders</w:t>
            </w:r>
          </w:p>
        </w:tc>
        <w:tc>
          <w:tcPr>
            <w:tcW w:type="dxa" w:w="24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B2B2B"/>
                <w:sz w:val="19"/>
                <w:szCs w:val="19"/>
              </w:rPr>
              <w:t xml:space="preserve">Top-of-funnel prospects: operators, miners, investors evaluating fit</w:t>
            </w:r>
          </w:p>
        </w:tc>
      </w:tr>
      <w:tr>
        <w:tc>
          <w:tcPr>
            <w:tcW w:type="dxa" w:w="20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color w:val="0A2342"/>
                <w:sz w:val="19"/>
                <w:szCs w:val="19"/>
              </w:rPr>
              <w:t xml:space="preserve">Monetization logic</w:t>
            </w:r>
          </w:p>
        </w:tc>
        <w:tc>
          <w:tcPr>
            <w:tcW w:type="dxa" w:w="245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2B2B2B"/>
                <w:sz w:val="19"/>
                <w:szCs w:val="19"/>
              </w:rPr>
              <w:t xml:space="preserve">Subscription + potential marketplace take rate + switching costs</w:t>
            </w:r>
          </w:p>
        </w:tc>
        <w:tc>
          <w:tcPr>
            <w:tcW w:type="dxa" w:w="245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2B2B2B"/>
                <w:sz w:val="19"/>
                <w:szCs w:val="19"/>
              </w:rPr>
              <w:t xml:space="preserve">Project margins, hosting structures, rev-share, operational fees, deal origination</w:t>
            </w:r>
          </w:p>
        </w:tc>
        <w:tc>
          <w:tcPr>
            <w:tcW w:type="dxa" w:w="246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val="false"/>
                <w:bCs w:val="false"/>
                <w:color w:val="2B2B2B"/>
                <w:sz w:val="19"/>
                <w:szCs w:val="19"/>
              </w:rPr>
              <w:t xml:space="preserve">Freemium or paid tool — or free lead magnet that qualifies into MCF.digital</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bCs/>
                <w:color w:val="0A2342"/>
                <w:sz w:val="19"/>
                <w:szCs w:val="19"/>
              </w:rPr>
              <w:t xml:space="preserve">Moat type</w:t>
            </w:r>
          </w:p>
        </w:tc>
        <w:tc>
          <w:tcPr>
            <w:tcW w:type="dxa" w:w="245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B2B2B"/>
                <w:sz w:val="19"/>
                <w:szCs w:val="19"/>
              </w:rPr>
              <w:t xml:space="preserve">Product compounding and workflow lock-in</w:t>
            </w:r>
          </w:p>
        </w:tc>
        <w:tc>
          <w:tcPr>
            <w:tcW w:type="dxa" w:w="245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B2B2B"/>
                <w:sz w:val="19"/>
                <w:szCs w:val="19"/>
              </w:rPr>
              <w:t xml:space="preserve">Execution capability, commercial structures, field credibility, reporting trust</w:t>
            </w:r>
          </w:p>
        </w:tc>
        <w:tc>
          <w:tcPr>
            <w:tcW w:type="dxa" w:w="24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2B2B2B"/>
                <w:sz w:val="19"/>
                <w:szCs w:val="19"/>
              </w:rPr>
              <w:t xml:space="preserve">Distribution + becoming the default feasibility standard</w:t>
            </w:r>
          </w:p>
        </w:tc>
      </w:tr>
    </w:tbl>
    <w:p>
      <w:r>
        <w:br w:type="page"/>
      </w:r>
    </w:p>
    <w:p>
      <w:pPr>
        <w:pStyle w:val="Heading1"/>
        <w:spacing w:before="360" w:after="140"/>
      </w:pPr>
      <w:r>
        <w:rPr>
          <w:rFonts w:ascii="Arial" w:cs="Arial" w:eastAsia="Arial" w:hAnsi="Arial"/>
          <w:b/>
          <w:bCs/>
          <w:color w:val="0A2342"/>
          <w:sz w:val="30"/>
          <w:szCs w:val="30"/>
        </w:rPr>
        <w:t xml:space="preserve">4. Overlap and Divergence</w:t>
      </w:r>
    </w:p>
    <w:p>
      <w:pPr>
        <w:pBdr>
          <w:bottom w:val="single" w:color="C8D8E8" w:sz="4" w:space="1"/>
        </w:pBdr>
        <w:spacing w:before="180" w:after="180"/>
      </w:pPr>
      <w:r>
        <w:t xml:space="preserve"/>
      </w:r>
    </w:p>
    <w:p>
      <w:pPr>
        <w:pStyle w:val="Heading2"/>
        <w:spacing w:before="280" w:after="100"/>
      </w:pPr>
      <w:r>
        <w:rPr>
          <w:rFonts w:ascii="Arial" w:cs="Arial" w:eastAsia="Arial" w:hAnsi="Arial"/>
          <w:b/>
          <w:bCs/>
          <w:color w:val="0A2342"/>
          <w:sz w:val="24"/>
          <w:szCs w:val="24"/>
        </w:rPr>
        <w:t xml:space="preserve">4.1 Where Competition Is Real</w:t>
      </w:r>
    </w:p>
    <w:p>
      <w:pPr>
        <w:spacing w:before="80" w:after="80"/>
      </w:pPr>
      <w:r>
        <w:rPr>
          <w:rFonts w:ascii="Arial" w:cs="Arial" w:eastAsia="Arial" w:hAnsi="Arial"/>
          <w:color w:val="2B2B2B"/>
          <w:sz w:val="21"/>
          <w:szCs w:val="21"/>
        </w:rPr>
        <w:t xml:space="preserve">Both ecosystems operate in the stranded gas and distributed compute space. StrandedGas.pro explicitly lists mining containers in its marketplace categories — direct adjacency to the same asset class MCF.digital deploys. Both platforms claim to make projects easier to execute.</w:t>
      </w:r>
    </w:p>
    <w:p>
      <w:pPr>
        <w:spacing w:before="80" w:after="80"/>
      </w:pPr>
      <w:r>
        <w:rPr>
          <w:rFonts w:ascii="Arial" w:cs="Arial" w:eastAsia="Arial" w:hAnsi="Arial"/>
          <w:color w:val="2B2B2B"/>
          <w:sz w:val="21"/>
          <w:szCs w:val="21"/>
        </w:rPr>
        <w:t xml:space="preserve">Overlap is most significant at the deal evaluation stage. A prospect comparing options could encounter both platforms when researching "stranded gas monetization" or "Bitcoin mining on flare gas." This is the moment where positioning clarity matters most.</w:t>
      </w:r>
    </w:p>
    <w:p>
      <w:pPr>
        <w:spacing w:before="40" w:after="40"/>
      </w:pPr>
      <w:r>
        <w:t xml:space="preserve"/>
      </w:r>
    </w:p>
    <w:p>
      <w:pPr>
        <w:pStyle w:val="Heading2"/>
        <w:spacing w:before="280" w:after="100"/>
      </w:pPr>
      <w:r>
        <w:rPr>
          <w:rFonts w:ascii="Arial" w:cs="Arial" w:eastAsia="Arial" w:hAnsi="Arial"/>
          <w:b/>
          <w:bCs/>
          <w:color w:val="0A2342"/>
          <w:sz w:val="24"/>
          <w:szCs w:val="24"/>
        </w:rPr>
        <w:t xml:space="preserve">4.2 Where They Fundamentally Diverge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CCCCCC" w:sz="1"/>
              <w:left w:val="single" w:color="CCCCCC" w:sz="1"/>
              <w:bottom w:val="single" w:color="CCCCCC" w:sz="1"/>
              <w:right w:val="single" w:color="CCCCCC" w:sz="1"/>
            </w:tcBorders>
            <w:shd w:fill="0A2342" w:val="clear"/>
            <w:tcMar>
              <w:top w:type="dxa" w:w="100"/>
              <w:left w:type="dxa" w:w="140"/>
              <w:bottom w:type="dxa" w:w="100"/>
              <w:right w:type="dxa" w:w="140"/>
            </w:tcMar>
          </w:tcPr>
          <w:p>
            <w:r>
              <w:rPr>
                <w:rFonts w:ascii="Arial" w:cs="Arial" w:eastAsia="Arial" w:hAnsi="Arial"/>
                <w:b/>
                <w:bCs/>
                <w:color w:val="FFFFFF"/>
                <w:sz w:val="20"/>
                <w:szCs w:val="20"/>
              </w:rPr>
              <w:t xml:space="preserve">Property</w:t>
            </w:r>
          </w:p>
        </w:tc>
        <w:tc>
          <w:tcPr>
            <w:tcW w:type="dxa" w:w="3800"/>
            <w:tcBorders>
              <w:top w:val="single" w:color="CCCCCC" w:sz="1"/>
              <w:left w:val="single" w:color="CCCCCC" w:sz="1"/>
              <w:bottom w:val="single" w:color="CCCCCC" w:sz="1"/>
              <w:right w:val="single" w:color="CCCCCC" w:sz="1"/>
            </w:tcBorders>
            <w:shd w:fill="0A2342" w:val="clear"/>
            <w:tcMar>
              <w:top w:type="dxa" w:w="100"/>
              <w:left w:type="dxa" w:w="140"/>
              <w:bottom w:type="dxa" w:w="100"/>
              <w:right w:type="dxa" w:w="140"/>
            </w:tcMar>
          </w:tcPr>
          <w:p>
            <w:r>
              <w:rPr>
                <w:rFonts w:ascii="Arial" w:cs="Arial" w:eastAsia="Arial" w:hAnsi="Arial"/>
                <w:b/>
                <w:bCs/>
                <w:color w:val="FFFFFF"/>
                <w:sz w:val="20"/>
                <w:szCs w:val="20"/>
              </w:rPr>
              <w:t xml:space="preserve">What It Sells</w:t>
            </w:r>
          </w:p>
        </w:tc>
        <w:tc>
          <w:tcPr>
            <w:tcW w:type="dxa" w:w="3560"/>
            <w:tcBorders>
              <w:top w:val="single" w:color="CCCCCC" w:sz="1"/>
              <w:left w:val="single" w:color="CCCCCC" w:sz="1"/>
              <w:bottom w:val="single" w:color="CCCCCC" w:sz="1"/>
              <w:right w:val="single" w:color="CCCCCC" w:sz="1"/>
            </w:tcBorders>
            <w:shd w:fill="0A2342" w:val="clear"/>
            <w:tcMar>
              <w:top w:type="dxa" w:w="100"/>
              <w:left w:type="dxa" w:w="140"/>
              <w:bottom w:type="dxa" w:w="100"/>
              <w:right w:type="dxa" w:w="140"/>
            </w:tcMar>
          </w:tcPr>
          <w:p>
            <w:r>
              <w:rPr>
                <w:rFonts w:ascii="Arial" w:cs="Arial" w:eastAsia="Arial" w:hAnsi="Arial"/>
                <w:b/>
                <w:bCs/>
                <w:color w:val="FFFFFF"/>
                <w:sz w:val="20"/>
                <w:szCs w:val="20"/>
              </w:rPr>
              <w:t xml:space="preserve">What It Does Not Sell</w:t>
            </w:r>
          </w:p>
        </w:tc>
      </w:tr>
      <w:tr>
        <w:tc>
          <w:tcPr>
            <w:tcW w:type="dxa" w:w="20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r>
              <w:rPr>
                <w:rFonts w:ascii="Arial" w:cs="Arial" w:eastAsia="Arial" w:hAnsi="Arial"/>
                <w:b/>
                <w:bCs/>
                <w:color w:val="0A2342"/>
                <w:sz w:val="20"/>
                <w:szCs w:val="20"/>
              </w:rPr>
              <w:t xml:space="preserve">StrandedGas.pro</w:t>
            </w:r>
          </w:p>
        </w:tc>
        <w:tc>
          <w:tcPr>
            <w:tcW w:type="dxa" w:w="38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r>
              <w:rPr>
                <w:rFonts w:ascii="Arial" w:cs="Arial" w:eastAsia="Arial" w:hAnsi="Arial"/>
                <w:b w:val="false"/>
                <w:bCs w:val="false"/>
                <w:color w:val="2B2B2B"/>
                <w:sz w:val="20"/>
                <w:szCs w:val="20"/>
              </w:rPr>
              <w:t xml:space="preserve">Workflow and coordination infrastructure. A platform for teams that already intend to operate or develop projects.</w:t>
            </w:r>
          </w:p>
        </w:tc>
        <w:tc>
          <w:tcPr>
            <w:tcW w:type="dxa" w:w="35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r>
              <w:rPr>
                <w:rFonts w:ascii="Arial" w:cs="Arial" w:eastAsia="Arial" w:hAnsi="Arial"/>
                <w:b w:val="false"/>
                <w:bCs w:val="false"/>
                <w:color w:val="2B2B2B"/>
                <w:sz w:val="20"/>
                <w:szCs w:val="20"/>
              </w:rPr>
              <w:t xml:space="preserve">Accountability for outcomes. Does not commit to building or running a site.</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bCs/>
                <w:color w:val="0A2342"/>
                <w:sz w:val="20"/>
                <w:szCs w:val="20"/>
              </w:rPr>
              <w:t xml:space="preserve">MCF.digital</w:t>
            </w:r>
          </w:p>
        </w:tc>
        <w:tc>
          <w:tcPr>
            <w:tcW w:type="dxa" w:w="3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2B2B2B"/>
                <w:sz w:val="20"/>
                <w:szCs w:val="20"/>
              </w:rPr>
              <w:t xml:space="preserve">Accountability for outcomes. Matches parties and then builds and runs on-lease power and compute.</w:t>
            </w:r>
          </w:p>
        </w:tc>
        <w:tc>
          <w:tcPr>
            <w:tcW w:type="dxa" w:w="3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2B2B2B"/>
                <w:sz w:val="20"/>
                <w:szCs w:val="20"/>
              </w:rPr>
              <w:t xml:space="preserve">A general-purpose workflow OS. Does not sell seats or lifecycle tooling.</w:t>
            </w:r>
          </w:p>
        </w:tc>
      </w:tr>
      <w:tr>
        <w:tc>
          <w:tcPr>
            <w:tcW w:type="dxa" w:w="20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r>
              <w:rPr>
                <w:rFonts w:ascii="Arial" w:cs="Arial" w:eastAsia="Arial" w:hAnsi="Arial"/>
                <w:b/>
                <w:bCs/>
                <w:color w:val="0A2342"/>
                <w:sz w:val="20"/>
                <w:szCs w:val="20"/>
              </w:rPr>
              <w:t xml:space="preserve">tools.mcf.digital</w:t>
            </w:r>
          </w:p>
        </w:tc>
        <w:tc>
          <w:tcPr>
            <w:tcW w:type="dxa" w:w="38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r>
              <w:rPr>
                <w:rFonts w:ascii="Arial" w:cs="Arial" w:eastAsia="Arial" w:hAnsi="Arial"/>
                <w:b w:val="false"/>
                <w:bCs w:val="false"/>
                <w:color w:val="2B2B2B"/>
                <w:sz w:val="20"/>
                <w:szCs w:val="20"/>
              </w:rPr>
              <w:t xml:space="preserve">Speed of decision. Makes the economics obvious fast and routes qualified deals into MCF.digital.</w:t>
            </w:r>
          </w:p>
        </w:tc>
        <w:tc>
          <w:tcPr>
            <w:tcW w:type="dxa" w:w="35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r>
              <w:rPr>
                <w:rFonts w:ascii="Arial" w:cs="Arial" w:eastAsia="Arial" w:hAnsi="Arial"/>
                <w:b w:val="false"/>
                <w:bCs w:val="false"/>
                <w:color w:val="2B2B2B"/>
                <w:sz w:val="20"/>
                <w:szCs w:val="20"/>
              </w:rPr>
              <w:t xml:space="preserve">Operational execution. It is an entry point, not an operating system.</w:t>
            </w:r>
          </w:p>
        </w:tc>
      </w:tr>
    </w:tbl>
    <w:p>
      <w:pPr>
        <w:spacing w:before="40" w:after="40"/>
      </w:pPr>
      <w:r>
        <w:t xml:space="preserve"/>
      </w:r>
    </w:p>
    <w:p>
      <w:pPr>
        <w:spacing w:before="80" w:after="80"/>
      </w:pPr>
      <w:r>
        <w:rPr>
          <w:rFonts w:ascii="Arial" w:cs="Arial" w:eastAsia="Arial" w:hAnsi="Arial"/>
          <w:color w:val="2B2B2B"/>
          <w:sz w:val="21"/>
          <w:szCs w:val="21"/>
        </w:rPr>
        <w:t xml:space="preserve">The cleanest summary of the divergence: StrandedGas.pro helps you manage a project. MCF.digital takes responsibility for the project. That is a fundamentally different value proposition and should not be blurred in any marketing language.</w:t>
      </w:r>
    </w:p>
    <w:p>
      <w:r>
        <w:br w:type="page"/>
      </w:r>
    </w:p>
    <w:p>
      <w:pPr>
        <w:pStyle w:val="Heading1"/>
        <w:spacing w:before="360" w:after="140"/>
      </w:pPr>
      <w:r>
        <w:rPr>
          <w:rFonts w:ascii="Arial" w:cs="Arial" w:eastAsia="Arial" w:hAnsi="Arial"/>
          <w:b/>
          <w:bCs/>
          <w:color w:val="0A2342"/>
          <w:sz w:val="30"/>
          <w:szCs w:val="30"/>
        </w:rPr>
        <w:t xml:space="preserve">5. Strategic Positioning: The Chessboard</w:t>
      </w:r>
    </w:p>
    <w:p>
      <w:pPr>
        <w:pBdr>
          <w:bottom w:val="single" w:color="C8D8E8" w:sz="4" w:space="1"/>
        </w:pBdr>
        <w:spacing w:before="180" w:after="180"/>
      </w:pPr>
      <w:r>
        <w:t xml:space="preserve"/>
      </w:r>
    </w:p>
    <w:p>
      <w:pPr>
        <w:spacing w:before="80" w:after="80"/>
      </w:pPr>
      <w:r>
        <w:rPr>
          <w:rFonts w:ascii="Arial" w:cs="Arial" w:eastAsia="Arial" w:hAnsi="Arial"/>
          <w:color w:val="2B2B2B"/>
          <w:sz w:val="21"/>
          <w:szCs w:val="21"/>
        </w:rPr>
        <w:t xml:space="preserve">Mapping each property on two axes — product-first vs. outcome-first, and general lifecycle vs. stranded power and compute specialization — reveals the strategic landscape clearly.</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none" w:color="FFFFFF" w:sz="0"/>
              <w:left w:val="none" w:color="FFFFFF" w:sz="0"/>
              <w:bottom w:val="none" w:color="FFFFFF" w:sz="0"/>
              <w:right w:val="none" w:color="FFFFFF" w:sz="0"/>
            </w:tcBorders>
            <w:shd w:fill="FFFFFF" w:val="clear"/>
            <w:tcMar>
              <w:top w:type="dxa" w:w="100"/>
              <w:left w:type="dxa" w:w="140"/>
              <w:bottom w:type="dxa" w:w="100"/>
              <w:right w:type="dxa" w:w="140"/>
            </w:tcMar>
          </w:tcPr>
          <w:p>
            <w:r>
              <w:t xml:space="preserve"/>
            </w:r>
          </w:p>
        </w:tc>
        <w:tc>
          <w:tcPr>
            <w:tcW w:type="dxa" w:w="3780"/>
            <w:tcBorders>
              <w:top w:val="single" w:color="CCCCCC" w:sz="1"/>
              <w:left w:val="single" w:color="CCCCCC" w:sz="1"/>
              <w:bottom w:val="single" w:color="CCCCCC" w:sz="1"/>
              <w:right w:val="single" w:color="CCCCCC" w:sz="1"/>
            </w:tcBorders>
            <w:shd w:fill="0A2342"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Product-First (Tool / Platform)</w:t>
            </w:r>
          </w:p>
        </w:tc>
        <w:tc>
          <w:tcPr>
            <w:tcW w:type="dxa" w:w="3780"/>
            <w:tcBorders>
              <w:top w:val="single" w:color="CCCCCC" w:sz="1"/>
              <w:left w:val="single" w:color="CCCCCC" w:sz="1"/>
              <w:bottom w:val="single" w:color="CCCCCC" w:sz="1"/>
              <w:right w:val="single" w:color="CCCCCC" w:sz="1"/>
            </w:tcBorders>
            <w:shd w:fill="0A2342"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Outcome-First (Delivered Results)</w:t>
            </w:r>
          </w:p>
        </w:tc>
      </w:tr>
      <w:tr>
        <w:tc>
          <w:tcPr>
            <w:tcW w:type="dxa" w:w="1800"/>
            <w:tcBorders>
              <w:top w:val="single" w:color="CCCCCC" w:sz="1"/>
              <w:left w:val="single" w:color="CCCCCC" w:sz="1"/>
              <w:bottom w:val="single" w:color="CCCCCC" w:sz="1"/>
              <w:right w:val="single" w:color="CCCCCC" w:sz="1"/>
            </w:tcBorders>
            <w:shd w:fill="0A2342"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General
Lifecycle OS</w:t>
            </w:r>
          </w:p>
        </w:tc>
        <w:tc>
          <w:tcPr>
            <w:tcW w:type="dxa" w:w="3780"/>
            <w:tcBorders>
              <w:top w:val="single" w:color="CCCCCC" w:sz="1"/>
              <w:left w:val="single" w:color="CCCCCC" w:sz="1"/>
              <w:bottom w:val="single" w:color="CCCCCC" w:sz="1"/>
              <w:right w:val="single" w:color="CCCCCC" w:sz="1"/>
            </w:tcBorders>
            <w:shd w:fill="E8F5F0" w:val="clear"/>
            <w:tcMar>
              <w:top w:type="dxa" w:w="160"/>
              <w:left w:type="dxa" w:w="180"/>
              <w:bottom w:type="dxa" w:w="160"/>
              <w:right w:type="dxa" w:w="180"/>
            </w:tcMar>
          </w:tcPr>
          <w:p>
            <w:pPr>
              <w:spacing w:before="0" w:after="80"/>
            </w:pPr>
            <w:r>
              <w:rPr>
                <w:rFonts w:ascii="Arial" w:cs="Arial" w:eastAsia="Arial" w:hAnsi="Arial"/>
                <w:b/>
                <w:bCs/>
                <w:color w:val="0A2342"/>
                <w:sz w:val="20"/>
                <w:szCs w:val="20"/>
              </w:rPr>
              <w:t xml:space="preserve">Square A — Energy Lifecycle SaaS</w:t>
            </w:r>
          </w:p>
          <w:p>
            <w:r>
              <w:rPr>
                <w:rFonts w:ascii="Arial" w:cs="Arial" w:eastAsia="Arial" w:hAnsi="Arial"/>
                <w:i/>
                <w:iCs/>
                <w:color w:val="666666"/>
                <w:sz w:val="19"/>
                <w:szCs w:val="19"/>
              </w:rPr>
              <w:t xml:space="preserve">StrandedGas.pro owns this</w:t>
            </w:r>
          </w:p>
        </w:tc>
        <w:tc>
          <w:tcPr>
            <w:tcW w:type="dxa" w:w="3780"/>
            <w:tcBorders>
              <w:top w:val="single" w:color="CCCCCC" w:sz="1"/>
              <w:left w:val="single" w:color="CCCCCC" w:sz="1"/>
              <w:bottom w:val="single" w:color="CCCCCC" w:sz="1"/>
              <w:right w:val="single" w:color="CCCCCC" w:sz="1"/>
            </w:tcBorders>
            <w:shd w:fill="F2F2F2" w:val="clear"/>
            <w:tcMar>
              <w:top w:type="dxa" w:w="160"/>
              <w:left w:type="dxa" w:w="180"/>
              <w:bottom w:type="dxa" w:w="160"/>
              <w:right w:type="dxa" w:w="180"/>
            </w:tcMar>
          </w:tcPr>
          <w:p>
            <w:pPr>
              <w:spacing w:before="0" w:after="80"/>
            </w:pPr>
            <w:r>
              <w:rPr>
                <w:rFonts w:ascii="Arial" w:cs="Arial" w:eastAsia="Arial" w:hAnsi="Arial"/>
                <w:b/>
                <w:bCs/>
                <w:color w:val="0A2342"/>
                <w:sz w:val="20"/>
                <w:szCs w:val="20"/>
              </w:rPr>
              <w:t xml:space="preserve">Square B — Generic EPC &amp; Operators</w:t>
            </w:r>
          </w:p>
          <w:p>
            <w:r>
              <w:rPr>
                <w:rFonts w:ascii="Arial" w:cs="Arial" w:eastAsia="Arial" w:hAnsi="Arial"/>
                <w:i/>
                <w:iCs/>
                <w:color w:val="666666"/>
                <w:sz w:val="19"/>
                <w:szCs w:val="19"/>
              </w:rPr>
              <w:t xml:space="preserve">General build-and-operate firms</w:t>
            </w:r>
          </w:p>
        </w:tc>
      </w:tr>
      <w:tr>
        <w:tc>
          <w:tcPr>
            <w:tcW w:type="dxa" w:w="1800"/>
            <w:tcBorders>
              <w:top w:val="single" w:color="CCCCCC" w:sz="1"/>
              <w:left w:val="single" w:color="CCCCCC" w:sz="1"/>
              <w:bottom w:val="single" w:color="CCCCCC" w:sz="1"/>
              <w:right w:val="single" w:color="CCCCCC" w:sz="1"/>
            </w:tcBorders>
            <w:shd w:fill="0A2342"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Stranded Power
+ Compute</w:t>
            </w:r>
          </w:p>
        </w:tc>
        <w:tc>
          <w:tcPr>
            <w:tcW w:type="dxa" w:w="3780"/>
            <w:tcBorders>
              <w:top w:val="single" w:color="CCCCCC" w:sz="1"/>
              <w:left w:val="single" w:color="CCCCCC" w:sz="1"/>
              <w:bottom w:val="single" w:color="CCCCCC" w:sz="1"/>
              <w:right w:val="single" w:color="CCCCCC" w:sz="1"/>
            </w:tcBorders>
            <w:shd w:fill="FFF4EE" w:val="clear"/>
            <w:tcMar>
              <w:top w:type="dxa" w:w="160"/>
              <w:left w:type="dxa" w:w="180"/>
              <w:bottom w:type="dxa" w:w="160"/>
              <w:right w:type="dxa" w:w="180"/>
            </w:tcMar>
          </w:tcPr>
          <w:p>
            <w:pPr>
              <w:spacing w:before="0" w:after="80"/>
            </w:pPr>
            <w:r>
              <w:rPr>
                <w:rFonts w:ascii="Arial" w:cs="Arial" w:eastAsia="Arial" w:hAnsi="Arial"/>
                <w:b/>
                <w:bCs/>
                <w:color w:val="0A2342"/>
                <w:sz w:val="20"/>
                <w:szCs w:val="20"/>
              </w:rPr>
              <w:t xml:space="preserve">Square C — Decision Tools &amp; Calculators</w:t>
            </w:r>
          </w:p>
          <w:p>
            <w:r>
              <w:rPr>
                <w:rFonts w:ascii="Arial" w:cs="Arial" w:eastAsia="Arial" w:hAnsi="Arial"/>
                <w:i/>
                <w:iCs/>
                <w:color w:val="666666"/>
                <w:sz w:val="19"/>
                <w:szCs w:val="19"/>
              </w:rPr>
              <w:t xml:space="preserve">tools.mcf.digital targets this</w:t>
            </w:r>
          </w:p>
        </w:tc>
        <w:tc>
          <w:tcPr>
            <w:tcW w:type="dxa" w:w="3780"/>
            <w:tcBorders>
              <w:top w:val="single" w:color="CCCCCC" w:sz="1"/>
              <w:left w:val="single" w:color="CCCCCC" w:sz="1"/>
              <w:bottom w:val="single" w:color="CCCCCC" w:sz="1"/>
              <w:right w:val="single" w:color="CCCCCC" w:sz="1"/>
            </w:tcBorders>
            <w:shd w:fill="E8F0F8" w:val="clear"/>
            <w:tcMar>
              <w:top w:type="dxa" w:w="160"/>
              <w:left w:type="dxa" w:w="180"/>
              <w:bottom w:type="dxa" w:w="160"/>
              <w:right w:type="dxa" w:w="180"/>
            </w:tcMar>
          </w:tcPr>
          <w:p>
            <w:pPr>
              <w:spacing w:before="0" w:after="80"/>
            </w:pPr>
            <w:r>
              <w:rPr>
                <w:rFonts w:ascii="Arial" w:cs="Arial" w:eastAsia="Arial" w:hAnsi="Arial"/>
                <w:b/>
                <w:bCs/>
                <w:color w:val="0A2342"/>
                <w:sz w:val="20"/>
                <w:szCs w:val="20"/>
              </w:rPr>
              <w:t xml:space="preserve">Square D — Build-and-Run Operator</w:t>
            </w:r>
          </w:p>
          <w:p>
            <w:r>
              <w:rPr>
                <w:rFonts w:ascii="Arial" w:cs="Arial" w:eastAsia="Arial" w:hAnsi="Arial"/>
                <w:i/>
                <w:iCs/>
                <w:color w:val="666666"/>
                <w:sz w:val="19"/>
                <w:szCs w:val="19"/>
              </w:rPr>
              <w:t xml:space="preserve">MCF.digital dominates here ✓</w:t>
            </w:r>
          </w:p>
        </w:tc>
      </w:tr>
    </w:tbl>
    <w:p>
      <w:pPr>
        <w:spacing w:before="40" w:after="4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8" w:val="clear"/>
            <w:tcMar>
              <w:top w:type="dxa" w:w="160"/>
              <w:left w:type="dxa" w:w="220"/>
              <w:bottom w:type="dxa" w:w="160"/>
              <w:right w:type="dxa" w:w="220"/>
            </w:tcMar>
          </w:tcPr>
          <w:p>
            <w:pPr>
              <w:spacing w:before="0" w:after="80"/>
            </w:pPr>
            <w:r>
              <w:rPr>
                <w:rFonts w:ascii="Arial" w:cs="Arial" w:eastAsia="Arial" w:hAnsi="Arial"/>
                <w:b/>
                <w:bCs/>
                <w:color w:val="0A2342"/>
                <w:sz w:val="21"/>
                <w:szCs w:val="21"/>
              </w:rPr>
              <w:t xml:space="preserve">Strategic Conclusion</w:t>
            </w:r>
          </w:p>
          <w:p>
            <w:pPr>
              <w:spacing w:before="40" w:after="40"/>
            </w:pPr>
            <w:r>
              <w:rPr>
                <w:rFonts w:ascii="Arial" w:cs="Arial" w:eastAsia="Arial" w:hAnsi="Arial"/>
                <w:color w:val="2B2B2B"/>
                <w:sz w:val="20"/>
                <w:szCs w:val="20"/>
              </w:rPr>
              <w:t xml:space="preserve">MCF.digital must not fight in Square A. That is StrandedGas.pro's home court — and competing there becomes a feature war and a seat-price war that MCF.digital cannot win and should not enter.</w:t>
            </w:r>
          </w:p>
          <w:p>
            <w:pPr>
              <w:spacing w:before="40" w:after="40"/>
            </w:pPr>
            <w:r>
              <w:rPr>
                <w:rFonts w:ascii="Arial" w:cs="Arial" w:eastAsia="Arial" w:hAnsi="Arial"/>
                <w:color w:val="2B2B2B"/>
                <w:sz w:val="20"/>
                <w:szCs w:val="20"/>
              </w:rPr>
              <w:t xml:space="preserve"/>
            </w:r>
          </w:p>
          <w:p>
            <w:pPr>
              <w:spacing w:before="40" w:after="40"/>
            </w:pPr>
            <w:r>
              <w:rPr>
                <w:rFonts w:ascii="Arial" w:cs="Arial" w:eastAsia="Arial" w:hAnsi="Arial"/>
                <w:color w:val="2B2B2B"/>
                <w:sz w:val="20"/>
                <w:szCs w:val="20"/>
              </w:rPr>
              <w:t xml:space="preserve">MCF.digital wins by dominating Square D: the build-and-run stranded compute operator. tools.mcf.digital owns Square C as the feeder lane — the fastest, most accessible on-ramp to Square D.</w:t>
            </w:r>
          </w:p>
          <w:p>
            <w:pPr>
              <w:spacing w:before="40" w:after="40"/>
            </w:pPr>
            <w:r>
              <w:rPr>
                <w:rFonts w:ascii="Arial" w:cs="Arial" w:eastAsia="Arial" w:hAnsi="Arial"/>
                <w:color w:val="2B2B2B"/>
                <w:sz w:val="20"/>
                <w:szCs w:val="20"/>
              </w:rPr>
              <w:t xml:space="preserve"/>
            </w:r>
          </w:p>
          <w:p>
            <w:pPr>
              <w:spacing w:before="40" w:after="40"/>
            </w:pPr>
            <w:r>
              <w:rPr>
                <w:rFonts w:ascii="Arial" w:cs="Arial" w:eastAsia="Arial" w:hAnsi="Arial"/>
                <w:color w:val="2B2B2B"/>
                <w:sz w:val="20"/>
                <w:szCs w:val="20"/>
              </w:rPr>
              <w:t xml:space="preserve">The two squares are not competitors. They are a funnel.</w:t>
            </w:r>
          </w:p>
        </w:tc>
      </w:tr>
    </w:tbl>
    <w:p>
      <w:pPr>
        <w:spacing w:before="40" w:after="40"/>
      </w:pPr>
      <w:r>
        <w:t xml:space="preserve"/>
      </w:r>
    </w:p>
    <w:p>
      <w:r>
        <w:br w:type="page"/>
      </w:r>
    </w:p>
    <w:p>
      <w:pPr>
        <w:pStyle w:val="Heading1"/>
        <w:spacing w:before="360" w:after="140"/>
      </w:pPr>
      <w:r>
        <w:rPr>
          <w:rFonts w:ascii="Arial" w:cs="Arial" w:eastAsia="Arial" w:hAnsi="Arial"/>
          <w:b/>
          <w:bCs/>
          <w:color w:val="0A2342"/>
          <w:sz w:val="30"/>
          <w:szCs w:val="30"/>
        </w:rPr>
        <w:t xml:space="preserve">6. Messaging Architecture</w:t>
      </w:r>
    </w:p>
    <w:p>
      <w:pPr>
        <w:pBdr>
          <w:bottom w:val="single" w:color="C8D8E8" w:sz="4" w:space="1"/>
        </w:pBdr>
        <w:spacing w:before="180" w:after="180"/>
      </w:pPr>
      <w:r>
        <w:t xml:space="preserve"/>
      </w:r>
    </w:p>
    <w:p>
      <w:pPr>
        <w:spacing w:before="80" w:after="80"/>
      </w:pPr>
      <w:r>
        <w:rPr>
          <w:rFonts w:ascii="Arial" w:cs="Arial" w:eastAsia="Arial" w:hAnsi="Arial"/>
          <w:color w:val="2B2B2B"/>
          <w:sz w:val="21"/>
          <w:szCs w:val="21"/>
        </w:rPr>
        <w:t xml:space="preserve">The table below identifies where MCF.digital should echo category norms for credibility, and where it should diverge to create competitive distance.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0A2342" w:val="clear"/>
            <w:tcMar>
              <w:top w:type="dxa" w:w="100"/>
              <w:left w:type="dxa" w:w="140"/>
              <w:bottom w:type="dxa" w:w="100"/>
              <w:right w:type="dxa" w:w="140"/>
            </w:tcMar>
          </w:tcPr>
          <w:p>
            <w:r>
              <w:rPr>
                <w:rFonts w:ascii="Arial" w:cs="Arial" w:eastAsia="Arial" w:hAnsi="Arial"/>
                <w:b/>
                <w:bCs/>
                <w:color w:val="FFFFFF"/>
                <w:sz w:val="20"/>
                <w:szCs w:val="20"/>
              </w:rPr>
              <w:t xml:space="preserve">Topic</w:t>
            </w:r>
          </w:p>
        </w:tc>
        <w:tc>
          <w:tcPr>
            <w:tcW w:type="dxa" w:w="7560"/>
            <w:tcBorders>
              <w:top w:val="single" w:color="CCCCCC" w:sz="1"/>
              <w:left w:val="single" w:color="CCCCCC" w:sz="1"/>
              <w:bottom w:val="single" w:color="CCCCCC" w:sz="1"/>
              <w:right w:val="single" w:color="CCCCCC" w:sz="1"/>
            </w:tcBorders>
            <w:shd w:fill="0A2342" w:val="clear"/>
            <w:tcMar>
              <w:top w:type="dxa" w:w="100"/>
              <w:left w:type="dxa" w:w="140"/>
              <w:bottom w:type="dxa" w:w="100"/>
              <w:right w:type="dxa" w:w="140"/>
            </w:tcMar>
          </w:tcPr>
          <w:p>
            <w:r>
              <w:rPr>
                <w:rFonts w:ascii="Arial" w:cs="Arial" w:eastAsia="Arial" w:hAnsi="Arial"/>
                <w:b/>
                <w:bCs/>
                <w:color w:val="FFFFFF"/>
                <w:sz w:val="20"/>
                <w:szCs w:val="20"/>
              </w:rPr>
              <w:t xml:space="preserve">Say the Same (Legitimacy) vs. Say Different (To Win)</w:t>
            </w:r>
          </w:p>
        </w:tc>
      </w:tr>
      <w:tr>
        <w:tc>
          <w:tcPr>
            <w:tcW w:type="dxa" w:w="18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r>
              <w:rPr>
                <w:rFonts w:ascii="Arial" w:cs="Arial" w:eastAsia="Arial" w:hAnsi="Arial"/>
                <w:b/>
                <w:bCs/>
                <w:color w:val="0A2342"/>
                <w:sz w:val="20"/>
                <w:szCs w:val="20"/>
              </w:rPr>
              <w:t xml:space="preserve">Category</w:t>
            </w:r>
          </w:p>
        </w:tc>
        <w:tc>
          <w:tcPr>
            <w:tcW w:type="dxa" w:w="75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r>
              <w:rPr>
                <w:rFonts w:ascii="Arial" w:cs="Arial" w:eastAsia="Arial" w:hAnsi="Arial"/>
                <w:b w:val="false"/>
                <w:bCs w:val="false"/>
                <w:color w:val="2B2B2B"/>
                <w:sz w:val="20"/>
                <w:szCs w:val="20"/>
              </w:rPr>
              <w:t xml:space="preserve">Say the same: Standardization, workflow, auditability. Say different: We are not selling seats. We deliver operating assets and results.</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bCs/>
                <w:color w:val="0A2342"/>
                <w:sz w:val="20"/>
                <w:szCs w:val="20"/>
              </w:rPr>
              <w:t xml:space="preserve">Differentiator</w:t>
            </w:r>
          </w:p>
        </w:tc>
        <w:tc>
          <w:tcPr>
            <w:tcW w:type="dxa" w:w="7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2B2B2B"/>
                <w:sz w:val="20"/>
                <w:szCs w:val="20"/>
              </w:rPr>
              <w:t xml:space="preserve">Say the same: Clear documentation, reduced friction. Say different: We collapse multi-party integration risk by being accountable for build, run, and reporting.</w:t>
            </w:r>
          </w:p>
        </w:tc>
      </w:tr>
      <w:tr>
        <w:tc>
          <w:tcPr>
            <w:tcW w:type="dxa" w:w="18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r>
              <w:rPr>
                <w:rFonts w:ascii="Arial" w:cs="Arial" w:eastAsia="Arial" w:hAnsi="Arial"/>
                <w:b/>
                <w:bCs/>
                <w:color w:val="0A2342"/>
                <w:sz w:val="20"/>
                <w:szCs w:val="20"/>
              </w:rPr>
              <w:t xml:space="preserve">Product</w:t>
            </w:r>
          </w:p>
        </w:tc>
        <w:tc>
          <w:tcPr>
            <w:tcW w:type="dxa" w:w="75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r>
              <w:rPr>
                <w:rFonts w:ascii="Arial" w:cs="Arial" w:eastAsia="Arial" w:hAnsi="Arial"/>
                <w:b w:val="false"/>
                <w:bCs w:val="false"/>
                <w:color w:val="2B2B2B"/>
                <w:sz w:val="20"/>
                <w:szCs w:val="20"/>
              </w:rPr>
              <w:t xml:space="preserve">Say the same: Tools exist and matter. Say different: Tools are the front door. Operations and deal structure are the business.</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bCs/>
                <w:color w:val="0A2342"/>
                <w:sz w:val="20"/>
                <w:szCs w:val="20"/>
              </w:rPr>
              <w:t xml:space="preserve">AI</w:t>
            </w:r>
          </w:p>
        </w:tc>
        <w:tc>
          <w:tcPr>
            <w:tcW w:type="dxa" w:w="7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2B2B2B"/>
                <w:sz w:val="20"/>
                <w:szCs w:val="20"/>
              </w:rPr>
              <w:t xml:space="preserve">Say the same: AI can accelerate workflows. Say different: AI is not the moat. Field execution and commercial structuring is.</w:t>
            </w:r>
          </w:p>
        </w:tc>
      </w:tr>
    </w:tbl>
    <w:p>
      <w:pPr>
        <w:spacing w:before="40" w:after="40"/>
      </w:pPr>
      <w:r>
        <w:t xml:space="preserve"/>
      </w:r>
    </w:p>
    <w:p>
      <w:pPr>
        <w:pStyle w:val="Heading2"/>
        <w:spacing w:before="280" w:after="100"/>
      </w:pPr>
      <w:r>
        <w:rPr>
          <w:rFonts w:ascii="Arial" w:cs="Arial" w:eastAsia="Arial" w:hAnsi="Arial"/>
          <w:b/>
          <w:bCs/>
          <w:color w:val="0A2342"/>
          <w:sz w:val="24"/>
          <w:szCs w:val="24"/>
        </w:rPr>
        <w:t xml:space="preserve">6.1 What MCF.digital Must Never Say</w:t>
      </w:r>
    </w:p>
    <w:p>
      <w:pPr>
        <w:pStyle w:val="ListParagraph"/>
        <w:numPr>
          <w:ilvl w:val="0"/>
          <w:numId w:val="2"/>
        </w:numPr>
        <w:spacing w:before="60" w:after="60"/>
      </w:pPr>
      <w:r>
        <w:rPr>
          <w:rFonts w:ascii="Arial" w:cs="Arial" w:eastAsia="Arial" w:hAnsi="Arial"/>
          <w:color w:val="2B2B2B"/>
          <w:sz w:val="21"/>
          <w:szCs w:val="21"/>
        </w:rPr>
        <w:t xml:space="preserve">"Our platform includes [list of modules]" — this is StrandedGas.pro's frame and MCF.digital will lose on module count</w:t>
      </w:r>
    </w:p>
    <w:p>
      <w:pPr>
        <w:pStyle w:val="ListParagraph"/>
        <w:numPr>
          <w:ilvl w:val="0"/>
          <w:numId w:val="2"/>
        </w:numPr>
        <w:spacing w:before="60" w:after="60"/>
      </w:pPr>
      <w:r>
        <w:rPr>
          <w:rFonts w:ascii="Arial" w:cs="Arial" w:eastAsia="Arial" w:hAnsi="Arial"/>
          <w:color w:val="2B2B2B"/>
          <w:sz w:val="21"/>
          <w:szCs w:val="21"/>
        </w:rPr>
        <w:t xml:space="preserve">"We help you manage your gas-to-hash projects" — this gives away the outcome ownership that is MCF.digital's core value</w:t>
      </w:r>
    </w:p>
    <w:p>
      <w:pPr>
        <w:pStyle w:val="ListParagraph"/>
        <w:numPr>
          <w:ilvl w:val="0"/>
          <w:numId w:val="2"/>
        </w:numPr>
        <w:spacing w:before="60" w:after="60"/>
      </w:pPr>
      <w:r>
        <w:rPr>
          <w:rFonts w:ascii="Arial" w:cs="Arial" w:eastAsia="Arial" w:hAnsi="Arial"/>
          <w:color w:val="2B2B2B"/>
          <w:sz w:val="21"/>
          <w:szCs w:val="21"/>
        </w:rPr>
        <w:t xml:space="preserve">"AI-powered lifecycle management" — competing on AI tooling before establishing execution credibility is the wrong sequence</w:t>
      </w:r>
    </w:p>
    <w:p>
      <w:pPr>
        <w:spacing w:before="40" w:after="40"/>
      </w:pPr>
      <w:r>
        <w:t xml:space="preserve"/>
      </w:r>
    </w:p>
    <w:p>
      <w:pPr>
        <w:pStyle w:val="Heading2"/>
        <w:spacing w:before="280" w:after="100"/>
      </w:pPr>
      <w:r>
        <w:rPr>
          <w:rFonts w:ascii="Arial" w:cs="Arial" w:eastAsia="Arial" w:hAnsi="Arial"/>
          <w:b/>
          <w:bCs/>
          <w:color w:val="0A2342"/>
          <w:sz w:val="24"/>
          <w:szCs w:val="24"/>
        </w:rPr>
        <w:t xml:space="preserve">6.2 What MCF.digital Must Always Say</w:t>
      </w:r>
    </w:p>
    <w:p>
      <w:pPr>
        <w:pStyle w:val="ListParagraph"/>
        <w:numPr>
          <w:ilvl w:val="0"/>
          <w:numId w:val="2"/>
        </w:numPr>
        <w:spacing w:before="60" w:after="60"/>
      </w:pPr>
      <w:r>
        <w:rPr>
          <w:rFonts w:ascii="Arial" w:cs="Arial" w:eastAsia="Arial" w:hAnsi="Arial"/>
          <w:color w:val="2B2B2B"/>
          <w:sz w:val="21"/>
          <w:szCs w:val="21"/>
        </w:rPr>
        <w:t xml:space="preserve">We match the parties, we build the site, we run the operations — one entity accountable for all three</w:t>
      </w:r>
    </w:p>
    <w:p>
      <w:pPr>
        <w:pStyle w:val="ListParagraph"/>
        <w:numPr>
          <w:ilvl w:val="0"/>
          <w:numId w:val="2"/>
        </w:numPr>
        <w:spacing w:before="60" w:after="60"/>
      </w:pPr>
      <w:r>
        <w:rPr>
          <w:rFonts w:ascii="Arial" w:cs="Arial" w:eastAsia="Arial" w:hAnsi="Arial"/>
          <w:color w:val="2B2B2B"/>
          <w:sz w:val="21"/>
          <w:szCs w:val="21"/>
        </w:rPr>
        <w:t xml:space="preserve">Operators do not manage mining. They deliver gas. We handle everything else.</w:t>
      </w:r>
    </w:p>
    <w:p>
      <w:pPr>
        <w:pStyle w:val="ListParagraph"/>
        <w:numPr>
          <w:ilvl w:val="0"/>
          <w:numId w:val="2"/>
        </w:numPr>
        <w:spacing w:before="60" w:after="60"/>
      </w:pPr>
      <w:r>
        <w:rPr>
          <w:rFonts w:ascii="Arial" w:cs="Arial" w:eastAsia="Arial" w:hAnsi="Arial"/>
          <w:color w:val="2B2B2B"/>
          <w:sz w:val="21"/>
          <w:szCs w:val="21"/>
        </w:rPr>
        <w:t xml:space="preserve">Custody-first payouts. Clean reporting. The trust layer that capital allocators need before committing to stranded assets.</w:t>
      </w:r>
    </w:p>
    <w:p>
      <w:pPr>
        <w:spacing w:before="40" w:after="40"/>
      </w:pPr>
      <w:r>
        <w:t xml:space="preserve"/>
      </w:r>
    </w:p>
    <w:p>
      <w:pPr>
        <w:pStyle w:val="Heading2"/>
        <w:spacing w:before="280" w:after="100"/>
      </w:pPr>
      <w:r>
        <w:rPr>
          <w:rFonts w:ascii="Arial" w:cs="Arial" w:eastAsia="Arial" w:hAnsi="Arial"/>
          <w:b/>
          <w:bCs/>
          <w:color w:val="0A2342"/>
          <w:sz w:val="24"/>
          <w:szCs w:val="24"/>
        </w:rPr>
        <w:t xml:space="preserve">6.3 What tools.mcf.digital Must Say</w:t>
      </w:r>
    </w:p>
    <w:p>
      <w:pPr>
        <w:pStyle w:val="ListParagraph"/>
        <w:numPr>
          <w:ilvl w:val="0"/>
          <w:numId w:val="2"/>
        </w:numPr>
        <w:spacing w:before="60" w:after="60"/>
      </w:pPr>
      <w:r>
        <w:rPr>
          <w:rFonts w:ascii="Arial" w:cs="Arial" w:eastAsia="Arial" w:hAnsi="Arial"/>
          <w:color w:val="2B2B2B"/>
          <w:sz w:val="21"/>
          <w:szCs w:val="21"/>
        </w:rPr>
        <w:t xml:space="preserve">Run your pad's numbers in three minutes — no commitment, no sales call</w:t>
      </w:r>
    </w:p>
    <w:p>
      <w:pPr>
        <w:pStyle w:val="ListParagraph"/>
        <w:numPr>
          <w:ilvl w:val="0"/>
          <w:numId w:val="2"/>
        </w:numPr>
        <w:spacing w:before="60" w:after="60"/>
      </w:pPr>
      <w:r>
        <w:rPr>
          <w:rFonts w:ascii="Arial" w:cs="Arial" w:eastAsia="Arial" w:hAnsi="Arial"/>
          <w:color w:val="2B2B2B"/>
          <w:sz w:val="21"/>
          <w:szCs w:val="21"/>
        </w:rPr>
        <w:t xml:space="preserve">If it pencils, here is exactly what happens next</w:t>
      </w:r>
    </w:p>
    <w:p>
      <w:pPr>
        <w:pStyle w:val="ListParagraph"/>
        <w:numPr>
          <w:ilvl w:val="0"/>
          <w:numId w:val="2"/>
        </w:numPr>
        <w:spacing w:before="60" w:after="60"/>
      </w:pPr>
      <w:r>
        <w:rPr>
          <w:rFonts w:ascii="Arial" w:cs="Arial" w:eastAsia="Arial" w:hAnsi="Arial"/>
          <w:color w:val="2B2B2B"/>
          <w:sz w:val="21"/>
          <w:szCs w:val="21"/>
        </w:rPr>
        <w:t xml:space="preserve">This is MCF.digital's calculator. Not a standalone product — the front door to the build-and-run system.</w:t>
      </w:r>
    </w:p>
    <w:p>
      <w:r>
        <w:br w:type="page"/>
      </w:r>
    </w:p>
    <w:p>
      <w:pPr>
        <w:pStyle w:val="Heading1"/>
        <w:spacing w:before="360" w:after="140"/>
      </w:pPr>
      <w:r>
        <w:rPr>
          <w:rFonts w:ascii="Arial" w:cs="Arial" w:eastAsia="Arial" w:hAnsi="Arial"/>
          <w:b/>
          <w:bCs/>
          <w:color w:val="0A2342"/>
          <w:sz w:val="30"/>
          <w:szCs w:val="30"/>
        </w:rPr>
        <w:t xml:space="preserve">7. Funnel Architecture</w:t>
      </w:r>
    </w:p>
    <w:p>
      <w:pPr>
        <w:pBdr>
          <w:bottom w:val="single" w:color="C8D8E8" w:sz="4" w:space="1"/>
        </w:pBdr>
        <w:spacing w:before="180" w:after="180"/>
      </w:pPr>
      <w:r>
        <w:t xml:space="preserve"/>
      </w:r>
    </w:p>
    <w:p>
      <w:pPr>
        <w:spacing w:before="80" w:after="80"/>
      </w:pPr>
      <w:r>
        <w:rPr>
          <w:rFonts w:ascii="Arial" w:cs="Arial" w:eastAsia="Arial" w:hAnsi="Arial"/>
          <w:color w:val="2B2B2B"/>
          <w:sz w:val="21"/>
          <w:szCs w:val="21"/>
        </w:rPr>
        <w:t xml:space="preserve">The three properties should function as a connected acquisition and qualification system, not as parallel independent brands. The ideal flow is sequential:</w:t>
      </w:r>
    </w:p>
    <w:p>
      <w:pPr>
        <w:spacing w:before="40" w:after="4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0"/>
        <w:gridCol w:w="2880"/>
        <w:gridCol w:w="6000"/>
      </w:tblGrid>
      <w:tr>
        <w:tc>
          <w:tcPr>
            <w:tcW w:type="dxa" w:w="480"/>
            <w:tcBorders>
              <w:top w:val="none" w:color="FFFFFF" w:sz="0"/>
              <w:left w:val="none" w:color="FFFFFF" w:sz="0"/>
              <w:bottom w:val="none" w:color="FFFFFF" w:sz="0"/>
              <w:right w:val="none" w:color="FFFFFF" w:sz="0"/>
            </w:tcBorders>
            <w:shd w:fill="0A2342"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①</w:t>
            </w:r>
          </w:p>
        </w:tc>
        <w:tc>
          <w:tcPr>
            <w:tcW w:type="dxa" w:w="2880"/>
            <w:tcBorders>
              <w:top w:val="none" w:color="FFFFFF" w:sz="0"/>
              <w:left w:val="none" w:color="FFFFFF" w:sz="0"/>
              <w:bottom w:val="none" w:color="FFFFFF" w:sz="0"/>
              <w:right w:val="none" w:color="FFFFFF" w:sz="0"/>
            </w:tcBorders>
            <w:shd w:fill="E8F0F8" w:val="clear"/>
            <w:tcMar>
              <w:top w:type="dxa" w:w="100"/>
              <w:left w:type="dxa" w:w="140"/>
              <w:bottom w:type="dxa" w:w="100"/>
              <w:right w:type="dxa" w:w="140"/>
            </w:tcMar>
          </w:tcPr>
          <w:p>
            <w:r>
              <w:rPr>
                <w:rFonts w:ascii="Arial" w:cs="Arial" w:eastAsia="Arial" w:hAnsi="Arial"/>
                <w:b/>
                <w:bCs/>
                <w:color w:val="0A2342"/>
                <w:sz w:val="20"/>
                <w:szCs w:val="20"/>
              </w:rPr>
              <w:t xml:space="preserve">tools.mcf.digital</w:t>
            </w:r>
          </w:p>
        </w:tc>
        <w:tc>
          <w:tcPr>
            <w:tcW w:type="dxa" w:w="6000"/>
            <w:tcBorders>
              <w:top w:val="none" w:color="FFFFFF" w:sz="0"/>
              <w:left w:val="none" w:color="FFFFFF" w:sz="0"/>
              <w:bottom w:val="none" w:color="FFFFFF" w:sz="0"/>
              <w:right w:val="none" w:color="FFFFFF" w:sz="0"/>
            </w:tcBorders>
            <w:shd w:fill="E8F0F8" w:val="clear"/>
            <w:tcMar>
              <w:top w:type="dxa" w:w="100"/>
              <w:left w:type="dxa" w:w="140"/>
              <w:bottom w:type="dxa" w:w="100"/>
              <w:right w:type="dxa" w:w="140"/>
            </w:tcMar>
          </w:tcPr>
          <w:p>
            <w:r>
              <w:rPr>
                <w:rFonts w:ascii="Arial" w:cs="Arial" w:eastAsia="Arial" w:hAnsi="Arial"/>
                <w:color w:val="2B2B2B"/>
                <w:sz w:val="20"/>
                <w:szCs w:val="20"/>
              </w:rPr>
              <w:t xml:space="preserve">First touch. The operator runs numbers, sees the scenario economics, and gets a clear answer on whether their site pencils. No friction, no commitment, no sales interaction.</w:t>
            </w:r>
          </w:p>
        </w:tc>
      </w:tr>
      <w:tr>
        <w:tc>
          <w:tcPr>
            <w:tcW w:type="dxa" w:w="480"/>
            <w:tcBorders>
              <w:top w:val="none" w:color="FFFFFF" w:sz="0"/>
              <w:left w:val="none" w:color="FFFFFF" w:sz="0"/>
              <w:bottom w:val="none" w:color="FFFFFF" w:sz="0"/>
              <w:right w:val="none" w:color="FFFFFF" w:sz="0"/>
            </w:tcBorders>
            <w:shd w:fill="0A2342"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②</w:t>
            </w:r>
          </w:p>
        </w:tc>
        <w:tc>
          <w:tcPr>
            <w:tcW w:type="dxa" w:w="2880"/>
            <w:tcBorders>
              <w:top w:val="none" w:color="FFFFFF" w:sz="0"/>
              <w:left w:val="none" w:color="FFFFFF" w:sz="0"/>
              <w:bottom w:val="none" w:color="FFFFFF" w:sz="0"/>
              <w:right w:val="none" w:color="FFFFFF" w:sz="0"/>
            </w:tcBorders>
            <w:shd w:fill="E8F0F8" w:val="clear"/>
            <w:tcMar>
              <w:top w:type="dxa" w:w="100"/>
              <w:left w:type="dxa" w:w="140"/>
              <w:bottom w:type="dxa" w:w="100"/>
              <w:right w:type="dxa" w:w="140"/>
            </w:tcMar>
          </w:tcPr>
          <w:p>
            <w:r>
              <w:rPr>
                <w:rFonts w:ascii="Arial" w:cs="Arial" w:eastAsia="Arial" w:hAnsi="Arial"/>
                <w:b/>
                <w:bCs/>
                <w:color w:val="0A2342"/>
                <w:sz w:val="20"/>
                <w:szCs w:val="20"/>
              </w:rPr>
              <w:t xml:space="preserve">MCF.digital services</w:t>
            </w:r>
          </w:p>
        </w:tc>
        <w:tc>
          <w:tcPr>
            <w:tcW w:type="dxa" w:w="6000"/>
            <w:tcBorders>
              <w:top w:val="none" w:color="FFFFFF" w:sz="0"/>
              <w:left w:val="none" w:color="FFFFFF" w:sz="0"/>
              <w:bottom w:val="none" w:color="FFFFFF" w:sz="0"/>
              <w:right w:val="none" w:color="FFFFFF" w:sz="0"/>
            </w:tcBorders>
            <w:shd w:fill="E8F0F8" w:val="clear"/>
            <w:tcMar>
              <w:top w:type="dxa" w:w="100"/>
              <w:left w:type="dxa" w:w="140"/>
              <w:bottom w:type="dxa" w:w="100"/>
              <w:right w:type="dxa" w:w="140"/>
            </w:tcMar>
          </w:tcPr>
          <w:p>
            <w:r>
              <w:rPr>
                <w:rFonts w:ascii="Arial" w:cs="Arial" w:eastAsia="Arial" w:hAnsi="Arial"/>
                <w:color w:val="2B2B2B"/>
                <w:sz w:val="20"/>
                <w:szCs w:val="20"/>
              </w:rPr>
              <w:t xml:space="preserve">Qualified entry. If the site pencils, the user moves to the commercial offers — flaring relief, netback improvement, mining deployment, or capital placement — and books a fit call.</w:t>
            </w:r>
          </w:p>
        </w:tc>
      </w:tr>
      <w:tr>
        <w:tc>
          <w:tcPr>
            <w:tcW w:type="dxa" w:w="480"/>
            <w:tcBorders>
              <w:top w:val="none" w:color="FFFFFF" w:sz="0"/>
              <w:left w:val="none" w:color="FFFFFF" w:sz="0"/>
              <w:bottom w:val="none" w:color="FFFFFF" w:sz="0"/>
              <w:right w:val="none" w:color="FFFFFF" w:sz="0"/>
            </w:tcBorders>
            <w:shd w:fill="0A2342"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③</w:t>
            </w:r>
          </w:p>
        </w:tc>
        <w:tc>
          <w:tcPr>
            <w:tcW w:type="dxa" w:w="2880"/>
            <w:tcBorders>
              <w:top w:val="none" w:color="FFFFFF" w:sz="0"/>
              <w:left w:val="none" w:color="FFFFFF" w:sz="0"/>
              <w:bottom w:val="none" w:color="FFFFFF" w:sz="0"/>
              <w:right w:val="none" w:color="FFFFFF" w:sz="0"/>
            </w:tcBorders>
            <w:shd w:fill="E8F0F8" w:val="clear"/>
            <w:tcMar>
              <w:top w:type="dxa" w:w="100"/>
              <w:left w:type="dxa" w:w="140"/>
              <w:bottom w:type="dxa" w:w="100"/>
              <w:right w:type="dxa" w:w="140"/>
            </w:tcMar>
          </w:tcPr>
          <w:p>
            <w:r>
              <w:rPr>
                <w:rFonts w:ascii="Arial" w:cs="Arial" w:eastAsia="Arial" w:hAnsi="Arial"/>
                <w:b/>
                <w:bCs/>
                <w:color w:val="0A2342"/>
                <w:sz w:val="20"/>
                <w:szCs w:val="20"/>
              </w:rPr>
              <w:t xml:space="preserve">Deployment &amp; operations</w:t>
            </w:r>
          </w:p>
        </w:tc>
        <w:tc>
          <w:tcPr>
            <w:tcW w:type="dxa" w:w="6000"/>
            <w:tcBorders>
              <w:top w:val="none" w:color="FFFFFF" w:sz="0"/>
              <w:left w:val="none" w:color="FFFFFF" w:sz="0"/>
              <w:bottom w:val="none" w:color="FFFFFF" w:sz="0"/>
              <w:right w:val="none" w:color="FFFFFF" w:sz="0"/>
            </w:tcBorders>
            <w:shd w:fill="E8F0F8" w:val="clear"/>
            <w:tcMar>
              <w:top w:type="dxa" w:w="100"/>
              <w:left w:type="dxa" w:w="140"/>
              <w:bottom w:type="dxa" w:w="100"/>
              <w:right w:type="dxa" w:w="140"/>
            </w:tcMar>
          </w:tcPr>
          <w:p>
            <w:r>
              <w:rPr>
                <w:rFonts w:ascii="Arial" w:cs="Arial" w:eastAsia="Arial" w:hAnsi="Arial"/>
                <w:color w:val="2B2B2B"/>
                <w:sz w:val="20"/>
                <w:szCs w:val="20"/>
              </w:rPr>
              <w:t xml:space="preserve">Active project. MCF.digital matches parties, structures the deal, builds the site, and runs operations. The operator delivers gas. MCF.digital handles everything else.</w:t>
            </w:r>
          </w:p>
        </w:tc>
      </w:tr>
      <w:tr>
        <w:tc>
          <w:tcPr>
            <w:tcW w:type="dxa" w:w="480"/>
            <w:tcBorders>
              <w:top w:val="none" w:color="FFFFFF" w:sz="0"/>
              <w:left w:val="none" w:color="FFFFFF" w:sz="0"/>
              <w:bottom w:val="none" w:color="FFFFFF" w:sz="0"/>
              <w:right w:val="none" w:color="FFFFFF" w:sz="0"/>
            </w:tcBorders>
            <w:shd w:fill="F2F2F2" w:val="clear"/>
            <w:tcMar>
              <w:top w:type="dxa" w:w="100"/>
              <w:left w:type="dxa" w:w="120"/>
              <w:bottom w:type="dxa" w:w="100"/>
              <w:right w:type="dxa" w:w="120"/>
            </w:tcMar>
          </w:tcPr>
          <w:p>
            <w:pPr>
              <w:jc w:val="center"/>
            </w:pPr>
            <w:r>
              <w:rPr>
                <w:rFonts w:ascii="Arial" w:cs="Arial" w:eastAsia="Arial" w:hAnsi="Arial"/>
                <w:b/>
                <w:bCs/>
                <w:color w:val="666666"/>
                <w:sz w:val="22"/>
                <w:szCs w:val="22"/>
              </w:rPr>
              <w:t xml:space="preserve">④</w:t>
            </w:r>
          </w:p>
        </w:tc>
        <w:tc>
          <w:tcPr>
            <w:tcW w:type="dxa" w:w="2880"/>
            <w:tcBorders>
              <w:top w:val="none" w:color="FFFFFF" w:sz="0"/>
              <w:left w:val="none" w:color="FFFFFF" w:sz="0"/>
              <w:bottom w:val="none" w:color="FFFFFF" w:sz="0"/>
              <w:right w:val="none" w:color="FFFFFF" w:sz="0"/>
            </w:tcBorders>
            <w:shd w:fill="F2F2F2" w:val="clear"/>
            <w:tcMar>
              <w:top w:type="dxa" w:w="100"/>
              <w:left w:type="dxa" w:w="140"/>
              <w:bottom w:type="dxa" w:w="100"/>
              <w:right w:type="dxa" w:w="140"/>
            </w:tcMar>
          </w:tcPr>
          <w:p>
            <w:r>
              <w:rPr>
                <w:rFonts w:ascii="Arial" w:cs="Arial" w:eastAsia="Arial" w:hAnsi="Arial"/>
                <w:b/>
                <w:bCs/>
                <w:color w:val="666666"/>
                <w:sz w:val="20"/>
                <w:szCs w:val="20"/>
              </w:rPr>
              <w:t xml:space="preserve">StrandedGas.pro (optional)</w:t>
            </w:r>
          </w:p>
        </w:tc>
        <w:tc>
          <w:tcPr>
            <w:tcW w:type="dxa" w:w="6000"/>
            <w:tcBorders>
              <w:top w:val="none" w:color="FFFFFF" w:sz="0"/>
              <w:left w:val="none" w:color="FFFFFF" w:sz="0"/>
              <w:bottom w:val="none" w:color="FFFFFF" w:sz="0"/>
              <w:right w:val="none" w:color="FFFFFF" w:sz="0"/>
            </w:tcBorders>
            <w:shd w:fill="F2F2F2" w:val="clear"/>
            <w:tcMar>
              <w:top w:type="dxa" w:w="100"/>
              <w:left w:type="dxa" w:w="140"/>
              <w:bottom w:type="dxa" w:w="100"/>
              <w:right w:type="dxa" w:w="140"/>
            </w:tcMar>
          </w:tcPr>
          <w:p>
            <w:r>
              <w:rPr>
                <w:rFonts w:ascii="Arial" w:cs="Arial" w:eastAsia="Arial" w:hAnsi="Arial"/>
                <w:color w:val="666666"/>
                <w:sz w:val="20"/>
                <w:szCs w:val="20"/>
              </w:rPr>
              <w:t xml:space="preserve">Workflow layer at scale. For teams managing multiple deals simultaneously, selectively integrating with lifecycle tooling is viable — but MCF.digital does not position itself as competing on this layer.</w:t>
            </w:r>
          </w:p>
        </w:tc>
      </w:tr>
    </w:tbl>
    <w:p>
      <w:pPr>
        <w:spacing w:before="40" w:after="4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4EE" w:val="clear"/>
            <w:tcMar>
              <w:top w:type="dxa" w:w="160"/>
              <w:left w:type="dxa" w:w="220"/>
              <w:bottom w:type="dxa" w:w="160"/>
              <w:right w:type="dxa" w:w="220"/>
            </w:tcMar>
          </w:tcPr>
          <w:p>
            <w:pPr>
              <w:spacing w:before="0" w:after="80"/>
            </w:pPr>
            <w:r>
              <w:rPr>
                <w:rFonts w:ascii="Arial" w:cs="Arial" w:eastAsia="Arial" w:hAnsi="Arial"/>
                <w:b/>
                <w:bCs/>
                <w:color w:val="D4500A"/>
                <w:sz w:val="21"/>
                <w:szCs w:val="21"/>
              </w:rPr>
              <w:t xml:space="preserve">⚠  Critical Funnel Risk</w:t>
            </w:r>
          </w:p>
          <w:p>
            <w:pPr>
              <w:spacing w:before="40" w:after="40"/>
            </w:pPr>
            <w:r>
              <w:rPr>
                <w:rFonts w:ascii="Arial" w:cs="Arial" w:eastAsia="Arial" w:hAnsi="Arial"/>
                <w:color w:val="2B2B2B"/>
                <w:sz w:val="20"/>
                <w:szCs w:val="20"/>
              </w:rPr>
              <w:t xml:space="preserve">tools.mcf.digital currently returns a 502 error and is unreachable. Any marketing asset, social post, or document that links directly to tools.mcf.digital will break the funnel at the first touchpoint.</w:t>
            </w:r>
          </w:p>
          <w:p>
            <w:pPr>
              <w:spacing w:before="40" w:after="40"/>
            </w:pPr>
            <w:r>
              <w:rPr>
                <w:rFonts w:ascii="Arial" w:cs="Arial" w:eastAsia="Arial" w:hAnsi="Arial"/>
                <w:color w:val="2B2B2B"/>
                <w:sz w:val="20"/>
                <w:szCs w:val="20"/>
              </w:rPr>
              <w:t xml:space="preserve">Recommended action: Route all top-of-funnel links to on360.me until tools.mcf.digital is confirmed stable. Do not promote the subdomain URL until uptime is verified.</w:t>
            </w:r>
          </w:p>
        </w:tc>
      </w:tr>
    </w:tbl>
    <w:p>
      <w:r>
        <w:br w:type="page"/>
      </w:r>
    </w:p>
    <w:p>
      <w:pPr>
        <w:pStyle w:val="Heading1"/>
        <w:spacing w:before="360" w:after="140"/>
      </w:pPr>
      <w:r>
        <w:rPr>
          <w:rFonts w:ascii="Arial" w:cs="Arial" w:eastAsia="Arial" w:hAnsi="Arial"/>
          <w:b/>
          <w:bCs/>
          <w:color w:val="0A2342"/>
          <w:sz w:val="30"/>
          <w:szCs w:val="30"/>
        </w:rPr>
        <w:t xml:space="preserve">8. Gaps and Recommended Follow-Up</w:t>
      </w:r>
    </w:p>
    <w:p>
      <w:pPr>
        <w:pBdr>
          <w:bottom w:val="single" w:color="C8D8E8" w:sz="4" w:space="1"/>
        </w:pBdr>
        <w:spacing w:before="180" w:after="180"/>
      </w:pPr>
      <w:r>
        <w:t xml:space="preserve"/>
      </w:r>
    </w:p>
    <w:p>
      <w:pPr>
        <w:spacing w:before="80" w:after="80"/>
      </w:pPr>
      <w:r>
        <w:rPr>
          <w:rFonts w:ascii="Arial" w:cs="Arial" w:eastAsia="Arial" w:hAnsi="Arial"/>
          <w:color w:val="2B2B2B"/>
          <w:sz w:val="21"/>
          <w:szCs w:val="21"/>
        </w:rPr>
        <w:t xml:space="preserve">The following gaps, if closed, would materially improve positioning precision, battle-card language, and the offer comparison matrix.</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480"/>
      </w:tblGrid>
      <w:tr>
        <w:tc>
          <w:tcPr>
            <w:tcW w:type="dxa" w:w="2200"/>
            <w:tcBorders>
              <w:top w:val="single" w:color="CCCCCC" w:sz="1"/>
              <w:left w:val="single" w:color="CCCCCC" w:sz="1"/>
              <w:bottom w:val="single" w:color="CCCCCC" w:sz="1"/>
              <w:right w:val="single" w:color="CCCCCC" w:sz="1"/>
            </w:tcBorders>
            <w:shd w:fill="0A2342" w:val="clear"/>
            <w:tcMar>
              <w:top w:type="dxa" w:w="100"/>
              <w:left w:type="dxa" w:w="140"/>
              <w:bottom w:type="dxa" w:w="100"/>
              <w:right w:type="dxa" w:w="140"/>
            </w:tcMar>
          </w:tcPr>
          <w:p>
            <w:r>
              <w:rPr>
                <w:rFonts w:ascii="Arial" w:cs="Arial" w:eastAsia="Arial" w:hAnsi="Arial"/>
                <w:b/>
                <w:bCs/>
                <w:color w:val="FFFFFF"/>
                <w:sz w:val="20"/>
                <w:szCs w:val="20"/>
              </w:rPr>
              <w:t xml:space="preserve">Gap</w:t>
            </w:r>
          </w:p>
        </w:tc>
        <w:tc>
          <w:tcPr>
            <w:tcW w:type="dxa" w:w="3680"/>
            <w:tcBorders>
              <w:top w:val="single" w:color="CCCCCC" w:sz="1"/>
              <w:left w:val="single" w:color="CCCCCC" w:sz="1"/>
              <w:bottom w:val="single" w:color="CCCCCC" w:sz="1"/>
              <w:right w:val="single" w:color="CCCCCC" w:sz="1"/>
            </w:tcBorders>
            <w:shd w:fill="0A2342" w:val="clear"/>
            <w:tcMar>
              <w:top w:type="dxa" w:w="100"/>
              <w:left w:type="dxa" w:w="140"/>
              <w:bottom w:type="dxa" w:w="100"/>
              <w:right w:type="dxa" w:w="140"/>
            </w:tcMar>
          </w:tcPr>
          <w:p>
            <w:r>
              <w:rPr>
                <w:rFonts w:ascii="Arial" w:cs="Arial" w:eastAsia="Arial" w:hAnsi="Arial"/>
                <w:b/>
                <w:bCs/>
                <w:color w:val="FFFFFF"/>
                <w:sz w:val="20"/>
                <w:szCs w:val="20"/>
              </w:rPr>
              <w:t xml:space="preserve">Why It Matters</w:t>
            </w:r>
          </w:p>
        </w:tc>
        <w:tc>
          <w:tcPr>
            <w:tcW w:type="dxa" w:w="3480"/>
            <w:tcBorders>
              <w:top w:val="single" w:color="CCCCCC" w:sz="1"/>
              <w:left w:val="single" w:color="CCCCCC" w:sz="1"/>
              <w:bottom w:val="single" w:color="CCCCCC" w:sz="1"/>
              <w:right w:val="single" w:color="CCCCCC" w:sz="1"/>
            </w:tcBorders>
            <w:shd w:fill="0A2342" w:val="clear"/>
            <w:tcMar>
              <w:top w:type="dxa" w:w="100"/>
              <w:left w:type="dxa" w:w="140"/>
              <w:bottom w:type="dxa" w:w="100"/>
              <w:right w:type="dxa" w:w="140"/>
            </w:tcMar>
          </w:tcPr>
          <w:p>
            <w:r>
              <w:rPr>
                <w:rFonts w:ascii="Arial" w:cs="Arial" w:eastAsia="Arial" w:hAnsi="Arial"/>
                <w:b/>
                <w:bCs/>
                <w:color w:val="FFFFFF"/>
                <w:sz w:val="20"/>
                <w:szCs w:val="20"/>
              </w:rPr>
              <w:t xml:space="preserve">Recommended Next Step</w:t>
            </w:r>
          </w:p>
        </w:tc>
      </w:tr>
      <w:tr>
        <w:tc>
          <w:tcPr>
            <w:tcW w:type="dxa" w:w="22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r>
              <w:rPr>
                <w:rFonts w:ascii="Arial" w:cs="Arial" w:eastAsia="Arial" w:hAnsi="Arial"/>
                <w:b/>
                <w:bCs/>
                <w:color w:val="0A2342"/>
                <w:sz w:val="20"/>
                <w:szCs w:val="20"/>
              </w:rPr>
              <w:t xml:space="preserve">tools.mcf.digital page details not fully readable</w:t>
            </w:r>
          </w:p>
        </w:tc>
        <w:tc>
          <w:tcPr>
            <w:tcW w:type="dxa" w:w="368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r>
              <w:rPr>
                <w:rFonts w:ascii="Arial" w:cs="Arial" w:eastAsia="Arial" w:hAnsi="Arial"/>
                <w:b w:val="false"/>
                <w:bCs w:val="false"/>
                <w:color w:val="2B2B2B"/>
                <w:sz w:val="20"/>
                <w:szCs w:val="20"/>
              </w:rPr>
              <w:t xml:space="preserve">Cannot confirm exact features, data inputs, outputs, or pricing from public-facing pages alone</w:t>
            </w:r>
          </w:p>
        </w:tc>
        <w:tc>
          <w:tcPr>
            <w:tcW w:type="dxa" w:w="348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r>
              <w:rPr>
                <w:rFonts w:ascii="Arial" w:cs="Arial" w:eastAsia="Arial" w:hAnsi="Arial"/>
                <w:b w:val="false"/>
                <w:bCs w:val="false"/>
                <w:color w:val="2B2B2B"/>
                <w:sz w:val="20"/>
                <w:szCs w:val="20"/>
              </w:rPr>
              <w:t xml:space="preserve">Provide screenshots, a product spec, or expose a text-based features section that is crawlable and indexable</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bCs/>
                <w:color w:val="0A2342"/>
                <w:sz w:val="20"/>
                <w:szCs w:val="20"/>
              </w:rPr>
              <w:t xml:space="preserve">tools.mcf.digital returns 502</w:t>
            </w:r>
          </w:p>
        </w:tc>
        <w:tc>
          <w:tcPr>
            <w:tcW w:type="dxa" w:w="3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2B2B2B"/>
                <w:sz w:val="20"/>
                <w:szCs w:val="20"/>
              </w:rPr>
              <w:t xml:space="preserve">Damages trust and breaks the funnel if linked in any marketing material, LinkedIn post, or document</w:t>
            </w:r>
          </w:p>
        </w:tc>
        <w:tc>
          <w:tcPr>
            <w:tcW w:type="dxa" w:w="34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2B2B2B"/>
                <w:sz w:val="20"/>
                <w:szCs w:val="20"/>
              </w:rPr>
              <w:t xml:space="preserve">Fix uptime immediately. Temporarily route all top-of-funnel links to on360.me until the subdomain resolves</w:t>
            </w:r>
          </w:p>
        </w:tc>
      </w:tr>
      <w:tr>
        <w:tc>
          <w:tcPr>
            <w:tcW w:type="dxa" w:w="22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r>
              <w:rPr>
                <w:rFonts w:ascii="Arial" w:cs="Arial" w:eastAsia="Arial" w:hAnsi="Arial"/>
                <w:b/>
                <w:bCs/>
                <w:color w:val="0A2342"/>
                <w:sz w:val="20"/>
                <w:szCs w:val="20"/>
              </w:rPr>
              <w:t xml:space="preserve">MCF.digital PDF assets not reviewed</w:t>
            </w:r>
          </w:p>
        </w:tc>
        <w:tc>
          <w:tcPr>
            <w:tcW w:type="dxa" w:w="368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r>
              <w:rPr>
                <w:rFonts w:ascii="Arial" w:cs="Arial" w:eastAsia="Arial" w:hAnsi="Arial"/>
                <w:b w:val="false"/>
                <w:bCs w:val="false"/>
                <w:color w:val="2B2B2B"/>
                <w:sz w:val="20"/>
                <w:szCs w:val="20"/>
              </w:rPr>
              <w:t xml:space="preserve">The three downloadable briefs likely contain the full offer specifications and will materially change the offer comparison matrix and battle-card language</w:t>
            </w:r>
          </w:p>
        </w:tc>
        <w:tc>
          <w:tcPr>
            <w:tcW w:type="dxa" w:w="348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r>
              <w:rPr>
                <w:rFonts w:ascii="Arial" w:cs="Arial" w:eastAsia="Arial" w:hAnsi="Arial"/>
                <w:b w:val="false"/>
                <w:bCs w:val="false"/>
                <w:color w:val="2B2B2B"/>
                <w:sz w:val="20"/>
                <w:szCs w:val="20"/>
              </w:rPr>
              <w:t xml:space="preserve">Share the PDFs or their direct download URLs. This will enable a v2 of this document with tighter buyer-specific messaging</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bCs/>
                <w:color w:val="0A2342"/>
                <w:sz w:val="20"/>
                <w:szCs w:val="20"/>
              </w:rPr>
              <w:t xml:space="preserve">StrandedGas.pro pricing not fully confirmed</w:t>
            </w:r>
          </w:p>
        </w:tc>
        <w:tc>
          <w:tcPr>
            <w:tcW w:type="dxa" w:w="3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2B2B2B"/>
                <w:sz w:val="20"/>
                <w:szCs w:val="20"/>
              </w:rPr>
              <w:t xml:space="preserve">Subscription tiers and marketplace take-rate structure are implied but not confirmed. Knowing exact pricing would change how MCF.digital positions its non-SaaS model</w:t>
            </w:r>
          </w:p>
        </w:tc>
        <w:tc>
          <w:tcPr>
            <w:tcW w:type="dxa" w:w="34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2B2B2B"/>
                <w:sz w:val="20"/>
                <w:szCs w:val="20"/>
              </w:rPr>
              <w:t xml:space="preserve">Review StrandedGas.pro pricing page directly or via a test account to confirm tier structure</w:t>
            </w:r>
          </w:p>
        </w:tc>
      </w:tr>
    </w:tbl>
    <w:p>
      <w:r>
        <w:br w:type="page"/>
      </w:r>
    </w:p>
    <w:p>
      <w:pPr>
        <w:pStyle w:val="Heading1"/>
        <w:spacing w:before="360" w:after="140"/>
      </w:pPr>
      <w:r>
        <w:rPr>
          <w:rFonts w:ascii="Arial" w:cs="Arial" w:eastAsia="Arial" w:hAnsi="Arial"/>
          <w:b/>
          <w:bCs/>
          <w:color w:val="0A2342"/>
          <w:sz w:val="30"/>
          <w:szCs w:val="30"/>
        </w:rPr>
        <w:t xml:space="preserve">9. Executive Takeaway</w:t>
      </w:r>
    </w:p>
    <w:p>
      <w:pPr>
        <w:pBdr>
          <w:bottom w:val="single" w:color="C8D8E8" w:sz="4" w:space="1"/>
        </w:pBdr>
        <w:spacing w:before="180" w:after="180"/>
      </w:pPr>
      <w:r>
        <w:t xml:space="preserve"/>
      </w:r>
    </w:p>
    <w:p>
      <w:pPr>
        <w:spacing w:before="80" w:after="80"/>
      </w:pPr>
      <w:r>
        <w:rPr>
          <w:rFonts w:ascii="Arial" w:cs="Arial" w:eastAsia="Arial" w:hAnsi="Arial"/>
          <w:color w:val="2B2B2B"/>
          <w:sz w:val="21"/>
          <w:szCs w:val="21"/>
        </w:rPr>
        <w:t xml:space="preserve">Three properties. Three different businesses. One funnel.</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0A2342" w:val="clear"/>
            <w:tcMar>
              <w:top w:type="dxa" w:w="100"/>
              <w:left w:type="dxa" w:w="140"/>
              <w:bottom w:type="dxa" w:w="100"/>
              <w:right w:type="dxa" w:w="140"/>
            </w:tcMar>
          </w:tcPr>
          <w:p>
            <w:r>
              <w:rPr>
                <w:rFonts w:ascii="Arial" w:cs="Arial" w:eastAsia="Arial" w:hAnsi="Arial"/>
                <w:b/>
                <w:bCs/>
                <w:color w:val="FFFFFF"/>
                <w:sz w:val="20"/>
                <w:szCs w:val="20"/>
              </w:rPr>
              <w:t xml:space="preserve">Property</w:t>
            </w:r>
          </w:p>
        </w:tc>
        <w:tc>
          <w:tcPr>
            <w:tcW w:type="dxa" w:w="7160"/>
            <w:tcBorders>
              <w:top w:val="single" w:color="CCCCCC" w:sz="1"/>
              <w:left w:val="single" w:color="CCCCCC" w:sz="1"/>
              <w:bottom w:val="single" w:color="CCCCCC" w:sz="1"/>
              <w:right w:val="single" w:color="CCCCCC" w:sz="1"/>
            </w:tcBorders>
            <w:shd w:fill="0A2342" w:val="clear"/>
            <w:tcMar>
              <w:top w:type="dxa" w:w="100"/>
              <w:left w:type="dxa" w:w="140"/>
              <w:bottom w:type="dxa" w:w="100"/>
              <w:right w:type="dxa" w:w="140"/>
            </w:tcMar>
          </w:tcPr>
          <w:p>
            <w:r>
              <w:rPr>
                <w:rFonts w:ascii="Arial" w:cs="Arial" w:eastAsia="Arial" w:hAnsi="Arial"/>
                <w:b/>
                <w:bCs/>
                <w:color w:val="FFFFFF"/>
                <w:sz w:val="20"/>
                <w:szCs w:val="20"/>
              </w:rPr>
              <w:t xml:space="preserve">One-Line Business Definition</w:t>
            </w:r>
          </w:p>
        </w:tc>
      </w:tr>
      <w:tr>
        <w:tc>
          <w:tcPr>
            <w:tcW w:type="dxa" w:w="22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r>
              <w:rPr>
                <w:rFonts w:ascii="Arial" w:cs="Arial" w:eastAsia="Arial" w:hAnsi="Arial"/>
                <w:b/>
                <w:bCs/>
                <w:color w:val="0A2342"/>
                <w:sz w:val="20"/>
                <w:szCs w:val="20"/>
              </w:rPr>
              <w:t xml:space="preserve">StrandedGas.pro</w:t>
            </w:r>
          </w:p>
        </w:tc>
        <w:tc>
          <w:tcPr>
            <w:tcW w:type="dxa" w:w="71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r>
              <w:rPr>
                <w:rFonts w:ascii="Arial" w:cs="Arial" w:eastAsia="Arial" w:hAnsi="Arial"/>
                <w:b w:val="false"/>
                <w:bCs w:val="false"/>
                <w:color w:val="2B2B2B"/>
                <w:sz w:val="20"/>
                <w:szCs w:val="20"/>
              </w:rPr>
              <w:t xml:space="preserve">Lifecycle SaaS that monetizes workflow, modules, and marketplace infrastructure across siting, deployment, and operations.</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bCs/>
                <w:color w:val="0A2342"/>
                <w:sz w:val="20"/>
                <w:szCs w:val="20"/>
              </w:rPr>
              <w:t xml:space="preserve">MCF.digital</w:t>
            </w:r>
          </w:p>
        </w:tc>
        <w:tc>
          <w:tcPr>
            <w:tcW w:type="dxa" w:w="7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2B2B2B"/>
                <w:sz w:val="20"/>
                <w:szCs w:val="20"/>
              </w:rPr>
              <w:t xml:space="preserve">Outcome operator that monetizes by matching parties and then building and running on-lease power and compute — with trust signals like custody-first payouts and clean reporting.</w:t>
            </w:r>
          </w:p>
        </w:tc>
      </w:tr>
      <w:tr>
        <w:tc>
          <w:tcPr>
            <w:tcW w:type="dxa" w:w="220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r>
              <w:rPr>
                <w:rFonts w:ascii="Arial" w:cs="Arial" w:eastAsia="Arial" w:hAnsi="Arial"/>
                <w:b/>
                <w:bCs/>
                <w:color w:val="0A2342"/>
                <w:sz w:val="20"/>
                <w:szCs w:val="20"/>
              </w:rPr>
              <w:t xml:space="preserve">tools.mcf.digital</w:t>
            </w:r>
          </w:p>
        </w:tc>
        <w:tc>
          <w:tcPr>
            <w:tcW w:type="dxa" w:w="7160"/>
            <w:tcBorders>
              <w:top w:val="single" w:color="CCCCCC" w:sz="1"/>
              <w:left w:val="single" w:color="CCCCCC" w:sz="1"/>
              <w:bottom w:val="single" w:color="CCCCCC" w:sz="1"/>
              <w:right w:val="single" w:color="CCCCCC" w:sz="1"/>
            </w:tcBorders>
            <w:shd w:fill="F2F2F2" w:val="clear"/>
            <w:tcMar>
              <w:top w:type="dxa" w:w="90"/>
              <w:left w:type="dxa" w:w="140"/>
              <w:bottom w:type="dxa" w:w="90"/>
              <w:right w:type="dxa" w:w="140"/>
            </w:tcMar>
          </w:tcPr>
          <w:p>
            <w:r>
              <w:rPr>
                <w:rFonts w:ascii="Arial" w:cs="Arial" w:eastAsia="Arial" w:hAnsi="Arial"/>
                <w:b w:val="false"/>
                <w:bCs w:val="false"/>
                <w:color w:val="2B2B2B"/>
                <w:sz w:val="20"/>
                <w:szCs w:val="20"/>
              </w:rPr>
              <w:t xml:space="preserve">Decision wedge that makes the economics obvious fast, qualifies leads, and funnels only the deals that pencil into MCF.digital's build-and-run system.</w:t>
            </w:r>
          </w:p>
        </w:tc>
      </w:tr>
    </w:tbl>
    <w:p>
      <w:pPr>
        <w:spacing w:before="40" w:after="40"/>
      </w:pPr>
      <w:r>
        <w:t xml:space="preserve"/>
      </w:r>
    </w:p>
    <w:p>
      <w:pPr>
        <w:pStyle w:val="Heading2"/>
        <w:spacing w:before="280" w:after="100"/>
      </w:pPr>
      <w:r>
        <w:rPr>
          <w:rFonts w:ascii="Arial" w:cs="Arial" w:eastAsia="Arial" w:hAnsi="Arial"/>
          <w:b/>
          <w:bCs/>
          <w:color w:val="0A2342"/>
          <w:sz w:val="24"/>
          <w:szCs w:val="24"/>
        </w:rPr>
        <w:t xml:space="preserve">The Strategic Imperative</w:t>
      </w:r>
    </w:p>
    <w:p>
      <w:pPr>
        <w:spacing w:before="80" w:after="80"/>
      </w:pPr>
      <w:r>
        <w:rPr>
          <w:rFonts w:ascii="Arial" w:cs="Arial" w:eastAsia="Arial" w:hAnsi="Arial"/>
          <w:color w:val="2B2B2B"/>
          <w:sz w:val="21"/>
          <w:szCs w:val="21"/>
        </w:rPr>
        <w:t xml:space="preserve">MCF.digital's positioning risk is not that StrandedGas.pro outcompetes it on features. The risk is that MCF.digital allows itself to be categorized as the same kind of thing. The moment MCF.digital lists modules, talks about workflow, or competes on tooling breadth, it enters a comparison it will not win.</w:t>
      </w:r>
    </w:p>
    <w:p>
      <w:pPr>
        <w:spacing w:before="80" w:after="80"/>
      </w:pPr>
      <w:r>
        <w:rPr>
          <w:rFonts w:ascii="Arial" w:cs="Arial" w:eastAsia="Arial" w:hAnsi="Arial"/>
          <w:color w:val="2B2B2B"/>
          <w:sz w:val="21"/>
          <w:szCs w:val="21"/>
        </w:rPr>
        <w:t xml:space="preserve">The answer is to stay resolutely in Square D. One entity. Accountable for matching, building, and running. Operators deliver gas. MCF.digital handles everything else. That is a category nobody else is explicitly claiming — and tools.mcf.digital is the funnel that makes it credible before the first conversation.</w:t>
      </w:r>
    </w:p>
    <w:p>
      <w:pPr>
        <w:spacing w:before="40" w:after="4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8" w:val="clear"/>
            <w:tcMar>
              <w:top w:type="dxa" w:w="160"/>
              <w:left w:type="dxa" w:w="220"/>
              <w:bottom w:type="dxa" w:w="160"/>
              <w:right w:type="dxa" w:w="220"/>
            </w:tcMar>
          </w:tcPr>
          <w:p>
            <w:pPr>
              <w:spacing w:before="0" w:after="80"/>
            </w:pPr>
            <w:r>
              <w:rPr>
                <w:rFonts w:ascii="Arial" w:cs="Arial" w:eastAsia="Arial" w:hAnsi="Arial"/>
                <w:b/>
                <w:bCs/>
                <w:color w:val="0A2342"/>
                <w:sz w:val="21"/>
                <w:szCs w:val="21"/>
              </w:rPr>
              <w:t xml:space="preserve">Next Step to Sharpen This Analysis</w:t>
            </w:r>
          </w:p>
          <w:p>
            <w:pPr>
              <w:spacing w:before="40" w:after="40"/>
            </w:pPr>
            <w:r>
              <w:rPr>
                <w:rFonts w:ascii="Arial" w:cs="Arial" w:eastAsia="Arial" w:hAnsi="Arial"/>
                <w:color w:val="2B2B2B"/>
                <w:sz w:val="20"/>
                <w:szCs w:val="20"/>
              </w:rPr>
              <w:t xml:space="preserve">Share the three MCF.digital PDF assets — Flare → Bitcoin Blueprint, Netback Fixer, and BTU → BTC Quick-Start.</w:t>
            </w:r>
          </w:p>
          <w:p>
            <w:pPr>
              <w:spacing w:before="40" w:after="40"/>
            </w:pPr>
            <w:r>
              <w:rPr>
                <w:rFonts w:ascii="Arial" w:cs="Arial" w:eastAsia="Arial" w:hAnsi="Arial"/>
                <w:color w:val="2B2B2B"/>
                <w:sz w:val="20"/>
                <w:szCs w:val="20"/>
              </w:rPr>
              <w:t xml:space="preserve">This will enable a v2 of this document with a complete offer comparison matrix and exact battle-card language by buyer type (flaring operator, low-netback operator, Bitcoin miner, capital allocator).</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D8E8" w:sz="4" w:space="4"/>
      </w:pBdr>
      <w:tabs>
        <w:tab w:val="right" w:pos="9026"/>
      </w:tabs>
      <w:spacing w:before="80" w:after="0"/>
    </w:pPr>
    <w:r>
      <w:rPr>
        <w:rFonts w:ascii="Arial" w:cs="Arial" w:eastAsia="Arial" w:hAnsi="Arial"/>
        <w:color w:val="666666"/>
        <w:sz w:val="18"/>
        <w:szCs w:val="18"/>
      </w:rPr>
      <w:t xml:space="preserve">StrandedGas.pro vs. MCF.digital</w:t>
    </w:r>
    <w:r>
      <w:rPr>
        <w:rFonts w:ascii="Arial" w:cs="Arial" w:eastAsia="Arial" w:hAnsi="Arial"/>
        <w:sz w:val="18"/>
        <w:szCs w:val="18"/>
      </w:rPr>
      <w:t xml:space="preserv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8E8" w:sz="4" w:space="4"/>
      </w:pBdr>
      <w:tabs>
        <w:tab w:val="right" w:pos="9026"/>
      </w:tabs>
      <w:spacing w:before="0" w:after="80"/>
    </w:pPr>
    <w:r>
      <w:rPr>
        <w:rFonts w:ascii="Arial" w:cs="Arial" w:eastAsia="Arial" w:hAnsi="Arial"/>
        <w:b/>
        <w:bCs/>
        <w:color w:val="666666"/>
        <w:sz w:val="18"/>
        <w:szCs w:val="18"/>
      </w:rPr>
      <w:t xml:space="preserve">MCF.digital — Competitive Positioning Research</w:t>
    </w:r>
    <w:r>
      <w:rPr>
        <w:rFonts w:ascii="Arial" w:cs="Arial" w:eastAsia="Arial" w:hAnsi="Arial"/>
        <w:color w:val="666666"/>
        <w:sz w:val="18"/>
        <w:szCs w:val="18"/>
      </w:rPr>
      <w:t xml:space="preserve">	Confidential | February 26,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40"/>
      <w:outlineLvl w:val="0"/>
    </w:pPr>
    <w:rPr>
      <w:rFonts w:ascii="Arial" w:cs="Arial" w:eastAsia="Arial" w:hAnsi="Arial"/>
      <w:b/>
      <w:bCs/>
      <w:color w:val="0A2342"/>
      <w:sz w:val="30"/>
      <w:szCs w:val="30"/>
    </w:rPr>
  </w:style>
  <w:style w:type="paragraph" w:styleId="Heading2">
    <w:name w:val="Heading 2"/>
    <w:basedOn w:val="Normal"/>
    <w:next w:val="Normal"/>
    <w:qFormat/>
    <w:pPr>
      <w:spacing w:before="280" w:after="100"/>
      <w:outlineLvl w:val="1"/>
    </w:pPr>
    <w:rPr>
      <w:rFonts w:ascii="Arial" w:cs="Arial" w:eastAsia="Arial" w:hAnsi="Arial"/>
      <w:b/>
      <w:bCs/>
      <w:color w:val="0A234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2026-02-26T14:50:49.106Z</dcterms:created>
  <dcterms:modified xsi:type="dcterms:W3CDTF">2026-02-26T14:50:49.107Z</dcterms:modified>
</cp:coreProperties>
</file>

<file path=docProps/custom.xml><?xml version="1.0" encoding="utf-8"?>
<Properties xmlns="http://schemas.openxmlformats.org/officeDocument/2006/custom-properties" xmlns:vt="http://schemas.openxmlformats.org/officeDocument/2006/docPropsVTypes"/>
</file>