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E8601E"/>
          <w:spacing w:val="120"/>
          <w:sz w:val="18"/>
          <w:szCs w:val="18"/>
        </w:rPr>
        <w:t xml:space="preserve">FAQ — FLARE SITE OPERATORS</w:t>
      </w:r>
    </w:p>
    <w:p>
      <w:pPr>
        <w:pBdr>
          <w:bottom w:val="single" w:color="E8601E" w:sz="6" w:space="1"/>
        </w:pBdr>
        <w:spacing w:before="0" w:after="80"/>
      </w:pPr>
      <w:r>
        <w:rPr>
          <w:rFonts w:ascii="Arial" w:cs="Arial" w:eastAsia="Arial" w:hAnsi="Arial"/>
          <w:b/>
          <w:bCs/>
          <w:color w:val="1A1A1A"/>
          <w:sz w:val="40"/>
          <w:szCs w:val="40"/>
        </w:rPr>
        <w:t xml:space="preserve">Common Questions</w:t>
      </w:r>
    </w:p>
    <w:p>
      <w:pPr>
        <w:spacing w:before="200" w:after="400"/>
      </w:pPr>
      <w:r>
        <w:rPr>
          <w:rFonts w:ascii="Arial" w:cs="Arial" w:eastAsia="Arial" w:hAnsi="Arial"/>
          <w:color w:val="4A4A4A"/>
          <w:sz w:val="22"/>
          <w:szCs w:val="22"/>
        </w:rPr>
        <w:t xml:space="preserve">If you're evaluating an on-lease deployment for the first time, these are the questions operators ask most. Straight answers, no jargon.</w:t>
      </w:r>
    </w:p>
    <w:p>
      <w:pPr>
        <w:spacing w:before="200" w:after="120"/>
      </w:pPr>
      <w:r>
        <w:rPr>
          <w:rFonts w:ascii="Arial" w:cs="Arial" w:eastAsia="Arial" w:hAnsi="Arial"/>
          <w:b/>
          <w:bCs/>
          <w:color w:val="1A1A1A"/>
          <w:sz w:val="26"/>
          <w:szCs w:val="26"/>
        </w:rPr>
        <w:t xml:space="preserve">Do I need to take Bitcoin on my balance sheet?</w:t>
      </w:r>
    </w:p>
    <w:p>
      <w:pPr>
        <w:spacing w:before="0" w:after="80"/>
      </w:pPr>
      <w:r>
        <w:rPr>
          <w:rFonts w:ascii="Arial" w:cs="Arial" w:eastAsia="Arial" w:hAnsi="Arial"/>
          <w:color w:val="1A1A1A"/>
          <w:sz w:val="22"/>
          <w:szCs w:val="22"/>
        </w:rPr>
        <w:t xml:space="preserve">No. Most operators use a hosting structure, which means you earn a fixed power rate paid in USD — the same way you'd bill any gas buyer. The Bitcoin is produced and held by the miner or capital partner, not you.</w:t>
      </w:r>
    </w:p>
    <w:p>
      <w:pPr>
        <w:spacing w:before="0" w:after="360"/>
      </w:pPr>
      <w:r>
        <w:rPr>
          <w:rFonts w:ascii="Arial" w:cs="Arial" w:eastAsia="Arial" w:hAnsi="Arial"/>
          <w:color w:val="1A1A1A"/>
          <w:sz w:val="22"/>
          <w:szCs w:val="22"/>
        </w:rPr>
        <w:t xml:space="preserve">If you want direct Bitcoin exposure, a revenue-share or direct-mining structure is available. But it's not required, and most independent operators choose the hosting path specifically because it keeps their books simple. Your CFO doesn't need to learn anything new.</w:t>
      </w:r>
    </w:p>
    <w:p>
      <w:pPr>
        <w:spacing w:before="0" w:after="120"/>
      </w:pPr>
      <w:r>
        <w:rPr>
          <w:rFonts w:ascii="Arial" w:cs="Arial" w:eastAsia="Arial" w:hAnsi="Arial"/>
          <w:b/>
          <w:bCs/>
          <w:color w:val="1A1A1A"/>
          <w:sz w:val="26"/>
          <w:szCs w:val="26"/>
        </w:rPr>
        <w:t xml:space="preserve">How long does deployment take?</w:t>
      </w:r>
    </w:p>
    <w:p>
      <w:pPr>
        <w:spacing w:before="0" w:after="80"/>
      </w:pPr>
      <w:r>
        <w:rPr>
          <w:rFonts w:ascii="Arial" w:cs="Arial" w:eastAsia="Arial" w:hAnsi="Arial"/>
          <w:color w:val="1A1A1A"/>
          <w:sz w:val="22"/>
          <w:szCs w:val="22"/>
        </w:rPr>
        <w:t xml:space="preserve">A standard flare site deployment runs four to six weeks from signed agreement to first hash — assuming the site assessment is clean and permits are in order. The timeline breaks down roughly as follows: one to two weeks for site assessment, gas quality testing, and genset sizing; one to two weeks for equipment procurement and logistics; and one week for installation, interconnect, and commissioning.</w:t>
      </w:r>
    </w:p>
    <w:p>
      <w:pPr>
        <w:spacing w:before="0" w:after="360"/>
      </w:pPr>
      <w:r>
        <w:rPr>
          <w:rFonts w:ascii="Arial" w:cs="Arial" w:eastAsia="Arial" w:hAnsi="Arial"/>
          <w:color w:val="1A1A1A"/>
          <w:sz w:val="22"/>
          <w:szCs w:val="22"/>
        </w:rPr>
        <w:t xml:space="preserve">Sites with permit complications, sour gas requiring additional conditioning, or remote access challenges can run longer. We give you a realistic timeline in writing after the site assessment — not a promotional estimate up front.</w:t>
      </w:r>
    </w:p>
    <w:p>
      <w:pPr>
        <w:spacing w:before="0" w:after="120"/>
      </w:pPr>
      <w:r>
        <w:rPr>
          <w:rFonts w:ascii="Arial" w:cs="Arial" w:eastAsia="Arial" w:hAnsi="Arial"/>
          <w:b/>
          <w:bCs/>
          <w:color w:val="1A1A1A"/>
          <w:sz w:val="26"/>
          <w:szCs w:val="26"/>
        </w:rPr>
        <w:t xml:space="preserve">What is the minimum gas volume required?</w:t>
      </w:r>
    </w:p>
    <w:p>
      <w:pPr>
        <w:spacing w:before="0" w:after="80"/>
      </w:pPr>
      <w:r>
        <w:rPr>
          <w:rFonts w:ascii="Arial" w:cs="Arial" w:eastAsia="Arial" w:hAnsi="Arial"/>
          <w:color w:val="1A1A1A"/>
          <w:sz w:val="22"/>
          <w:szCs w:val="22"/>
        </w:rPr>
        <w:t xml:space="preserve">The practical floor for an on-lease deployment is around 50 Mcfd of clean, consistent gas. Below that threshold, the generator sizing gets too small to be cost-effective and the economics rarely pencil.</w:t>
      </w:r>
    </w:p>
    <w:p>
      <w:pPr>
        <w:spacing w:before="0" w:after="360"/>
      </w:pPr>
      <w:r>
        <w:rPr>
          <w:rFonts w:ascii="Arial" w:cs="Arial" w:eastAsia="Arial" w:hAnsi="Arial"/>
          <w:color w:val="1A1A1A"/>
          <w:sz w:val="22"/>
          <w:szCs w:val="22"/>
        </w:rPr>
        <w:t xml:space="preserve">Higher volumes — 200 Mcfd and above — support larger genset configurations and scale more efficiently. Gas quality matters as much as volume: a consistent 150 Mcfd stream at good methane content outperforms an erratic 300 Mcfd stream with high NGLs and variable pressure. Use the calculator at tools.mcf.digital to model your specific pad before reaching out.</w:t>
      </w:r>
    </w:p>
    <w:p>
      <w:pPr>
        <w:spacing w:before="0" w:after="120"/>
      </w:pPr>
      <w:r>
        <w:rPr>
          <w:rFonts w:ascii="Arial" w:cs="Arial" w:eastAsia="Arial" w:hAnsi="Arial"/>
          <w:b/>
          <w:bCs/>
          <w:color w:val="1A1A1A"/>
          <w:sz w:val="26"/>
          <w:szCs w:val="26"/>
        </w:rPr>
        <w:t xml:space="preserve">What happens to my flaring compliance during deployment?</w:t>
      </w:r>
    </w:p>
    <w:p>
      <w:pPr>
        <w:spacing w:before="0" w:after="80"/>
      </w:pPr>
      <w:r>
        <w:rPr>
          <w:rFonts w:ascii="Arial" w:cs="Arial" w:eastAsia="Arial" w:hAnsi="Arial"/>
          <w:color w:val="1A1A1A"/>
          <w:sz w:val="22"/>
          <w:szCs w:val="22"/>
        </w:rPr>
        <w:t xml:space="preserve">Flaring continues as normal during the deployment window. We do not ask you to curtail production or modify your current compliance posture while installation is underway. The system is commissioned and tested before it goes live as your primary disposition method.</w:t>
      </w:r>
    </w:p>
    <w:p>
      <w:pPr>
        <w:spacing w:before="0" w:after="360"/>
      </w:pPr>
      <w:r>
        <w:rPr>
          <w:rFonts w:ascii="Arial" w:cs="Arial" w:eastAsia="Arial" w:hAnsi="Arial"/>
          <w:color w:val="1A1A1A"/>
          <w:sz w:val="22"/>
          <w:szCs w:val="22"/>
        </w:rPr>
        <w:t xml:space="preserve">Once the system is operational, the compute load displaces the flare. You'll have metered records of gas volume consumed by the generator — documentation that is usable for EPA methane reporting, TCEQ compliance filings, and operator ESG reporting. We work with your compliance team during commissioning to ensure the transition is clean and documented.</w:t>
      </w:r>
    </w:p>
    <w:p>
      <w:pPr>
        <w:spacing w:before="0" w:after="120"/>
      </w:pPr>
      <w:r>
        <w:rPr>
          <w:rFonts w:ascii="Arial" w:cs="Arial" w:eastAsia="Arial" w:hAnsi="Arial"/>
          <w:b/>
          <w:bCs/>
          <w:color w:val="1A1A1A"/>
          <w:sz w:val="26"/>
          <w:szCs w:val="26"/>
        </w:rPr>
        <w:t xml:space="preserve">Who handles ongoing operations?</w:t>
      </w:r>
    </w:p>
    <w:p>
      <w:pPr>
        <w:spacing w:before="0" w:after="80"/>
      </w:pPr>
      <w:r>
        <w:rPr>
          <w:rFonts w:ascii="Arial" w:cs="Arial" w:eastAsia="Arial" w:hAnsi="Arial"/>
          <w:color w:val="1A1A1A"/>
          <w:sz w:val="22"/>
          <w:szCs w:val="22"/>
        </w:rPr>
        <w:t xml:space="preserve">MCF.digital handles all compute and power operations. We monitor uptime remotely, manage ASIC performance, schedule maintenance, and dispatch field service when hardware requires on-site attention. You are not expected to troubleshoot anything.</w:t>
      </w:r>
    </w:p>
    <w:p>
      <w:pPr>
        <w:spacing w:before="0" w:after="360"/>
      </w:pPr>
      <w:r>
        <w:rPr>
          <w:rFonts w:ascii="Arial" w:cs="Arial" w:eastAsia="Arial" w:hAnsi="Arial"/>
          <w:color w:val="1A1A1A"/>
          <w:sz w:val="22"/>
          <w:szCs w:val="22"/>
        </w:rPr>
        <w:t xml:space="preserve">Your lease hand's responsibility ends at the gas meter. They keep gas flowing at the agreed volume and pressure; we handle everything downstream. If there is a gas supply disruption on your end, we need a call — but that's the same communication loop you'd have with any other gas purchaser.</w:t>
      </w:r>
    </w:p>
    <w:p>
      <w:pPr>
        <w:spacing w:before="0" w:after="120"/>
      </w:pPr>
      <w:r>
        <w:rPr>
          <w:rFonts w:ascii="Arial" w:cs="Arial" w:eastAsia="Arial" w:hAnsi="Arial"/>
          <w:b/>
          <w:bCs/>
          <w:color w:val="1A1A1A"/>
          <w:sz w:val="26"/>
          <w:szCs w:val="26"/>
        </w:rPr>
        <w:t xml:space="preserve">What are my exit options if the deal doesn't work?</w:t>
      </w:r>
    </w:p>
    <w:p>
      <w:pPr>
        <w:spacing w:before="0" w:after="80"/>
      </w:pPr>
      <w:r>
        <w:rPr>
          <w:rFonts w:ascii="Arial" w:cs="Arial" w:eastAsia="Arial" w:hAnsi="Arial"/>
          <w:color w:val="1A1A1A"/>
          <w:sz w:val="22"/>
          <w:szCs w:val="22"/>
        </w:rPr>
        <w:t xml:space="preserve">Every deployment agreement includes defined termination provisions. Standard terms allow operator termination with written notice — typically 30 to 60 days — for operational reasons such as lease sale, well decommissioning, or a change in gas production volumes that takes the site below minimum thresholds.</w:t>
      </w:r>
    </w:p>
    <w:p>
      <w:pPr>
        <w:spacing w:before="0" w:after="360"/>
      </w:pPr>
      <w:r>
        <w:rPr>
          <w:rFonts w:ascii="Arial" w:cs="Arial" w:eastAsia="Arial" w:hAnsi="Arial"/>
          <w:color w:val="1A1A1A"/>
          <w:sz w:val="22"/>
          <w:szCs w:val="22"/>
        </w:rPr>
        <w:t xml:space="preserve">Equipment removal is our responsibility and cost. We do not leave hardware on your location after termination. If you're evaluating a deployment alongside a potential lease sale, we discuss the transfer provisions up front — some acquirers want to keep the system running; others don't.</w:t>
      </w:r>
    </w:p>
    <w:p>
      <w:pPr>
        <w:spacing w:before="0" w:after="120"/>
      </w:pPr>
      <w:r>
        <w:rPr>
          <w:rFonts w:ascii="Arial" w:cs="Arial" w:eastAsia="Arial" w:hAnsi="Arial"/>
          <w:b/>
          <w:bCs/>
          <w:color w:val="1A1A1A"/>
          <w:sz w:val="26"/>
          <w:szCs w:val="26"/>
        </w:rPr>
        <w:t xml:space="preserve">Can you work with sour gas or low-methane streams?</w:t>
      </w:r>
    </w:p>
    <w:p>
      <w:pPr>
        <w:spacing w:before="0" w:after="80"/>
      </w:pPr>
      <w:r>
        <w:rPr>
          <w:rFonts w:ascii="Arial" w:cs="Arial" w:eastAsia="Arial" w:hAnsi="Arial"/>
          <w:color w:val="1A1A1A"/>
          <w:sz w:val="22"/>
          <w:szCs w:val="22"/>
        </w:rPr>
        <w:t xml:space="preserve">It depends on the specifics. Mildly sour gas — H₂S concentrations under roughly 50 ppm — can often be handled with appropriate gas conditioning upstream of the generator. Higher H₂S concentrations require more substantive treatment and change the economics of the deployment. We evaluate this in the site assessment.</w:t>
      </w:r>
    </w:p>
    <w:p>
      <w:pPr>
        <w:spacing w:before="0" w:after="360"/>
      </w:pPr>
      <w:r>
        <w:rPr>
          <w:rFonts w:ascii="Arial" w:cs="Arial" w:eastAsia="Arial" w:hAnsi="Arial"/>
          <w:color w:val="1A1A1A"/>
          <w:sz w:val="22"/>
          <w:szCs w:val="22"/>
        </w:rPr>
        <w:t xml:space="preserve">Low methane number is a genset selection issue, not a disqualifier. Gas streams with high ethane, propane, or NGL content have a lower methane number and require generators rated and validated for lean-burn or low-MN operation. We use Caterpillar's validated methane number methodology to size correctly — this is one of the most common places other operators get the deployment wrong. Submit a gas composition report during inquiry and we can give you a quick read.</w:t>
      </w:r>
    </w:p>
    <w:p>
      <w:pPr>
        <w:spacing w:before="0" w:after="120"/>
      </w:pPr>
      <w:r>
        <w:rPr>
          <w:rFonts w:ascii="Arial" w:cs="Arial" w:eastAsia="Arial" w:hAnsi="Arial"/>
          <w:b/>
          <w:bCs/>
          <w:color w:val="1A1A1A"/>
          <w:sz w:val="26"/>
          <w:szCs w:val="26"/>
        </w:rPr>
        <w:t xml:space="preserve">What does 'custody-first payout' mean for an operator?</w:t>
      </w:r>
    </w:p>
    <w:p>
      <w:pPr>
        <w:spacing w:before="0" w:after="80"/>
      </w:pPr>
      <w:r>
        <w:rPr>
          <w:rFonts w:ascii="Arial" w:cs="Arial" w:eastAsia="Arial" w:hAnsi="Arial"/>
          <w:color w:val="1A1A1A"/>
          <w:sz w:val="22"/>
          <w:szCs w:val="22"/>
        </w:rPr>
        <w:t xml:space="preserve">If you're on a hosting structure, custody-first is relevant to your capital partner, not directly to you. You receive a power rate in USD regardless of how the Bitcoin is distributed downstream.</w:t>
      </w:r>
    </w:p>
    <w:p>
      <w:pPr>
        <w:spacing w:before="0" w:after="360"/>
      </w:pPr>
      <w:r>
        <w:rPr>
          <w:rFonts w:ascii="Arial" w:cs="Arial" w:eastAsia="Arial" w:hAnsi="Arial"/>
          <w:color w:val="1A1A1A"/>
          <w:sz w:val="22"/>
          <w:szCs w:val="22"/>
        </w:rPr>
        <w:t xml:space="preserve">If you're on a revenue-share or direct-mining structure, custody-first means the Bitcoin mined at your pad goes directly to your designated wallet address — not to a pool held by MCF.digital, not to an exchange we control. The coins move from the mining pool to your wallet before any other distribution occurs. You hold your own keys. This structure matters to operators who want Bitcoin exposure without counterparty risk in the payout chain.</w:t>
      </w:r>
    </w:p>
    <w:p>
      <w:pPr>
        <w:pBdr>
          <w:top w:val="single" w:color="E8601E" w:sz="6" w:space="1"/>
        </w:pBdr>
        <w:spacing w:before="200" w:after="200"/>
      </w:pPr>
    </w:p>
    <w:p>
      <w:pPr>
        <w:spacing w:before="0" w:after="0"/>
      </w:pPr>
      <w:r>
        <w:rPr>
          <w:rFonts w:ascii="Arial" w:cs="Arial" w:eastAsia="Arial" w:hAnsi="Arial"/>
          <w:color w:val="4A4A4A"/>
          <w:sz w:val="22"/>
          <w:szCs w:val="22"/>
        </w:rPr>
        <w:t xml:space="preserve">Ready to run the numbers on your pad?  </w:t>
      </w:r>
      <w:r>
        <w:rPr>
          <w:rFonts w:ascii="Arial" w:cs="Arial" w:eastAsia="Arial" w:hAnsi="Arial"/>
          <w:b/>
          <w:bCs/>
          <w:color w:val="E8601E"/>
          <w:sz w:val="22"/>
          <w:szCs w:val="22"/>
        </w:rPr>
        <w:t xml:space="preserve">tools.mcf.digital</w:t>
      </w:r>
      <w:r>
        <w:rPr>
          <w:rFonts w:ascii="Arial" w:cs="Arial" w:eastAsia="Arial" w:hAnsi="Arial"/>
          <w:color w:val="4A4A4A"/>
          <w:sz w:val="22"/>
          <w:szCs w:val="22"/>
        </w:rPr>
        <w:t xml:space="preserve">  ·  </w:t>
      </w:r>
      <w:r>
        <w:rPr>
          <w:rFonts w:ascii="Arial" w:cs="Arial" w:eastAsia="Arial" w:hAnsi="Arial"/>
          <w:b/>
          <w:bCs/>
          <w:color w:val="E8601E"/>
          <w:sz w:val="22"/>
          <w:szCs w:val="22"/>
        </w:rPr>
        <w:t xml:space="preserve">Book a 15-minute fit call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FAQSection">
    <w:name w:val="FAQ Section"/>
    <w:basedOn w:val="Normal"/>
    <w:pPr>
      <w:spacing w:before="0" w:after="160"/>
    </w:pPr>
    <w:rPr>
      <w:rFonts w:ascii="Arial" w:cs="Arial" w:eastAsia="Arial" w:hAnsi="Arial"/>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2026-02-27T12:17:11.186Z</dcterms:created>
  <dcterms:modified xsi:type="dcterms:W3CDTF">2026-02-27T12:17:11.187Z</dcterms:modified>
</cp:coreProperties>
</file>

<file path=docProps/custom.xml><?xml version="1.0" encoding="utf-8"?>
<Properties xmlns="http://schemas.openxmlformats.org/officeDocument/2006/custom-properties" xmlns:vt="http://schemas.openxmlformats.org/officeDocument/2006/docPropsVTypes"/>
</file>