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E8601E"/>
          <w:spacing w:val="120"/>
          <w:sz w:val="18"/>
          <w:szCs w:val="18"/>
        </w:rPr>
        <w:t xml:space="preserve">FAQ — LOW NETBACK SITES</w:t>
      </w:r>
    </w:p>
    <w:p>
      <w:pPr>
        <w:pBdr>
          <w:bottom w:val="single" w:color="E8601E" w:sz="6" w:space="1"/>
        </w:pBdr>
        <w:spacing w:before="0" w:after="80"/>
      </w:pPr>
      <w:r>
        <w:rPr>
          <w:rFonts w:ascii="Arial" w:cs="Arial" w:eastAsia="Arial" w:hAnsi="Arial"/>
          <w:b/>
          <w:bCs/>
          <w:color w:val="1A1A1A"/>
          <w:sz w:val="40"/>
          <w:szCs w:val="40"/>
        </w:rPr>
        <w:t xml:space="preserve">Common Questions</w:t>
      </w:r>
    </w:p>
    <w:p>
      <w:pPr>
        <w:spacing w:before="200" w:after="400"/>
      </w:pPr>
      <w:r>
        <w:rPr>
          <w:rFonts w:ascii="Arial" w:cs="Arial" w:eastAsia="Arial" w:hAnsi="Arial"/>
          <w:color w:val="4A4A4A"/>
          <w:sz w:val="22"/>
          <w:szCs w:val="22"/>
        </w:rPr>
        <w:t xml:space="preserve">If your pipeline netback is being compressed by gathering fees, deductions, or minimum volume commitments, these are the questions that matter most before you evaluate an on-lease carve-out.</w:t>
      </w:r>
    </w:p>
    <w:p>
      <w:pPr>
        <w:spacing w:before="0" w:after="120"/>
      </w:pPr>
      <w:r>
        <w:rPr>
          <w:rFonts w:ascii="Arial" w:cs="Arial" w:eastAsia="Arial" w:hAnsi="Arial"/>
          <w:b/>
          <w:bCs/>
          <w:color w:val="1A1A1A"/>
          <w:sz w:val="26"/>
          <w:szCs w:val="26"/>
        </w:rPr>
        <w:t xml:space="preserve">What gas netback is required for on-lease to pencil?</w:t>
      </w:r>
    </w:p>
    <w:p>
      <w:pPr>
        <w:spacing w:before="0" w:after="80"/>
      </w:pPr>
      <w:r>
        <w:rPr>
          <w:rFonts w:ascii="Arial" w:cs="Arial" w:eastAsia="Arial" w:hAnsi="Arial"/>
          <w:color w:val="1A1A1A"/>
          <w:sz w:val="22"/>
          <w:szCs w:val="22"/>
        </w:rPr>
        <w:t xml:space="preserve">There is no universal threshold — it depends on your gas volume, gas quality, and the deal structure you choose. That said, the on-lease path typically becomes compelling when your effective pipeline netback falls below $1.50 to $2.00 per Mcf after all midstream deductions. At that level, the alternative buyer — the on-lease generator — can often match or beat your current net realisation.</w:t>
      </w:r>
    </w:p>
    <w:p>
      <w:pPr>
        <w:spacing w:before="0" w:after="360"/>
      </w:pPr>
      <w:r>
        <w:rPr>
          <w:rFonts w:ascii="Arial" w:cs="Arial" w:eastAsia="Arial" w:hAnsi="Arial"/>
          <w:color w:val="1A1A1A"/>
          <w:sz w:val="22"/>
          <w:szCs w:val="22"/>
        </w:rPr>
        <w:t xml:space="preserve">The comparison that matters is not the posted pipeline price. It's your actual take-home after gathering fees, fuel deductions, shrink charges, and any minimum volume commitment penalties you're absorbing. Run those numbers at tools.mcf.digital for your specific pad before drawing any conclusions.</w:t>
      </w:r>
    </w:p>
    <w:p>
      <w:pPr>
        <w:spacing w:before="0" w:after="120"/>
      </w:pPr>
      <w:r>
        <w:rPr>
          <w:rFonts w:ascii="Arial" w:cs="Arial" w:eastAsia="Arial" w:hAnsi="Arial"/>
          <w:b/>
          <w:bCs/>
          <w:color w:val="1A1A1A"/>
          <w:sz w:val="26"/>
          <w:szCs w:val="26"/>
        </w:rPr>
        <w:t xml:space="preserve">Do I need to break my existing midstream contract?</w:t>
      </w:r>
    </w:p>
    <w:p>
      <w:pPr>
        <w:spacing w:before="0" w:after="80"/>
      </w:pPr>
      <w:r>
        <w:rPr>
          <w:rFonts w:ascii="Arial" w:cs="Arial" w:eastAsia="Arial" w:hAnsi="Arial"/>
          <w:color w:val="1A1A1A"/>
          <w:sz w:val="22"/>
          <w:szCs w:val="22"/>
        </w:rPr>
        <w:t xml:space="preserve">No. Breaking a midstream contract is rarely the right move and almost never necessary. The on-lease model works as a carve-out — a defined volume of gas diverted to the on-lease generator before the remainder flows to your existing midstream connection.</w:t>
      </w:r>
    </w:p>
    <w:p>
      <w:pPr>
        <w:spacing w:before="0" w:after="360"/>
      </w:pPr>
      <w:r>
        <w:rPr>
          <w:rFonts w:ascii="Arial" w:cs="Arial" w:eastAsia="Arial" w:hAnsi="Arial"/>
          <w:color w:val="1A1A1A"/>
          <w:sz w:val="22"/>
          <w:szCs w:val="22"/>
        </w:rPr>
        <w:t xml:space="preserve">What matters is whether your current contract contains a carve-out provision, a volume threshold below which the midstream obligation doesn't apply, or a minimum volume commitment you're already failing to meet. Many older contracts have more flexibility than operators assume. We review the relevant clauses with you before any agreement is signed. If your contract is genuinely restrictive, we tell you that directly rather than asking you to take legal risk.</w:t>
      </w:r>
    </w:p>
    <w:p>
      <w:pPr>
        <w:spacing w:before="0" w:after="120"/>
      </w:pPr>
      <w:r>
        <w:rPr>
          <w:rFonts w:ascii="Arial" w:cs="Arial" w:eastAsia="Arial" w:hAnsi="Arial"/>
          <w:b/>
          <w:bCs/>
          <w:color w:val="1A1A1A"/>
          <w:sz w:val="26"/>
          <w:szCs w:val="26"/>
        </w:rPr>
        <w:t xml:space="preserve">How does the on-lease carve-out work alongside an existing pipeline connection?</w:t>
      </w:r>
    </w:p>
    <w:p>
      <w:pPr>
        <w:spacing w:before="0" w:after="80"/>
      </w:pPr>
      <w:r>
        <w:rPr>
          <w:rFonts w:ascii="Arial" w:cs="Arial" w:eastAsia="Arial" w:hAnsi="Arial"/>
          <w:color w:val="1A1A1A"/>
          <w:sz w:val="22"/>
          <w:szCs w:val="22"/>
        </w:rPr>
        <w:t xml:space="preserve">The carve-out is a volume allocation, not a replacement. You designate a portion of your wellhead gas — typically the volume that was previously going to the flare or the volume that was underperforming economically — to feed the on-lease generator. The remainder of your production continues to flow to the pipeline under your existing contract.</w:t>
      </w:r>
    </w:p>
    <w:p>
      <w:pPr>
        <w:spacing w:before="0" w:after="360"/>
      </w:pPr>
      <w:r>
        <w:rPr>
          <w:rFonts w:ascii="Arial" w:cs="Arial" w:eastAsia="Arial" w:hAnsi="Arial"/>
          <w:color w:val="1A1A1A"/>
          <w:sz w:val="22"/>
          <w:szCs w:val="22"/>
        </w:rPr>
        <w:t xml:space="preserve">Mechanically, the diversion happens upstream of your metering point or through a separate meter run, depending on your infrastructure. Your midstream counterparty receives the contracted volume or the reduced volume with appropriate notification. We work alongside your field team to design the interconnect so the carve-out does not disrupt your primary production stream or create a compliance event under your existing agreement.</w:t>
      </w:r>
    </w:p>
    <w:p>
      <w:pPr>
        <w:spacing w:before="0" w:after="120"/>
      </w:pPr>
      <w:r>
        <w:rPr>
          <w:rFonts w:ascii="Arial" w:cs="Arial" w:eastAsia="Arial" w:hAnsi="Arial"/>
          <w:b/>
          <w:bCs/>
          <w:color w:val="1A1A1A"/>
          <w:sz w:val="26"/>
          <w:szCs w:val="26"/>
        </w:rPr>
        <w:t xml:space="preserve">What's the minimum daily gas volume for a viable deployment?</w:t>
      </w:r>
    </w:p>
    <w:p>
      <w:pPr>
        <w:spacing w:before="0" w:after="80"/>
      </w:pPr>
      <w:r>
        <w:rPr>
          <w:rFonts w:ascii="Arial" w:cs="Arial" w:eastAsia="Arial" w:hAnsi="Arial"/>
          <w:color w:val="1A1A1A"/>
          <w:sz w:val="22"/>
          <w:szCs w:val="22"/>
        </w:rPr>
        <w:t xml:space="preserve">For a low-netback carve-out deployment, the practical minimum is around 50 Mcfd of consistent, usable gas. Below that level, the generator size required is too small to justify the fixed costs of deployment and ongoing operations.</w:t>
      </w:r>
    </w:p>
    <w:p>
      <w:pPr>
        <w:spacing w:before="0" w:after="360"/>
      </w:pPr>
      <w:r>
        <w:rPr>
          <w:rFonts w:ascii="Arial" w:cs="Arial" w:eastAsia="Arial" w:hAnsi="Arial"/>
          <w:color w:val="1A1A1A"/>
          <w:sz w:val="22"/>
          <w:szCs w:val="22"/>
        </w:rPr>
        <w:t xml:space="preserve">The more important variable is consistency. A pad producing 75 Mcfd reliably every day is a better candidate than one producing 200 Mcfd with significant daily variance. Pressure stability matters too — a generator sized for your average flow will derate or shut down if pressure drops materially below spec. We assess consistency, not just peak volume, during the site evaluation.</w:t>
      </w:r>
    </w:p>
    <w:p>
      <w:pPr>
        <w:spacing w:before="0" w:after="120"/>
      </w:pPr>
      <w:r>
        <w:rPr>
          <w:rFonts w:ascii="Arial" w:cs="Arial" w:eastAsia="Arial" w:hAnsi="Arial"/>
          <w:b/>
          <w:bCs/>
          <w:color w:val="1A1A1A"/>
          <w:sz w:val="26"/>
          <w:szCs w:val="26"/>
        </w:rPr>
        <w:t xml:space="preserve">How is my gas priced in a hosting structure?</w:t>
      </w:r>
    </w:p>
    <w:p>
      <w:pPr>
        <w:spacing w:before="0" w:after="80"/>
      </w:pPr>
      <w:r>
        <w:rPr>
          <w:rFonts w:ascii="Arial" w:cs="Arial" w:eastAsia="Arial" w:hAnsi="Arial"/>
          <w:color w:val="1A1A1A"/>
          <w:sz w:val="22"/>
          <w:szCs w:val="22"/>
        </w:rPr>
        <w:t xml:space="preserve">In a hosting structure, your gas is valued as the input fuel for the generator. You receive a negotiated power rate — expressed in dollars per megawatt-hour or dollars per Mcf of gas consumed — paid to you as the gas supplier. You are not exposed to Bitcoin price, hashprice movements, or mining economics. You are effectively selling gas to a new buyer who happens to be running compute instead of a pipeline.</w:t>
      </w:r>
    </w:p>
    <w:p>
      <w:pPr>
        <w:spacing w:before="0" w:after="360"/>
      </w:pPr>
      <w:r>
        <w:rPr>
          <w:rFonts w:ascii="Arial" w:cs="Arial" w:eastAsia="Arial" w:hAnsi="Arial"/>
          <w:color w:val="1A1A1A"/>
          <w:sz w:val="22"/>
          <w:szCs w:val="22"/>
        </w:rPr>
        <w:t xml:space="preserve">The rate is set based on your gas volume, gas quality, site conditions, and current mining economics at the time of agreement. It is fixed for the term or subject to agreed price-adjustment mechanisms — not subject to Bitcoin volatility. The goal is for your effective netback from the on-lease buyer to meet or exceed what you were netting from the pipeline after all deductions.</w:t>
      </w:r>
    </w:p>
    <w:p>
      <w:pPr>
        <w:spacing w:before="0" w:after="120"/>
      </w:pPr>
      <w:r>
        <w:rPr>
          <w:rFonts w:ascii="Arial" w:cs="Arial" w:eastAsia="Arial" w:hAnsi="Arial"/>
          <w:b/>
          <w:bCs/>
          <w:color w:val="1A1A1A"/>
          <w:sz w:val="26"/>
          <w:szCs w:val="26"/>
        </w:rPr>
        <w:t xml:space="preserve">What does 'parity' mean in your netback math?</w:t>
      </w:r>
    </w:p>
    <w:p>
      <w:pPr>
        <w:spacing w:before="0" w:after="80"/>
      </w:pPr>
      <w:r>
        <w:rPr>
          <w:rFonts w:ascii="Arial" w:cs="Arial" w:eastAsia="Arial" w:hAnsi="Arial"/>
          <w:color w:val="1A1A1A"/>
          <w:sz w:val="22"/>
          <w:szCs w:val="22"/>
        </w:rPr>
        <w:t xml:space="preserve">Parity is the point at which your on-lease power rate equals your effective pipeline netback — the actual take-home after all midstream fees, not the posted price. If your pipeline is paying you $1.20 per Mcf after deductions, parity means the on-lease structure pays you at least $1.20 per Mcf equivalent.</w:t>
      </w:r>
    </w:p>
    <w:p>
      <w:pPr>
        <w:spacing w:before="0" w:after="360"/>
      </w:pPr>
      <w:r>
        <w:rPr>
          <w:rFonts w:ascii="Arial" w:cs="Arial" w:eastAsia="Arial" w:hAnsi="Arial"/>
          <w:color w:val="1A1A1A"/>
          <w:sz w:val="22"/>
          <w:szCs w:val="22"/>
        </w:rPr>
        <w:t xml:space="preserve">We use parity as the floor, not the target. The value of a carve-out is not just matching the pipeline — it's removing the deduction structure entirely for the diverted volume. No fuel charges. No shrink. No gathering fee on the carve-out portion. For operators close to their minimum volume commitment threshold, there's an additional benefit: reducing throughput to the pipeline can eliminate or reduce MVC shortfall penalties, which changes the parity calculation materially. The full comparison is worked through in the Netback Fixer white paper, available in our download centre.</w:t>
      </w:r>
    </w:p>
    <w:p>
      <w:pPr>
        <w:pBdr>
          <w:top w:val="single" w:color="E8601E" w:sz="6" w:space="1"/>
        </w:pBdr>
        <w:spacing w:before="200" w:after="200"/>
      </w:pPr>
    </w:p>
    <w:p>
      <w:pPr>
        <w:spacing w:before="0" w:after="0"/>
      </w:pPr>
      <w:r>
        <w:rPr>
          <w:rFonts w:ascii="Arial" w:cs="Arial" w:eastAsia="Arial" w:hAnsi="Arial"/>
          <w:color w:val="4A4A4A"/>
          <w:sz w:val="22"/>
          <w:szCs w:val="22"/>
        </w:rPr>
        <w:t xml:space="preserve">Model your pad's netback comparison  </w:t>
      </w:r>
      <w:r>
        <w:rPr>
          <w:rFonts w:ascii="Arial" w:cs="Arial" w:eastAsia="Arial" w:hAnsi="Arial"/>
          <w:b/>
          <w:bCs/>
          <w:color w:val="E8601E"/>
          <w:sz w:val="22"/>
          <w:szCs w:val="22"/>
        </w:rPr>
        <w:t xml:space="preserve">tools.mcf.digital</w:t>
      </w:r>
      <w:r>
        <w:rPr>
          <w:rFonts w:ascii="Arial" w:cs="Arial" w:eastAsia="Arial" w:hAnsi="Arial"/>
          <w:color w:val="4A4A4A"/>
          <w:sz w:val="22"/>
          <w:szCs w:val="22"/>
        </w:rPr>
        <w:t xml:space="preserve">  ·  </w:t>
      </w:r>
      <w:r>
        <w:rPr>
          <w:rFonts w:ascii="Arial" w:cs="Arial" w:eastAsia="Arial" w:hAnsi="Arial"/>
          <w:b/>
          <w:bCs/>
          <w:color w:val="E8601E"/>
          <w:sz w:val="22"/>
          <w:szCs w:val="22"/>
        </w:rPr>
        <w:t xml:space="preserve">Book a 15-minute fit call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2026-02-27T12:20:12.565Z</dcterms:created>
  <dcterms:modified xsi:type="dcterms:W3CDTF">2026-02-27T12:20:12.566Z</dcterms:modified>
</cp:coreProperties>
</file>

<file path=docProps/custom.xml><?xml version="1.0" encoding="utf-8"?>
<Properties xmlns="http://schemas.openxmlformats.org/officeDocument/2006/custom-properties" xmlns:vt="http://schemas.openxmlformats.org/officeDocument/2006/docPropsVTypes"/>
</file>