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pPr>
      <w:r>
        <w:rPr>
          <w:rFonts w:ascii="Arial" w:cs="Arial" w:eastAsia="Arial" w:hAnsi="Arial"/>
          <w:b/>
          <w:bCs/>
          <w:color w:val="E8601E"/>
          <w:spacing w:val="120"/>
          <w:sz w:val="18"/>
          <w:szCs w:val="18"/>
        </w:rPr>
        <w:t xml:space="preserve">FAQ — BITCOIN MINERS</w:t>
      </w:r>
    </w:p>
    <w:p>
      <w:pPr>
        <w:pBdr>
          <w:bottom w:val="single" w:color="E8601E" w:sz="6" w:space="1"/>
        </w:pBdr>
        <w:spacing w:before="0" w:after="80"/>
      </w:pPr>
      <w:r>
        <w:rPr>
          <w:rFonts w:ascii="Arial" w:cs="Arial" w:eastAsia="Arial" w:hAnsi="Arial"/>
          <w:b/>
          <w:bCs/>
          <w:color w:val="1A1A1A"/>
          <w:sz w:val="40"/>
          <w:szCs w:val="40"/>
        </w:rPr>
        <w:t xml:space="preserve">Common Questions</w:t>
      </w:r>
    </w:p>
    <w:p>
      <w:pPr>
        <w:spacing w:before="200" w:after="400"/>
      </w:pPr>
      <w:r>
        <w:rPr>
          <w:rFonts w:ascii="Arial" w:cs="Arial" w:eastAsia="Arial" w:hAnsi="Arial"/>
          <w:color w:val="4A4A4A"/>
          <w:sz w:val="22"/>
          <w:szCs w:val="22"/>
        </w:rPr>
        <w:t xml:space="preserve">You've seen bad stranded gas deployments. Undersized generators, gas quality surprises, connectivity failures, service response measured in weeks. These answers are for miners who need to know exactly what they're walking into before committing hardware to a remote pad.</w:t>
      </w:r>
    </w:p>
    <w:p>
      <w:pPr>
        <w:spacing w:before="0" w:after="120"/>
      </w:pPr>
      <w:r>
        <w:rPr>
          <w:rFonts w:ascii="Arial" w:cs="Arial" w:eastAsia="Arial" w:hAnsi="Arial"/>
          <w:b/>
          <w:bCs/>
          <w:color w:val="1A1A1A"/>
          <w:sz w:val="26"/>
          <w:szCs w:val="26"/>
        </w:rPr>
        <w:t xml:space="preserve">What does MCF.digital provide vs. what does the miner bring?</w:t>
      </w:r>
    </w:p>
    <w:p>
      <w:pPr>
        <w:spacing w:before="0" w:after="80"/>
      </w:pPr>
      <w:r>
        <w:rPr>
          <w:rFonts w:ascii="Arial" w:cs="Arial" w:eastAsia="Arial" w:hAnsi="Arial"/>
          <w:color w:val="1A1A1A"/>
          <w:sz w:val="22"/>
          <w:szCs w:val="22"/>
        </w:rPr>
        <w:t xml:space="preserve">MCF.digital provides everything from the wellhead to the PDU: gas conditioning where required, the generator set sized and validated for the site's gas composition, electrical infrastructure, power conditioning, container pad preparation, site security provisions, remote monitoring, and ongoing field operations. We also handle the operator relationship, the deployment logistics, and the service framework.</w:t>
      </w:r>
    </w:p>
    <w:p>
      <w:pPr>
        <w:spacing w:before="0" w:after="360"/>
      </w:pPr>
      <w:r>
        <w:rPr>
          <w:rFonts w:ascii="Arial" w:cs="Arial" w:eastAsia="Arial" w:hAnsi="Arial"/>
          <w:color w:val="1A1A1A"/>
          <w:sz w:val="22"/>
          <w:szCs w:val="22"/>
        </w:rPr>
        <w:t xml:space="preserve">The miner brings the ASICs and the containers — or we can help source containers through our supply chain if needed. The miner also brings their pool credentials, wallet configuration, and any firmware preferences. Once the system is commissioned, the miner's operational touchpoints are the same as any other site: pool dashboard, remote ASIC management interface, and a direct line to our ops team if something needs attention. You are not expected to manage anything on the ground.</w:t>
      </w:r>
    </w:p>
    <w:p>
      <w:pPr>
        <w:spacing w:before="0" w:after="120"/>
      </w:pPr>
      <w:r>
        <w:rPr>
          <w:rFonts w:ascii="Arial" w:cs="Arial" w:eastAsia="Arial" w:hAnsi="Arial"/>
          <w:b/>
          <w:bCs/>
          <w:color w:val="1A1A1A"/>
          <w:sz w:val="26"/>
          <w:szCs w:val="26"/>
        </w:rPr>
        <w:t xml:space="preserve">What container specs do you support?</w:t>
      </w:r>
    </w:p>
    <w:p>
      <w:pPr>
        <w:spacing w:before="0" w:after="80"/>
      </w:pPr>
      <w:r>
        <w:rPr>
          <w:rFonts w:ascii="Arial" w:cs="Arial" w:eastAsia="Arial" w:hAnsi="Arial"/>
          <w:color w:val="1A1A1A"/>
          <w:sz w:val="22"/>
          <w:szCs w:val="22"/>
        </w:rPr>
        <w:t xml:space="preserve">We work with standard 20-foot and 40-foot ISO containers configured for ASIC mining — either hydro-cooled or air-cooled, depending on the hardware you're running and the ambient conditions at the site. Container electrical requirements are typically 480V three-phase input at the PDU; we size the generator output and step-down transformers to match your specific container spec.</w:t>
      </w:r>
    </w:p>
    <w:p>
      <w:pPr>
        <w:spacing w:before="0" w:after="360"/>
      </w:pPr>
      <w:r>
        <w:rPr>
          <w:rFonts w:ascii="Arial" w:cs="Arial" w:eastAsia="Arial" w:hAnsi="Arial"/>
          <w:color w:val="1A1A1A"/>
          <w:sz w:val="22"/>
          <w:szCs w:val="22"/>
        </w:rPr>
        <w:t xml:space="preserve">Non-standard container configurations — custom immersion setups, hybrid cooling rigs — are evaluated case by case. The constraint is generator output capacity and the site's thermal envelope. Ambient temperatures in the Permian or Bakken during summer affect both generator derate and container cooling load simultaneously, and we size for the worst-case scenario rather than the annual average. Send us your container spec sheet during the inquiry process and we'll confirm compatibility before you commit.</w:t>
      </w:r>
    </w:p>
    <w:p>
      <w:pPr>
        <w:spacing w:before="0" w:after="120"/>
      </w:pPr>
      <w:r>
        <w:rPr>
          <w:rFonts w:ascii="Arial" w:cs="Arial" w:eastAsia="Arial" w:hAnsi="Arial"/>
          <w:b/>
          <w:bCs/>
          <w:color w:val="1A1A1A"/>
          <w:sz w:val="26"/>
          <w:szCs w:val="26"/>
        </w:rPr>
        <w:t xml:space="preserve">How is connectivity handled at remote pads?</w:t>
      </w:r>
    </w:p>
    <w:p>
      <w:pPr>
        <w:spacing w:before="0" w:after="80"/>
      </w:pPr>
      <w:r>
        <w:rPr>
          <w:rFonts w:ascii="Arial" w:cs="Arial" w:eastAsia="Arial" w:hAnsi="Arial"/>
          <w:color w:val="1A1A1A"/>
          <w:sz w:val="22"/>
          <w:szCs w:val="22"/>
        </w:rPr>
        <w:t xml:space="preserve">Primary connectivity is Starlink Business on all deployments. We provision and configure the terminal as part of commissioning, size the mounting for the pad's wind and weather exposure, and test pool connectivity and latency before the system goes live. Starlink Business delivers sufficient bandwidth and acceptable latency for standard mining pool protocols at remote locations.</w:t>
      </w:r>
    </w:p>
    <w:p>
      <w:pPr>
        <w:spacing w:before="0" w:after="360"/>
      </w:pPr>
      <w:r>
        <w:rPr>
          <w:rFonts w:ascii="Arial" w:cs="Arial" w:eastAsia="Arial" w:hAnsi="Arial"/>
          <w:color w:val="1A1A1A"/>
          <w:sz w:val="22"/>
          <w:szCs w:val="22"/>
        </w:rPr>
        <w:t xml:space="preserve">For sites with partial cellular coverage, we add a 4G LTE backup modem on a separate carrier as a failover. The ASIC management network and pool connection fail over automatically if the primary link drops. Connectivity events are logged and reported — extended outages that affect hashrate are flagged to you directly. We do not consider a connectivity failure a force majeure event that excuses downtime; it's an operations problem we own.</w:t>
      </w:r>
    </w:p>
    <w:p>
      <w:pPr>
        <w:spacing w:before="0" w:after="120"/>
      </w:pPr>
      <w:r>
        <w:rPr>
          <w:rFonts w:ascii="Arial" w:cs="Arial" w:eastAsia="Arial" w:hAnsi="Arial"/>
          <w:b/>
          <w:bCs/>
          <w:color w:val="1A1A1A"/>
          <w:sz w:val="26"/>
          <w:szCs w:val="26"/>
        </w:rPr>
        <w:t xml:space="preserve">What's the typical uptime on gas-powered sites vs. grid?</w:t>
      </w:r>
    </w:p>
    <w:p>
      <w:pPr>
        <w:spacing w:before="0" w:after="80"/>
      </w:pPr>
      <w:r>
        <w:rPr>
          <w:rFonts w:ascii="Arial" w:cs="Arial" w:eastAsia="Arial" w:hAnsi="Arial"/>
          <w:color w:val="1A1A1A"/>
          <w:sz w:val="22"/>
          <w:szCs w:val="22"/>
        </w:rPr>
        <w:t xml:space="preserve">An honestly run gas-powered site running consistent wellhead gas will deliver 92 to 96 percent uptime on an annualised basis — comparable to a mid-tier grid colocation once curtailment events and planned maintenance are accounted for. The honest answer is that gas sites have a different uptime profile than grid sites, not a worse one.</w:t>
      </w:r>
    </w:p>
    <w:p>
      <w:pPr>
        <w:spacing w:before="0" w:after="360"/>
      </w:pPr>
      <w:r>
        <w:rPr>
          <w:rFonts w:ascii="Arial" w:cs="Arial" w:eastAsia="Arial" w:hAnsi="Arial"/>
          <w:color w:val="1A1A1A"/>
          <w:sz w:val="22"/>
          <w:szCs w:val="22"/>
        </w:rPr>
        <w:t xml:space="preserve">The failure modes are different. Grid sites go down on utility curtailments, transmission events, and scheduled maintenance windows. Gas sites go down on gas supply disruptions, generator servicing intervals, and weather events that affect access. We track uptime per site, report it to miners monthly, and disclose historical uptime on operating sites during diligence. If a site has had supply consistency problems, we tell you before you deploy hardware — not after.</w:t>
      </w:r>
    </w:p>
    <w:p>
      <w:pPr>
        <w:spacing w:before="0" w:after="120"/>
      </w:pPr>
      <w:r>
        <w:rPr>
          <w:rFonts w:ascii="Arial" w:cs="Arial" w:eastAsia="Arial" w:hAnsi="Arial"/>
          <w:b/>
          <w:bCs/>
          <w:color w:val="1A1A1A"/>
          <w:sz w:val="26"/>
          <w:szCs w:val="26"/>
        </w:rPr>
        <w:t xml:space="preserve">How are service calls handled at remote locations?</w:t>
      </w:r>
    </w:p>
    <w:p>
      <w:pPr>
        <w:spacing w:before="0" w:after="80"/>
      </w:pPr>
      <w:r>
        <w:rPr>
          <w:rFonts w:ascii="Arial" w:cs="Arial" w:eastAsia="Arial" w:hAnsi="Arial"/>
          <w:color w:val="1A1A1A"/>
          <w:sz w:val="22"/>
          <w:szCs w:val="22"/>
        </w:rPr>
        <w:t xml:space="preserve">We design for remote resolution first. The majority of ASIC issues — hash board faults, thermal throttling, pool connection drops, firmware anomalies — are resolved remotely through the ASIC management interface without a truck roll. Our ops team monitors all sites and initiates remote diagnostics before escalating to field service.</w:t>
      </w:r>
    </w:p>
    <w:p>
      <w:pPr>
        <w:spacing w:before="0" w:after="360"/>
      </w:pPr>
      <w:r>
        <w:rPr>
          <w:rFonts w:ascii="Arial" w:cs="Arial" w:eastAsia="Arial" w:hAnsi="Arial"/>
          <w:color w:val="1A1A1A"/>
          <w:sz w:val="22"/>
          <w:szCs w:val="22"/>
        </w:rPr>
        <w:t xml:space="preserve">When a physical service call is required, response time depends on the site's location and road access. We establish the service response standard for each site during onboarding — typically 24 to 72 hours for critical hardware failures, depending on remoteness. Replacement hardware is staged at regional supply points for the basins we operate in. We do not fly in a technician from a central office for routine ASIC swaps. If a site's access conditions mean a 72-hour response is the realistic floor, we tell you that during diligence so you can weigh it against your hardware deployment decision.</w:t>
      </w:r>
    </w:p>
    <w:p>
      <w:pPr>
        <w:spacing w:before="0" w:after="120"/>
      </w:pPr>
      <w:r>
        <w:rPr>
          <w:rFonts w:ascii="Arial" w:cs="Arial" w:eastAsia="Arial" w:hAnsi="Arial"/>
          <w:b/>
          <w:bCs/>
          <w:color w:val="1A1A1A"/>
          <w:sz w:val="26"/>
          <w:szCs w:val="26"/>
        </w:rPr>
        <w:t xml:space="preserve">What ASIC models work best in field conditions?</w:t>
      </w:r>
    </w:p>
    <w:p>
      <w:pPr>
        <w:spacing w:before="0" w:after="80"/>
      </w:pPr>
      <w:r>
        <w:rPr>
          <w:rFonts w:ascii="Arial" w:cs="Arial" w:eastAsia="Arial" w:hAnsi="Arial"/>
          <w:color w:val="1A1A1A"/>
          <w:sz w:val="22"/>
          <w:szCs w:val="22"/>
        </w:rPr>
        <w:t xml:space="preserve">The current generation of air-cooled units from Bitmain, MicroBT, and Canaan all perform acceptably in field-deployed containers when the container's thermal management is properly sized for the site's ambient conditions. The selection variable we weight most heavily is thermal tolerance and firmware stability under variable input power — generator output has more variance than grid power, and ASICs that handle voltage fluctuations poorly create more operational overhead.</w:t>
      </w:r>
    </w:p>
    <w:p>
      <w:pPr>
        <w:spacing w:before="0" w:after="360"/>
      </w:pPr>
      <w:r>
        <w:rPr>
          <w:rFonts w:ascii="Arial" w:cs="Arial" w:eastAsia="Arial" w:hAnsi="Arial"/>
          <w:color w:val="1A1A1A"/>
          <w:sz w:val="22"/>
          <w:szCs w:val="22"/>
        </w:rPr>
        <w:t xml:space="preserve">For hydro-cooled deployments in high-ambient environments, the efficiency advantage of hydro units is more pronounced — the delta between air-cooled and hydro-cooled performance widens materially above 35°C ambient. We do not mandate a specific ASIC model, but we do flag models we've seen perform poorly in field conditions during the pre-deployment review. If you're making a new hardware purchase specifically for a stranded gas deployment, we'll give you our current field observations on the models you're considering before you buy.</w:t>
      </w:r>
    </w:p>
    <w:p>
      <w:pPr>
        <w:pBdr>
          <w:top w:val="single" w:color="E8601E" w:sz="6" w:space="1"/>
        </w:pBdr>
        <w:spacing w:before="200" w:after="200"/>
      </w:pPr>
    </w:p>
    <w:p>
      <w:pPr>
        <w:spacing w:before="0" w:after="0"/>
      </w:pPr>
      <w:r>
        <w:rPr>
          <w:rFonts w:ascii="Arial" w:cs="Arial" w:eastAsia="Arial" w:hAnsi="Arial"/>
          <w:color w:val="4A4A4A"/>
          <w:sz w:val="22"/>
          <w:szCs w:val="22"/>
        </w:rPr>
        <w:t xml:space="preserve">Evaluate a specific pad or gas stream  </w:t>
      </w:r>
      <w:r>
        <w:rPr>
          <w:rFonts w:ascii="Arial" w:cs="Arial" w:eastAsia="Arial" w:hAnsi="Arial"/>
          <w:b/>
          <w:bCs/>
          <w:color w:val="E8601E"/>
          <w:sz w:val="22"/>
          <w:szCs w:val="22"/>
        </w:rPr>
        <w:t xml:space="preserve">tools.mcf.digital</w:t>
      </w:r>
      <w:r>
        <w:rPr>
          <w:rFonts w:ascii="Arial" w:cs="Arial" w:eastAsia="Arial" w:hAnsi="Arial"/>
          <w:color w:val="4A4A4A"/>
          <w:sz w:val="22"/>
          <w:szCs w:val="22"/>
        </w:rPr>
        <w:t xml:space="preserve">  ·  </w:t>
      </w:r>
      <w:r>
        <w:rPr>
          <w:rFonts w:ascii="Arial" w:cs="Arial" w:eastAsia="Arial" w:hAnsi="Arial"/>
          <w:b/>
          <w:bCs/>
          <w:color w:val="E8601E"/>
          <w:sz w:val="22"/>
          <w:szCs w:val="22"/>
        </w:rPr>
        <w:t xml:space="preserve">Book a 15-minute fit call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2026-02-27T12:21:57.663Z</dcterms:created>
  <dcterms:modified xsi:type="dcterms:W3CDTF">2026-02-27T12:21:57.664Z</dcterms:modified>
</cp:coreProperties>
</file>

<file path=docProps/custom.xml><?xml version="1.0" encoding="utf-8"?>
<Properties xmlns="http://schemas.openxmlformats.org/officeDocument/2006/custom-properties" xmlns:vt="http://schemas.openxmlformats.org/officeDocument/2006/docPropsVTypes"/>
</file>