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E8601E"/>
          <w:spacing w:val="120"/>
          <w:sz w:val="18"/>
          <w:szCs w:val="18"/>
        </w:rPr>
        <w:t xml:space="preserve">FAQ — HNWI &amp; FAMILY OFFICES</w:t>
      </w:r>
    </w:p>
    <w:p>
      <w:pPr>
        <w:pBdr>
          <w:bottom w:val="single" w:color="E8601E" w:sz="6" w:space="1"/>
        </w:pBdr>
        <w:spacing w:before="0" w:after="80"/>
      </w:pPr>
      <w:r>
        <w:rPr>
          <w:rFonts w:ascii="Arial" w:cs="Arial" w:eastAsia="Arial" w:hAnsi="Arial"/>
          <w:b/>
          <w:bCs/>
          <w:color w:val="1A1A1A"/>
          <w:sz w:val="40"/>
          <w:szCs w:val="40"/>
        </w:rPr>
        <w:t xml:space="preserve">Common Questions</w:t>
      </w:r>
    </w:p>
    <w:p>
      <w:pPr>
        <w:spacing w:before="200" w:after="400"/>
      </w:pPr>
      <w:r>
        <w:rPr>
          <w:rFonts w:ascii="Arial" w:cs="Arial" w:eastAsia="Arial" w:hAnsi="Arial"/>
          <w:color w:val="4A4A4A"/>
          <w:sz w:val="22"/>
          <w:szCs w:val="22"/>
        </w:rPr>
        <w:t xml:space="preserve">These questions come from investors and family office allocators evaluating stranded gas Bitcoin mining as a real-asset position for the first time. The answers below prioritise structure, custody, and risk — not return projections.</w:t>
      </w:r>
    </w:p>
    <w:p>
      <w:pPr>
        <w:spacing w:before="0" w:after="120"/>
      </w:pPr>
      <w:r>
        <w:rPr>
          <w:rFonts w:ascii="Arial" w:cs="Arial" w:eastAsia="Arial" w:hAnsi="Arial"/>
          <w:b/>
          <w:bCs/>
          <w:color w:val="1A1A1A"/>
          <w:sz w:val="26"/>
          <w:szCs w:val="26"/>
        </w:rPr>
        <w:t xml:space="preserve">What is the minimum investment threshold?</w:t>
      </w:r>
    </w:p>
    <w:p>
      <w:pPr>
        <w:spacing w:before="0" w:after="80"/>
      </w:pPr>
      <w:r>
        <w:rPr>
          <w:rFonts w:ascii="Arial" w:cs="Arial" w:eastAsia="Arial" w:hAnsi="Arial"/>
          <w:color w:val="1A1A1A"/>
          <w:sz w:val="22"/>
          <w:szCs w:val="22"/>
        </w:rPr>
        <w:t xml:space="preserve">The practical floor for a capital partner deployment is $250,000. That reflects the minimum CapEx required to deploy a viable single-site system — generator, electrical infrastructure, compute containers, and commissioning — at a scale that produces meaningful yield relative to the management overhead.</w:t>
      </w:r>
    </w:p>
    <w:p>
      <w:pPr>
        <w:spacing w:before="0" w:after="360"/>
      </w:pPr>
      <w:r>
        <w:rPr>
          <w:rFonts w:ascii="Arial" w:cs="Arial" w:eastAsia="Arial" w:hAnsi="Arial"/>
          <w:color w:val="1A1A1A"/>
          <w:sz w:val="22"/>
          <w:szCs w:val="22"/>
        </w:rPr>
        <w:t xml:space="preserve">Most capital partner engagements begin in the $500,000 to $2,000,000 range, which supports a single well-sized site or a small multi-pad portfolio. There is no upper limit on deployment scale; larger commitments support more sites and allow for gas volume and location diversification across basins. First engagements are typically single-site to allow both parties to establish operational trust before scaling.</w:t>
      </w:r>
    </w:p>
    <w:p>
      <w:pPr>
        <w:spacing w:before="0" w:after="120"/>
      </w:pPr>
      <w:r>
        <w:rPr>
          <w:rFonts w:ascii="Arial" w:cs="Arial" w:eastAsia="Arial" w:hAnsi="Arial"/>
          <w:b/>
          <w:bCs/>
          <w:color w:val="1A1A1A"/>
          <w:sz w:val="26"/>
          <w:szCs w:val="26"/>
        </w:rPr>
        <w:t xml:space="preserve">How does custody-first payout actually work — who holds the keys?</w:t>
      </w:r>
    </w:p>
    <w:p>
      <w:pPr>
        <w:spacing w:before="0" w:after="80"/>
      </w:pPr>
      <w:r>
        <w:rPr>
          <w:rFonts w:ascii="Arial" w:cs="Arial" w:eastAsia="Arial" w:hAnsi="Arial"/>
          <w:color w:val="1A1A1A"/>
          <w:sz w:val="22"/>
          <w:szCs w:val="22"/>
        </w:rPr>
        <w:t xml:space="preserve">Custody-first means the Bitcoin mined at your deployment goes directly from the mining pool to a wallet address you control — not to an MCF.digital account, not to an exchange we operate, and not to a pooled fund. The wallet address is configured before the system goes live and is part of the deployment agreement. We have no access to your wallet and no ability to redirect your payout.</w:t>
      </w:r>
    </w:p>
    <w:p>
      <w:pPr>
        <w:spacing w:before="0" w:after="360"/>
      </w:pPr>
      <w:r>
        <w:rPr>
          <w:rFonts w:ascii="Arial" w:cs="Arial" w:eastAsia="Arial" w:hAnsi="Arial"/>
          <w:color w:val="1A1A1A"/>
          <w:sz w:val="22"/>
          <w:szCs w:val="22"/>
        </w:rPr>
        <w:t xml:space="preserve">You hold the private keys, or your designated custodian does — a hardware wallet, a qualified custodian, or a multisig arrangement your family office already uses for digital asset custody. MCF.digital's role in the payout chain ends when the coins leave the pool. You receive a monthly report confirming hashrate produced, coins earned, and wallet transactions — verifiable independently against your wallet's transaction history and the pool's payout records.</w:t>
      </w:r>
    </w:p>
    <w:p>
      <w:pPr>
        <w:spacing w:before="0" w:after="120"/>
      </w:pPr>
      <w:r>
        <w:rPr>
          <w:rFonts w:ascii="Arial" w:cs="Arial" w:eastAsia="Arial" w:hAnsi="Arial"/>
          <w:b/>
          <w:bCs/>
          <w:color w:val="1A1A1A"/>
          <w:sz w:val="26"/>
          <w:szCs w:val="26"/>
        </w:rPr>
        <w:t xml:space="preserve">What does 'clean reporting' include?</w:t>
      </w:r>
    </w:p>
    <w:p>
      <w:pPr>
        <w:spacing w:before="0" w:after="80"/>
      </w:pPr>
      <w:r>
        <w:rPr>
          <w:rFonts w:ascii="Arial" w:cs="Arial" w:eastAsia="Arial" w:hAnsi="Arial"/>
          <w:color w:val="1A1A1A"/>
          <w:sz w:val="22"/>
          <w:szCs w:val="22"/>
        </w:rPr>
        <w:t xml:space="preserve">Clean reporting means you receive a monthly package with enough detail to reconcile independently without asking us for clarification. It includes: hashrate produced by site (TH/s per day), uptime percentage and downtime events with causes, Bitcoin earned and wallet transaction IDs, gas volume consumed and power generated, any maintenance events and their resolution, and a current-period cost summary where costs are borne by MCF.digital under the agreement.</w:t>
      </w:r>
    </w:p>
    <w:p>
      <w:pPr>
        <w:spacing w:before="0" w:after="360"/>
      </w:pPr>
      <w:r>
        <w:rPr>
          <w:rFonts w:ascii="Arial" w:cs="Arial" w:eastAsia="Arial" w:hAnsi="Arial"/>
          <w:color w:val="1A1A1A"/>
          <w:sz w:val="22"/>
          <w:szCs w:val="22"/>
        </w:rPr>
        <w:t xml:space="preserve">We do not send a single-line revenue figure and call it reporting. Every number in the package ties to an on-chain transaction, a pool payout record, or a metered field reading. If your family office CFO or outside accountant needs to verify the figures independently, they can — that is the point. Reporting is delivered in a consistent format each month so that portfolio-level consolidation is straightforward.</w:t>
      </w:r>
    </w:p>
    <w:p>
      <w:pPr>
        <w:spacing w:before="0" w:after="120"/>
      </w:pPr>
      <w:r>
        <w:rPr>
          <w:rFonts w:ascii="Arial" w:cs="Arial" w:eastAsia="Arial" w:hAnsi="Arial"/>
          <w:b/>
          <w:bCs/>
          <w:color w:val="1A1A1A"/>
          <w:sz w:val="26"/>
          <w:szCs w:val="26"/>
        </w:rPr>
        <w:t xml:space="preserve">What's the typical return profile of a gas-to-hash deployment?</w:t>
      </w:r>
    </w:p>
    <w:p>
      <w:pPr>
        <w:spacing w:before="0" w:after="80"/>
      </w:pPr>
      <w:r>
        <w:rPr>
          <w:rFonts w:ascii="Arial" w:cs="Arial" w:eastAsia="Arial" w:hAnsi="Arial"/>
          <w:color w:val="1A1A1A"/>
          <w:sz w:val="22"/>
          <w:szCs w:val="22"/>
        </w:rPr>
        <w:t xml:space="preserve">We will not publish a projected return figure here, and any operator who does should be scrutinised. Returns depend on three variables that move independently: Bitcoin price, network hashrate difficulty (which determines how much Bitcoin a given amount of compute produces), and gas supply consistency at your specific site. All three affect yield, and none are forecastable with precision.</w:t>
      </w:r>
    </w:p>
    <w:p>
      <w:pPr>
        <w:spacing w:before="0" w:after="360"/>
      </w:pPr>
      <w:r>
        <w:rPr>
          <w:rFonts w:ascii="Arial" w:cs="Arial" w:eastAsia="Arial" w:hAnsi="Arial"/>
          <w:color w:val="1A1A1A"/>
          <w:sz w:val="22"/>
          <w:szCs w:val="22"/>
        </w:rPr>
        <w:t xml:space="preserve">What we can describe is the structural profile. Capital deployments in this asset class have historically produced returns in the range of 20 to 60 percent annually on deployed CapEx during periods of favourable Bitcoin pricing, with material downside in adverse Bitcoin markets if the deployment is structured with full BTC exposure. The hosting structure limits that downside by converting part of the return to a fixed power rate — reducing upside exposure in exchange for a more predictable floor. The full economics for a specific deployment are modelled during diligence with your actual site parameters, current hashprice, and your preferred deal structure. That conversation happens before any capital is committed.</w:t>
      </w:r>
    </w:p>
    <w:p>
      <w:pPr>
        <w:spacing w:before="0" w:after="120"/>
      </w:pPr>
      <w:r>
        <w:rPr>
          <w:rFonts w:ascii="Arial" w:cs="Arial" w:eastAsia="Arial" w:hAnsi="Arial"/>
          <w:b/>
          <w:bCs/>
          <w:color w:val="1A1A1A"/>
          <w:sz w:val="26"/>
          <w:szCs w:val="26"/>
        </w:rPr>
        <w:t xml:space="preserve">How is the investment structured — equity, revenue share, or loan?</w:t>
      </w:r>
    </w:p>
    <w:p>
      <w:pPr>
        <w:spacing w:before="0" w:after="80"/>
      </w:pPr>
      <w:r>
        <w:rPr>
          <w:rFonts w:ascii="Arial" w:cs="Arial" w:eastAsia="Arial" w:hAnsi="Arial"/>
          <w:color w:val="1A1A1A"/>
          <w:sz w:val="22"/>
          <w:szCs w:val="22"/>
        </w:rPr>
        <w:t xml:space="preserve">The most common structure for capital partners is a revenue-share arrangement: you provide the CapEx for equipment and deployment, MCF.digital operates the system, and Bitcoin revenue from the site is split according to an agreed formula for a defined term. This avoids creating an equity relationship in MCF.digital's operating business while giving you direct exposure to the output of a specific physical asset.</w:t>
      </w:r>
    </w:p>
    <w:p>
      <w:pPr>
        <w:spacing w:before="0" w:after="360"/>
      </w:pPr>
      <w:r>
        <w:rPr>
          <w:rFonts w:ascii="Arial" w:cs="Arial" w:eastAsia="Arial" w:hAnsi="Arial"/>
          <w:color w:val="1A1A1A"/>
          <w:sz w:val="22"/>
          <w:szCs w:val="22"/>
        </w:rPr>
        <w:t xml:space="preserve">Loan structures with a defined repayment schedule and a residual revenue participation are also used, particularly where the capital partner has a preference for scheduled cash flow over variable Bitcoin payout. Pure equity co-investment in a site-specific SPV is available for larger deployments where the investor wants balance-sheet ownership of the physical assets. The structure that fits depends on your tax position, your custody preferences, and whether you want Bitcoin exposure or USD cash flow — or a combination. We work through the options during the initial diligence conversation rather than defaulting to a standard term sheet.</w:t>
      </w:r>
    </w:p>
    <w:p>
      <w:pPr>
        <w:spacing w:before="0" w:after="120"/>
      </w:pPr>
      <w:r>
        <w:rPr>
          <w:rFonts w:ascii="Arial" w:cs="Arial" w:eastAsia="Arial" w:hAnsi="Arial"/>
          <w:b/>
          <w:bCs/>
          <w:color w:val="1A1A1A"/>
          <w:sz w:val="26"/>
          <w:szCs w:val="26"/>
        </w:rPr>
        <w:t xml:space="preserve">What are the exit provisions for a capital partner?</w:t>
      </w:r>
    </w:p>
    <w:p>
      <w:pPr>
        <w:spacing w:before="0" w:after="80"/>
      </w:pPr>
      <w:r>
        <w:rPr>
          <w:rFonts w:ascii="Arial" w:cs="Arial" w:eastAsia="Arial" w:hAnsi="Arial"/>
          <w:color w:val="1A1A1A"/>
          <w:sz w:val="22"/>
          <w:szCs w:val="22"/>
        </w:rPr>
        <w:t xml:space="preserve">Every capital partner agreement includes defined exit provisions. The standard structure allows for early exit after a minimum hold period — typically 12 to 18 months — with notice, subject to an agreed wind-down process for the deployment. Early exit before the minimum hold is available in defined circumstances: operator lease termination, sustained gas supply failure below minimum thresholds, or a material breach by MCF.digital. In those cases, exit is available without penalty.</w:t>
      </w:r>
    </w:p>
    <w:p>
      <w:pPr>
        <w:spacing w:before="0" w:after="360"/>
      </w:pPr>
      <w:r>
        <w:rPr>
          <w:rFonts w:ascii="Arial" w:cs="Arial" w:eastAsia="Arial" w:hAnsi="Arial"/>
          <w:color w:val="1A1A1A"/>
          <w:sz w:val="22"/>
          <w:szCs w:val="22"/>
        </w:rPr>
        <w:t xml:space="preserve">At end of term, capital partners have the option to extend under renegotiated economics, transfer their position to a third party subject to MCF.digital's consent, or wind down the deployment. Equipment has residual value — ASIC hardware and generators can be liquidated or redeployed — and any proceeds from equipment sale are returned to the capital partner net of removal costs. The exit mechanics are specified in the deployment agreement and are not subject to MCF.digital's discretion after the fact.</w:t>
      </w:r>
    </w:p>
    <w:p>
      <w:pPr>
        <w:pBdr>
          <w:top w:val="single" w:color="E8601E" w:sz="6" w:space="1"/>
        </w:pBdr>
        <w:spacing w:before="200" w:after="200"/>
      </w:pPr>
    </w:p>
    <w:p>
      <w:pPr>
        <w:spacing w:before="0" w:after="0"/>
      </w:pPr>
      <w:r>
        <w:rPr>
          <w:rFonts w:ascii="Arial" w:cs="Arial" w:eastAsia="Arial" w:hAnsi="Arial"/>
          <w:color w:val="4A4A4A"/>
          <w:sz w:val="22"/>
          <w:szCs w:val="22"/>
        </w:rPr>
        <w:t xml:space="preserve">Discuss a specific deployment structure  </w:t>
      </w:r>
      <w:r>
        <w:rPr>
          <w:rFonts w:ascii="Arial" w:cs="Arial" w:eastAsia="Arial" w:hAnsi="Arial"/>
          <w:b/>
          <w:bCs/>
          <w:color w:val="E8601E"/>
          <w:sz w:val="22"/>
          <w:szCs w:val="22"/>
        </w:rPr>
        <w:t xml:space="preserve">Book a 15-minute fit call</w:t>
      </w:r>
      <w:r>
        <w:rPr>
          <w:rFonts w:ascii="Arial" w:cs="Arial" w:eastAsia="Arial" w:hAnsi="Arial"/>
          <w:color w:val="4A4A4A"/>
          <w:sz w:val="22"/>
          <w:szCs w:val="22"/>
        </w:rPr>
        <w:t xml:space="preserve">  ·  </w:t>
      </w:r>
      <w:r>
        <w:rPr>
          <w:rFonts w:ascii="Arial" w:cs="Arial" w:eastAsia="Arial" w:hAnsi="Arial"/>
          <w:b/>
          <w:bCs/>
          <w:color w:val="E8601E"/>
          <w:sz w:val="22"/>
          <w:szCs w:val="22"/>
        </w:rPr>
        <w:t xml:space="preserve">Download the investor primer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2026-02-27T12:24:09.674Z</dcterms:created>
  <dcterms:modified xsi:type="dcterms:W3CDTF">2026-02-27T12:24:09.675Z</dcterms:modified>
</cp:coreProperties>
</file>

<file path=docProps/custom.xml><?xml version="1.0" encoding="utf-8"?>
<Properties xmlns="http://schemas.openxmlformats.org/officeDocument/2006/custom-properties" xmlns:vt="http://schemas.openxmlformats.org/officeDocument/2006/docPropsVTypes"/>
</file>