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olor w:val="E8822A"/>
          <w:sz w:val="20"/>
          <w:szCs w:val="20"/>
        </w:rPr>
        <w:t xml:space="preserve">MCF.DIGITAL</w:t>
      </w:r>
    </w:p>
    <w:p>
      <w:pPr>
        <w:pBdr>
          <w:bottom w:val="single" w:color="1A3A5C" w:sz="18" w:space="1"/>
        </w:pBdr>
        <w:spacing w:before="0" w:after="200"/>
      </w:pPr>
      <w:r>
        <w:rPr>
          <w:rFonts w:ascii="Arial" w:cs="Arial" w:eastAsia="Arial" w:hAnsi="Arial"/>
          <w:b/>
          <w:bCs/>
          <w:color w:val="1A3A5C"/>
          <w:sz w:val="64"/>
          <w:szCs w:val="64"/>
        </w:rPr>
        <w:t xml:space="preserve">Gas-to-Hash Glossary</w:t>
      </w:r>
    </w:p>
    <w:p>
      <w:pPr>
        <w:spacing w:before="0" w:after="400"/>
      </w:pPr>
      <w:r>
        <w:rPr>
          <w:rFonts w:ascii="Arial" w:cs="Arial" w:eastAsia="Arial" w:hAnsi="Arial"/>
          <w:color w:val="8C9BAA"/>
          <w:sz w:val="24"/>
          <w:szCs w:val="24"/>
        </w:rPr>
        <w:t xml:space="preserve">Authoritative definitions for the terms that matter in on-lease Bitcoin mining, flare gas monetization, and gas-to-hash deployments.</w:t>
      </w:r>
    </w:p>
    <w:p>
      <w:pPr>
        <w:spacing w:before="0" w:after="80"/>
      </w:pPr>
      <w:r>
        <w:rPr>
          <w:rFonts w:ascii="Arial" w:cs="Arial" w:eastAsia="Arial" w:hAnsi="Arial"/>
          <w:color w:val="8C9BAA"/>
          <w:sz w:val="20"/>
          <w:szCs w:val="20"/>
        </w:rPr>
        <w:t xml:space="preserve">10 terms across 5 categories  ·  Updated February 2026</w:t>
      </w:r>
    </w:p>
    <w:p>
      <w:pPr>
        <w:spacing w:before="60" w:after="0"/>
      </w:pPr>
      <w:r>
        <w:t xml:space="preserve"/>
      </w:r>
    </w:p>
    <w:p>
      <w:pPr>
        <w:spacing w:before="200" w:after="120"/>
      </w:pPr>
      <w:r>
        <w:rPr>
          <w:rFonts w:ascii="Arial" w:cs="Arial" w:eastAsia="Arial" w:hAnsi="Arial"/>
          <w:b/>
          <w:bCs/>
          <w:color w:val="1A3A5C"/>
          <w:sz w:val="28"/>
          <w:szCs w:val="28"/>
        </w:rPr>
        <w:t xml:space="preserve">Categories</w:t>
      </w:r>
    </w:p>
    <w:p>
      <w:pPr>
        <w:spacing w:before="100" w:after="40"/>
      </w:pPr>
      <w:r>
        <w:rPr>
          <w:rFonts w:ascii="Arial" w:cs="Arial" w:eastAsia="Arial" w:hAnsi="Arial"/>
          <w:b/>
          <w:bCs/>
          <w:color w:val="E8822A"/>
          <w:sz w:val="22"/>
          <w:szCs w:val="22"/>
        </w:rPr>
        <w:t xml:space="preserve">Core Concepts</w:t>
      </w:r>
    </w:p>
    <w:p>
      <w:pPr>
        <w:spacing w:before="0" w:after="40"/>
        <w:ind w:left="360"/>
      </w:pPr>
      <w:r>
        <w:rPr>
          <w:rFonts w:ascii="Arial" w:cs="Arial" w:eastAsia="Arial" w:hAnsi="Arial"/>
          <w:color w:val="8C9BAA"/>
          <w:sz w:val="20"/>
          <w:szCs w:val="20"/>
        </w:rPr>
        <w:t xml:space="preserve">G-1  </w:t>
      </w:r>
      <w:r>
        <w:rPr>
          <w:rFonts w:ascii="Arial" w:cs="Arial" w:eastAsia="Arial" w:hAnsi="Arial"/>
          <w:color w:val="1A3A5C"/>
          <w:sz w:val="20"/>
          <w:szCs w:val="20"/>
        </w:rPr>
        <w:t xml:space="preserve">On-Lease Bitcoin Mining</w:t>
      </w:r>
    </w:p>
    <w:p>
      <w:pPr>
        <w:spacing w:before="0" w:after="40"/>
        <w:ind w:left="360"/>
      </w:pPr>
      <w:r>
        <w:rPr>
          <w:rFonts w:ascii="Arial" w:cs="Arial" w:eastAsia="Arial" w:hAnsi="Arial"/>
          <w:color w:val="8C9BAA"/>
          <w:sz w:val="20"/>
          <w:szCs w:val="20"/>
        </w:rPr>
        <w:t xml:space="preserve">G-6  </w:t>
      </w:r>
      <w:r>
        <w:rPr>
          <w:rFonts w:ascii="Arial" w:cs="Arial" w:eastAsia="Arial" w:hAnsi="Arial"/>
          <w:color w:val="1A3A5C"/>
          <w:sz w:val="20"/>
          <w:szCs w:val="20"/>
        </w:rPr>
        <w:t xml:space="preserve">Gas-to-Hash</w:t>
      </w:r>
    </w:p>
    <w:p>
      <w:pPr>
        <w:spacing w:before="100" w:after="40"/>
      </w:pPr>
      <w:r>
        <w:rPr>
          <w:rFonts w:ascii="Arial" w:cs="Arial" w:eastAsia="Arial" w:hAnsi="Arial"/>
          <w:b/>
          <w:bCs/>
          <w:color w:val="E8822A"/>
          <w:sz w:val="22"/>
          <w:szCs w:val="22"/>
        </w:rPr>
        <w:t xml:space="preserve">Upstream O&amp;G</w:t>
      </w:r>
    </w:p>
    <w:p>
      <w:pPr>
        <w:spacing w:before="0" w:after="40"/>
        <w:ind w:left="360"/>
      </w:pPr>
      <w:r>
        <w:rPr>
          <w:rFonts w:ascii="Arial" w:cs="Arial" w:eastAsia="Arial" w:hAnsi="Arial"/>
          <w:color w:val="8C9BAA"/>
          <w:sz w:val="20"/>
          <w:szCs w:val="20"/>
        </w:rPr>
        <w:t xml:space="preserve">G-2  </w:t>
      </w:r>
      <w:r>
        <w:rPr>
          <w:rFonts w:ascii="Arial" w:cs="Arial" w:eastAsia="Arial" w:hAnsi="Arial"/>
          <w:color w:val="1A3A5C"/>
          <w:sz w:val="20"/>
          <w:szCs w:val="20"/>
        </w:rPr>
        <w:t xml:space="preserve">Flare Gas</w:t>
      </w:r>
    </w:p>
    <w:p>
      <w:pPr>
        <w:spacing w:before="0" w:after="40"/>
        <w:ind w:left="360"/>
      </w:pPr>
      <w:r>
        <w:rPr>
          <w:rFonts w:ascii="Arial" w:cs="Arial" w:eastAsia="Arial" w:hAnsi="Arial"/>
          <w:color w:val="8C9BAA"/>
          <w:sz w:val="20"/>
          <w:szCs w:val="20"/>
        </w:rPr>
        <w:t xml:space="preserve">G-3  </w:t>
      </w:r>
      <w:r>
        <w:rPr>
          <w:rFonts w:ascii="Arial" w:cs="Arial" w:eastAsia="Arial" w:hAnsi="Arial"/>
          <w:color w:val="1A3A5C"/>
          <w:sz w:val="20"/>
          <w:szCs w:val="20"/>
        </w:rPr>
        <w:t xml:space="preserve">Gas Netback</w:t>
      </w:r>
    </w:p>
    <w:p>
      <w:pPr>
        <w:spacing w:before="0" w:after="40"/>
        <w:ind w:left="360"/>
      </w:pPr>
      <w:r>
        <w:rPr>
          <w:rFonts w:ascii="Arial" w:cs="Arial" w:eastAsia="Arial" w:hAnsi="Arial"/>
          <w:color w:val="8C9BAA"/>
          <w:sz w:val="20"/>
          <w:szCs w:val="20"/>
        </w:rPr>
        <w:t xml:space="preserve">G-7  </w:t>
      </w:r>
      <w:r>
        <w:rPr>
          <w:rFonts w:ascii="Arial" w:cs="Arial" w:eastAsia="Arial" w:hAnsi="Arial"/>
          <w:color w:val="1A3A5C"/>
          <w:sz w:val="20"/>
          <w:szCs w:val="20"/>
        </w:rPr>
        <w:t xml:space="preserve">Stranded Gas vs. Flare Gas</w:t>
      </w:r>
    </w:p>
    <w:p>
      <w:pPr>
        <w:spacing w:before="100" w:after="40"/>
      </w:pPr>
      <w:r>
        <w:rPr>
          <w:rFonts w:ascii="Arial" w:cs="Arial" w:eastAsia="Arial" w:hAnsi="Arial"/>
          <w:b/>
          <w:bCs/>
          <w:color w:val="E8822A"/>
          <w:sz w:val="22"/>
          <w:szCs w:val="22"/>
        </w:rPr>
        <w:t xml:space="preserve">Engineering</w:t>
      </w:r>
    </w:p>
    <w:p>
      <w:pPr>
        <w:spacing w:before="0" w:after="40"/>
        <w:ind w:left="360"/>
      </w:pPr>
      <w:r>
        <w:rPr>
          <w:rFonts w:ascii="Arial" w:cs="Arial" w:eastAsia="Arial" w:hAnsi="Arial"/>
          <w:color w:val="8C9BAA"/>
          <w:sz w:val="20"/>
          <w:szCs w:val="20"/>
        </w:rPr>
        <w:t xml:space="preserve">G-4  </w:t>
      </w:r>
      <w:r>
        <w:rPr>
          <w:rFonts w:ascii="Arial" w:cs="Arial" w:eastAsia="Arial" w:hAnsi="Arial"/>
          <w:color w:val="1A3A5C"/>
          <w:sz w:val="20"/>
          <w:szCs w:val="20"/>
        </w:rPr>
        <w:t xml:space="preserve">Methane Number</w:t>
      </w:r>
    </w:p>
    <w:p>
      <w:pPr>
        <w:spacing w:before="0" w:after="40"/>
        <w:ind w:left="360"/>
      </w:pPr>
      <w:r>
        <w:rPr>
          <w:rFonts w:ascii="Arial" w:cs="Arial" w:eastAsia="Arial" w:hAnsi="Arial"/>
          <w:color w:val="8C9BAA"/>
          <w:sz w:val="20"/>
          <w:szCs w:val="20"/>
        </w:rPr>
        <w:t xml:space="preserve">G-5  </w:t>
      </w:r>
      <w:r>
        <w:rPr>
          <w:rFonts w:ascii="Arial" w:cs="Arial" w:eastAsia="Arial" w:hAnsi="Arial"/>
          <w:color w:val="1A3A5C"/>
          <w:sz w:val="20"/>
          <w:szCs w:val="20"/>
        </w:rPr>
        <w:t xml:space="preserve">Genset Derate</w:t>
      </w:r>
    </w:p>
    <w:p>
      <w:pPr>
        <w:spacing w:before="100" w:after="40"/>
      </w:pPr>
      <w:r>
        <w:rPr>
          <w:rFonts w:ascii="Arial" w:cs="Arial" w:eastAsia="Arial" w:hAnsi="Arial"/>
          <w:b/>
          <w:bCs/>
          <w:color w:val="E8822A"/>
          <w:sz w:val="22"/>
          <w:szCs w:val="22"/>
        </w:rPr>
        <w:t xml:space="preserve">Deal Structures</w:t>
      </w:r>
    </w:p>
    <w:p>
      <w:pPr>
        <w:spacing w:before="0" w:after="40"/>
        <w:ind w:left="360"/>
      </w:pPr>
      <w:r>
        <w:rPr>
          <w:rFonts w:ascii="Arial" w:cs="Arial" w:eastAsia="Arial" w:hAnsi="Arial"/>
          <w:color w:val="8C9BAA"/>
          <w:sz w:val="20"/>
          <w:szCs w:val="20"/>
        </w:rPr>
        <w:t xml:space="preserve">G-8  </w:t>
      </w:r>
      <w:r>
        <w:rPr>
          <w:rFonts w:ascii="Arial" w:cs="Arial" w:eastAsia="Arial" w:hAnsi="Arial"/>
          <w:color w:val="1A3A5C"/>
          <w:sz w:val="20"/>
          <w:szCs w:val="20"/>
        </w:rPr>
        <w:t xml:space="preserve">Hosting Agreement</w:t>
      </w:r>
    </w:p>
    <w:p>
      <w:pPr>
        <w:spacing w:before="0" w:after="40"/>
        <w:ind w:left="360"/>
      </w:pPr>
      <w:r>
        <w:rPr>
          <w:rFonts w:ascii="Arial" w:cs="Arial" w:eastAsia="Arial" w:hAnsi="Arial"/>
          <w:color w:val="8C9BAA"/>
          <w:sz w:val="20"/>
          <w:szCs w:val="20"/>
        </w:rPr>
        <w:t xml:space="preserve">G-10  </w:t>
      </w:r>
      <w:r>
        <w:rPr>
          <w:rFonts w:ascii="Arial" w:cs="Arial" w:eastAsia="Arial" w:hAnsi="Arial"/>
          <w:color w:val="1A3A5C"/>
          <w:sz w:val="20"/>
          <w:szCs w:val="20"/>
        </w:rPr>
        <w:t xml:space="preserve">Custody-First Bitcoin Payout</w:t>
      </w:r>
    </w:p>
    <w:p>
      <w:pPr>
        <w:spacing w:before="100" w:after="40"/>
      </w:pPr>
      <w:r>
        <w:rPr>
          <w:rFonts w:ascii="Arial" w:cs="Arial" w:eastAsia="Arial" w:hAnsi="Arial"/>
          <w:b/>
          <w:bCs/>
          <w:color w:val="E8822A"/>
          <w:sz w:val="22"/>
          <w:szCs w:val="22"/>
        </w:rPr>
        <w:t xml:space="preserve">Bitcoin Mining Economics</w:t>
      </w:r>
    </w:p>
    <w:p>
      <w:pPr>
        <w:spacing w:before="0" w:after="40"/>
        <w:ind w:left="360"/>
      </w:pPr>
      <w:r>
        <w:rPr>
          <w:rFonts w:ascii="Arial" w:cs="Arial" w:eastAsia="Arial" w:hAnsi="Arial"/>
          <w:color w:val="8C9BAA"/>
          <w:sz w:val="20"/>
          <w:szCs w:val="20"/>
        </w:rPr>
        <w:t xml:space="preserve">G-9  </w:t>
      </w:r>
      <w:r>
        <w:rPr>
          <w:rFonts w:ascii="Arial" w:cs="Arial" w:eastAsia="Arial" w:hAnsi="Arial"/>
          <w:color w:val="1A3A5C"/>
          <w:sz w:val="20"/>
          <w:szCs w:val="20"/>
        </w:rPr>
        <w:t xml:space="preserve">Hashprice</w:t>
      </w:r>
    </w:p>
    <w:p>
      <w:pPr>
        <w:spacing w:before="300" w:after="0"/>
      </w:pPr>
      <w:r>
        <w:t xml:space="preserve"/>
      </w:r>
    </w:p>
    <w:p>
      <w:pPr>
        <w:spacing w:before="0" w:after="80"/>
      </w:pPr>
      <w:r>
        <w:rPr>
          <w:rFonts w:ascii="Arial" w:cs="Arial" w:eastAsia="Arial" w:hAnsi="Arial"/>
          <w:b/>
          <w:bCs/>
          <w:color w:val="E8822A"/>
          <w:sz w:val="16"/>
          <w:szCs w:val="16"/>
        </w:rPr>
        <w:t xml:space="preserve">CORE CONCEPT</w:t>
      </w:r>
    </w:p>
    <w:p>
      <w:pPr>
        <w:pStyle w:val="Heading2"/>
        <w:pBdr>
          <w:bottom w:val="single" w:color="E8822A" w:sz="6" w:space="4"/>
        </w:pBdr>
        <w:spacing w:before="60" w:after="120"/>
      </w:pPr>
      <w:r>
        <w:rPr>
          <w:rFonts w:ascii="Arial" w:cs="Arial" w:eastAsia="Arial" w:hAnsi="Arial"/>
          <w:b/>
          <w:bCs/>
          <w:color w:val="1A3A5C"/>
          <w:sz w:val="36"/>
          <w:szCs w:val="36"/>
        </w:rPr>
        <w:t xml:space="preserve">On-Lease Bitcoin Mining</w:t>
      </w:r>
    </w:p>
    <w:p>
      <w:pPr>
        <w:spacing w:before="60" w:after="120"/>
      </w:pPr>
      <w:r>
        <w:rPr>
          <w:rFonts w:ascii="Arial" w:cs="Arial" w:eastAsia="Arial" w:hAnsi="Arial"/>
          <w:b/>
          <w:bCs/>
          <w:color w:val="8C9BAA"/>
          <w:sz w:val="18"/>
          <w:szCs w:val="18"/>
        </w:rPr>
        <w:t xml:space="preserve">Audience: </w:t>
      </w:r>
      <w:r>
        <w:rPr>
          <w:rFonts w:ascii="Arial" w:cs="Arial" w:eastAsia="Arial" w:hAnsi="Arial"/>
          <w:color w:val="8C9BAA"/>
          <w:sz w:val="18"/>
          <w:szCs w:val="18"/>
        </w:rPr>
        <w:t xml:space="preserve">All</w:t>
      </w:r>
      <w:r>
        <w:rPr>
          <w:rFonts w:ascii="Arial" w:cs="Arial" w:eastAsia="Arial" w:hAnsi="Arial"/>
          <w:color w:val="D0D8E0"/>
          <w:sz w:val="18"/>
          <w:szCs w:val="18"/>
        </w:rPr>
        <w:t xml:space="preserve">   ·   </w:t>
      </w:r>
      <w:r>
        <w:rPr>
          <w:rFonts w:ascii="Arial" w:cs="Arial" w:eastAsia="Arial" w:hAnsi="Arial"/>
          <w:color w:val="D0D8E0"/>
          <w:sz w:val="18"/>
          <w:szCs w:val="18"/>
        </w:rPr>
        <w:t xml:space="preserve">G-1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822A" w:sz="3"/>
              <w:left w:val="single" w:color="E8822A" w:sz="12"/>
              <w:bottom w:val="none" w:color="FFFFFF" w:sz="0"/>
              <w:right w:val="none" w:color="FFFFFF" w:sz="0"/>
            </w:tcBorders>
            <w:shd w:fill="FDF6EF" w:val="clear"/>
            <w:tcMar>
              <w:top w:type="dxa" w:w="160"/>
              <w:left w:type="dxa" w:w="200"/>
              <w:bottom w:type="dxa" w:w="160"/>
              <w:right w:type="dxa" w:w="200"/>
            </w:tcMar>
          </w:tcPr>
          <w:p>
            <w:pPr>
              <w:spacing w:before="0" w:after="0"/>
            </w:pPr>
            <w:r>
              <w:rPr>
                <w:rFonts w:ascii="Arial" w:cs="Arial" w:eastAsia="Arial" w:hAnsi="Arial"/>
                <w:i/>
                <w:iCs/>
                <w:color w:val="1C2B3A"/>
                <w:sz w:val="22"/>
                <w:szCs w:val="22"/>
              </w:rPr>
              <w:t xml:space="preserve">On-lease Bitcoin mining refers to the deployment of Bitcoin mining equipment directly at an oil and gas production site — on the same lease as the wellhead — using power generated from the site's own gas supply rather than drawing from the electrical grid.</w:t>
            </w:r>
          </w:p>
        </w:tc>
      </w:tr>
    </w:tbl>
    <w:p>
      <w:pPr>
        <w:spacing w:before="100" w:after="0"/>
      </w:pPr>
      <w:r>
        <w:t xml:space="preserve"/>
      </w:r>
    </w:p>
    <w:p>
      <w:pPr>
        <w:spacing w:before="140" w:after="140"/>
      </w:pPr>
      <w:r>
        <w:rPr>
          <w:rFonts w:ascii="Arial" w:cs="Arial" w:eastAsia="Arial" w:hAnsi="Arial"/>
          <w:color w:val="1C2B3A"/>
          <w:sz w:val="22"/>
          <w:szCs w:val="22"/>
        </w:rPr>
        <w:t xml:space="preserve">In a conventional mining operation, ASICs (application-specific integrated circuit miners) are housed in data centers or hosted facilities connected to grid power. In an on-lease deployment, the power source is co-located with the compute: gas is combusted in a generator at the pad, the generator produces electricity, and that electricity runs the mining hardware in a containerized unit placed beside it.</w:t>
      </w:r>
    </w:p>
    <w:p>
      <w:pPr>
        <w:spacing w:before="140" w:after="140"/>
      </w:pPr>
      <w:r>
        <w:rPr>
          <w:rFonts w:ascii="Arial" w:cs="Arial" w:eastAsia="Arial" w:hAnsi="Arial"/>
          <w:color w:val="1C2B3A"/>
          <w:sz w:val="22"/>
          <w:szCs w:val="22"/>
        </w:rPr>
        <w:t xml:space="preserve">This co-location eliminates two major cost layers: transmission infrastructure (pipelines) and electricity transmission (grid interconnect). The result is a closed-loop system in which stranded or flared gas that previously had no commercial outlet becomes the fuel source for Bitcoin production.</w:t>
      </w:r>
    </w:p>
    <w:p>
      <w:pPr>
        <w:spacing w:before="140" w:after="140"/>
      </w:pPr>
      <w:r>
        <w:rPr>
          <w:rFonts w:ascii="Arial" w:cs="Arial" w:eastAsia="Arial" w:hAnsi="Arial"/>
          <w:color w:val="1C2B3A"/>
          <w:sz w:val="22"/>
          <w:szCs w:val="22"/>
        </w:rPr>
        <w:t xml:space="preserve">The term is distinct from "hosted mining" (where a miner pays a third party for power and facilities at an off-site location) and from "grid-connected mining" (where miners use purchased grid electricity at a fixed industrial rate). On-lease mining is defined by the physical co-location of the gas source, the generator, and the mining equipment on a single production site.</w:t>
      </w:r>
    </w:p>
    <w:p>
      <w:pPr>
        <w:pBdr>
          <w:top w:val="single" w:color="D0D8E0" w:sz="3" w:space="6"/>
        </w:pBdr>
        <w:spacing w:before="160" w:after="0"/>
      </w:pPr>
      <w:r>
        <w:rPr>
          <w:rFonts w:ascii="Arial" w:cs="Arial" w:eastAsia="Arial" w:hAnsi="Arial"/>
          <w:b/>
          <w:bCs/>
          <w:color w:val="8C9BAA"/>
          <w:sz w:val="20"/>
          <w:szCs w:val="20"/>
        </w:rPr>
        <w:t xml:space="preserve">See also: </w:t>
      </w:r>
      <w:r>
        <w:rPr>
          <w:rFonts w:ascii="Arial" w:cs="Arial" w:eastAsia="Arial" w:hAnsi="Arial"/>
          <w:color w:val="1A3A5C"/>
          <w:sz w:val="20"/>
          <w:szCs w:val="20"/>
        </w:rPr>
        <w:t xml:space="preserve">Flare Gas  ·  </w:t>
      </w:r>
      <w:r>
        <w:rPr>
          <w:rFonts w:ascii="Arial" w:cs="Arial" w:eastAsia="Arial" w:hAnsi="Arial"/>
          <w:color w:val="1A3A5C"/>
          <w:sz w:val="20"/>
          <w:szCs w:val="20"/>
        </w:rPr>
        <w:t xml:space="preserve">Gas-to-Hash  ·  </w:t>
      </w:r>
      <w:r>
        <w:rPr>
          <w:rFonts w:ascii="Arial" w:cs="Arial" w:eastAsia="Arial" w:hAnsi="Arial"/>
          <w:color w:val="1A3A5C"/>
          <w:sz w:val="20"/>
          <w:szCs w:val="20"/>
        </w:rPr>
        <w:t xml:space="preserve">Stranded Gas vs. Flare Gas  ·  </w:t>
      </w:r>
      <w:r>
        <w:rPr>
          <w:rFonts w:ascii="Arial" w:cs="Arial" w:eastAsia="Arial" w:hAnsi="Arial"/>
          <w:color w:val="1A3A5C"/>
          <w:sz w:val="20"/>
          <w:szCs w:val="20"/>
        </w:rPr>
        <w:t xml:space="preserve">Hosting Agreement</w:t>
      </w:r>
    </w:p>
    <w:p>
      <w:pPr>
        <w:pBdr>
          <w:bottom w:val="single" w:color="D0D8E0" w:sz="3" w:space="1"/>
        </w:pBdr>
        <w:spacing w:before="280" w:after="0"/>
      </w:pPr>
      <w:r>
        <w:t xml:space="preserve"/>
      </w:r>
    </w:p>
    <w:p>
      <w:pPr>
        <w:spacing w:before="200" w:after="0"/>
      </w:pPr>
      <w:r>
        <w:t xml:space="preserve"/>
      </w:r>
    </w:p>
    <w:p>
      <w:pPr>
        <w:spacing w:before="0" w:after="80"/>
      </w:pPr>
      <w:r>
        <w:rPr>
          <w:rFonts w:ascii="Arial" w:cs="Arial" w:eastAsia="Arial" w:hAnsi="Arial"/>
          <w:b/>
          <w:bCs/>
          <w:color w:val="E8822A"/>
          <w:sz w:val="16"/>
          <w:szCs w:val="16"/>
        </w:rPr>
        <w:t xml:space="preserve">UPSTREAM O&amp;G</w:t>
      </w:r>
    </w:p>
    <w:p>
      <w:pPr>
        <w:pStyle w:val="Heading2"/>
        <w:pBdr>
          <w:bottom w:val="single" w:color="E8822A" w:sz="6" w:space="4"/>
        </w:pBdr>
        <w:spacing w:before="60" w:after="120"/>
      </w:pPr>
      <w:r>
        <w:rPr>
          <w:rFonts w:ascii="Arial" w:cs="Arial" w:eastAsia="Arial" w:hAnsi="Arial"/>
          <w:b/>
          <w:bCs/>
          <w:color w:val="1A3A5C"/>
          <w:sz w:val="36"/>
          <w:szCs w:val="36"/>
        </w:rPr>
        <w:t xml:space="preserve">Flare Gas</w:t>
      </w:r>
    </w:p>
    <w:p>
      <w:pPr>
        <w:spacing w:before="60" w:after="120"/>
      </w:pPr>
      <w:r>
        <w:rPr>
          <w:rFonts w:ascii="Arial" w:cs="Arial" w:eastAsia="Arial" w:hAnsi="Arial"/>
          <w:b/>
          <w:bCs/>
          <w:color w:val="8C9BAA"/>
          <w:sz w:val="18"/>
          <w:szCs w:val="18"/>
        </w:rPr>
        <w:t xml:space="preserve">Audience: </w:t>
      </w:r>
      <w:r>
        <w:rPr>
          <w:rFonts w:ascii="Arial" w:cs="Arial" w:eastAsia="Arial" w:hAnsi="Arial"/>
          <w:color w:val="8C9BAA"/>
          <w:sz w:val="18"/>
          <w:szCs w:val="18"/>
        </w:rPr>
        <w:t xml:space="preserve">Operators, Investors</w:t>
      </w:r>
      <w:r>
        <w:rPr>
          <w:rFonts w:ascii="Arial" w:cs="Arial" w:eastAsia="Arial" w:hAnsi="Arial"/>
          <w:color w:val="D0D8E0"/>
          <w:sz w:val="18"/>
          <w:szCs w:val="18"/>
        </w:rPr>
        <w:t xml:space="preserve">   ·   </w:t>
      </w:r>
      <w:r>
        <w:rPr>
          <w:rFonts w:ascii="Arial" w:cs="Arial" w:eastAsia="Arial" w:hAnsi="Arial"/>
          <w:color w:val="D0D8E0"/>
          <w:sz w:val="18"/>
          <w:szCs w:val="18"/>
        </w:rPr>
        <w:t xml:space="preserve">G-2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822A" w:sz="3"/>
              <w:left w:val="single" w:color="E8822A" w:sz="12"/>
              <w:bottom w:val="none" w:color="FFFFFF" w:sz="0"/>
              <w:right w:val="none" w:color="FFFFFF" w:sz="0"/>
            </w:tcBorders>
            <w:shd w:fill="FDF6EF" w:val="clear"/>
            <w:tcMar>
              <w:top w:type="dxa" w:w="160"/>
              <w:left w:type="dxa" w:w="200"/>
              <w:bottom w:type="dxa" w:w="160"/>
              <w:right w:type="dxa" w:w="200"/>
            </w:tcMar>
          </w:tcPr>
          <w:p>
            <w:pPr>
              <w:spacing w:before="0" w:after="0"/>
            </w:pPr>
            <w:r>
              <w:rPr>
                <w:rFonts w:ascii="Arial" w:cs="Arial" w:eastAsia="Arial" w:hAnsi="Arial"/>
                <w:i/>
                <w:iCs/>
                <w:color w:val="1C2B3A"/>
                <w:sz w:val="22"/>
                <w:szCs w:val="22"/>
              </w:rPr>
              <w:t xml:space="preserve">Flare gas is natural gas that is burned — "flared" — at an oil and gas production site rather than being captured, transported, or sold. It is a byproduct of oil production: when crude oil rises to the surface, it brings associated natural gas with it. When no pipeline or processing infrastructure is available to capture that gas, operators burn it at the wellhead.</w:t>
            </w:r>
          </w:p>
        </w:tc>
      </w:tr>
    </w:tbl>
    <w:p>
      <w:pPr>
        <w:spacing w:before="100" w:after="0"/>
      </w:pPr>
      <w:r>
        <w:t xml:space="preserve"/>
      </w:r>
    </w:p>
    <w:p>
      <w:pPr>
        <w:spacing w:before="140" w:after="140"/>
      </w:pPr>
      <w:r>
        <w:rPr>
          <w:rFonts w:ascii="Arial" w:cs="Arial" w:eastAsia="Arial" w:hAnsi="Arial"/>
          <w:color w:val="1C2B3A"/>
          <w:sz w:val="22"/>
          <w:szCs w:val="22"/>
        </w:rPr>
        <w:t xml:space="preserve">Flaring is not unique to a single basin or country. The World Bank estimates that roughly 140 billion cubic meters of gas are flared globally each year — equivalent to the combined annual gas consumption of Sub-Saharan Africa. In the United States, the Permian Basin, Bakken, and Eagle Ford formations are historically among the highest-flaring regions.</w:t>
      </w:r>
    </w:p>
    <w:p>
      <w:pPr>
        <w:spacing w:before="140" w:after="140"/>
      </w:pPr>
      <w:r>
        <w:rPr>
          <w:rFonts w:ascii="Arial" w:cs="Arial" w:eastAsia="Arial" w:hAnsi="Arial"/>
          <w:color w:val="1C2B3A"/>
          <w:sz w:val="22"/>
          <w:szCs w:val="22"/>
        </w:rPr>
        <w:t xml:space="preserve">Why do operators flare? The primary reason is infrastructure timing: a new well may begin producing before a pipeline gathering line is in place. In some cases, the gas volumes are too small or the location too remote to justify pipeline investment at all. In others, regulatory pressure to limit venting (releasing gas unburned, which is worse for the atmosphere than flaring) makes flaring the compliant default while monetization infrastructure is constructed.</w:t>
      </w:r>
    </w:p>
    <w:p>
      <w:pPr>
        <w:spacing w:before="140" w:after="140"/>
      </w:pPr>
      <w:r>
        <w:rPr>
          <w:rFonts w:ascii="Arial" w:cs="Arial" w:eastAsia="Arial" w:hAnsi="Arial"/>
          <w:color w:val="1C2B3A"/>
          <w:sz w:val="22"/>
          <w:szCs w:val="22"/>
        </w:rPr>
        <w:t xml:space="preserve">The regulatory landscape around flaring is tightening. At the federal level, the EPA's methane regulations under the Clean Air Act have established increasingly strict limits on routine flaring. At the state level, North Dakota, Colorado, New Mexico, and Wyoming all have active flaring reduction programs with compliance timelines and escalating penalties. The World Bank's Zero Routine Flaring by 2030 initiative has been signed by dozens of national governments and major oil companies.</w:t>
      </w:r>
    </w:p>
    <w:p>
      <w:pPr>
        <w:spacing w:before="140" w:after="140"/>
      </w:pPr>
      <w:r>
        <w:rPr>
          <w:rFonts w:ascii="Arial" w:cs="Arial" w:eastAsia="Arial" w:hAnsi="Arial"/>
          <w:color w:val="1C2B3A"/>
          <w:sz w:val="22"/>
          <w:szCs w:val="22"/>
        </w:rPr>
        <w:t xml:space="preserve">For operators, flaring represents both a compliance liability and a wasted asset. A gas stream being flared is generating no revenue, while simultaneously attracting regulatory scrutiny. Bitcoin mining — deployed directly at the pad — converts that liability into a productive power source without requiring a pipeline.</w:t>
      </w:r>
    </w:p>
    <w:p>
      <w:pPr>
        <w:pBdr>
          <w:top w:val="single" w:color="D0D8E0" w:sz="3" w:space="6"/>
        </w:pBdr>
        <w:spacing w:before="160" w:after="0"/>
      </w:pPr>
      <w:r>
        <w:rPr>
          <w:rFonts w:ascii="Arial" w:cs="Arial" w:eastAsia="Arial" w:hAnsi="Arial"/>
          <w:b/>
          <w:bCs/>
          <w:color w:val="8C9BAA"/>
          <w:sz w:val="20"/>
          <w:szCs w:val="20"/>
        </w:rPr>
        <w:t xml:space="preserve">See also: </w:t>
      </w:r>
      <w:r>
        <w:rPr>
          <w:rFonts w:ascii="Arial" w:cs="Arial" w:eastAsia="Arial" w:hAnsi="Arial"/>
          <w:color w:val="1A3A5C"/>
          <w:sz w:val="20"/>
          <w:szCs w:val="20"/>
        </w:rPr>
        <w:t xml:space="preserve">On-Lease Bitcoin Mining  ·  </w:t>
      </w:r>
      <w:r>
        <w:rPr>
          <w:rFonts w:ascii="Arial" w:cs="Arial" w:eastAsia="Arial" w:hAnsi="Arial"/>
          <w:color w:val="1A3A5C"/>
          <w:sz w:val="20"/>
          <w:szCs w:val="20"/>
        </w:rPr>
        <w:t xml:space="preserve">Stranded Gas vs. Flare Gas  ·  </w:t>
      </w:r>
      <w:r>
        <w:rPr>
          <w:rFonts w:ascii="Arial" w:cs="Arial" w:eastAsia="Arial" w:hAnsi="Arial"/>
          <w:color w:val="1A3A5C"/>
          <w:sz w:val="20"/>
          <w:szCs w:val="20"/>
        </w:rPr>
        <w:t xml:space="preserve">Gas Netback  ·  </w:t>
      </w:r>
      <w:r>
        <w:rPr>
          <w:rFonts w:ascii="Arial" w:cs="Arial" w:eastAsia="Arial" w:hAnsi="Arial"/>
          <w:color w:val="1A3A5C"/>
          <w:sz w:val="20"/>
          <w:szCs w:val="20"/>
        </w:rPr>
        <w:t xml:space="preserve">Gas-to-Hash</w:t>
      </w:r>
    </w:p>
    <w:p>
      <w:pPr>
        <w:pBdr>
          <w:bottom w:val="single" w:color="D0D8E0" w:sz="3" w:space="1"/>
        </w:pBdr>
        <w:spacing w:before="280" w:after="0"/>
      </w:pPr>
      <w:r>
        <w:t xml:space="preserve"/>
      </w:r>
    </w:p>
    <w:p>
      <w:pPr>
        <w:spacing w:before="200" w:after="0"/>
      </w:pPr>
      <w:r>
        <w:t xml:space="preserve"/>
      </w:r>
    </w:p>
    <w:p>
      <w:pPr>
        <w:spacing w:before="0" w:after="80"/>
      </w:pPr>
      <w:r>
        <w:rPr>
          <w:rFonts w:ascii="Arial" w:cs="Arial" w:eastAsia="Arial" w:hAnsi="Arial"/>
          <w:b/>
          <w:bCs/>
          <w:color w:val="E8822A"/>
          <w:sz w:val="16"/>
          <w:szCs w:val="16"/>
        </w:rPr>
        <w:t xml:space="preserve">UPSTREAM O&amp;G</w:t>
      </w:r>
    </w:p>
    <w:p>
      <w:pPr>
        <w:pStyle w:val="Heading2"/>
        <w:pBdr>
          <w:bottom w:val="single" w:color="E8822A" w:sz="6" w:space="4"/>
        </w:pBdr>
        <w:spacing w:before="60" w:after="120"/>
      </w:pPr>
      <w:r>
        <w:rPr>
          <w:rFonts w:ascii="Arial" w:cs="Arial" w:eastAsia="Arial" w:hAnsi="Arial"/>
          <w:b/>
          <w:bCs/>
          <w:color w:val="1A3A5C"/>
          <w:sz w:val="36"/>
          <w:szCs w:val="36"/>
        </w:rPr>
        <w:t xml:space="preserve">Gas Netback</w:t>
      </w:r>
    </w:p>
    <w:p>
      <w:pPr>
        <w:spacing w:before="60" w:after="120"/>
      </w:pPr>
      <w:r>
        <w:rPr>
          <w:rFonts w:ascii="Arial" w:cs="Arial" w:eastAsia="Arial" w:hAnsi="Arial"/>
          <w:b/>
          <w:bCs/>
          <w:color w:val="8C9BAA"/>
          <w:sz w:val="18"/>
          <w:szCs w:val="18"/>
        </w:rPr>
        <w:t xml:space="preserve">Audience: </w:t>
      </w:r>
      <w:r>
        <w:rPr>
          <w:rFonts w:ascii="Arial" w:cs="Arial" w:eastAsia="Arial" w:hAnsi="Arial"/>
          <w:color w:val="8C9BAA"/>
          <w:sz w:val="18"/>
          <w:szCs w:val="18"/>
        </w:rPr>
        <w:t xml:space="preserve">Operators</w:t>
      </w:r>
      <w:r>
        <w:rPr>
          <w:rFonts w:ascii="Arial" w:cs="Arial" w:eastAsia="Arial" w:hAnsi="Arial"/>
          <w:color w:val="D0D8E0"/>
          <w:sz w:val="18"/>
          <w:szCs w:val="18"/>
        </w:rPr>
        <w:t xml:space="preserve">   ·   </w:t>
      </w:r>
      <w:r>
        <w:rPr>
          <w:rFonts w:ascii="Arial" w:cs="Arial" w:eastAsia="Arial" w:hAnsi="Arial"/>
          <w:color w:val="D0D8E0"/>
          <w:sz w:val="18"/>
          <w:szCs w:val="18"/>
        </w:rPr>
        <w:t xml:space="preserve">G-3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822A" w:sz="3"/>
              <w:left w:val="single" w:color="E8822A" w:sz="12"/>
              <w:bottom w:val="none" w:color="FFFFFF" w:sz="0"/>
              <w:right w:val="none" w:color="FFFFFF" w:sz="0"/>
            </w:tcBorders>
            <w:shd w:fill="FDF6EF" w:val="clear"/>
            <w:tcMar>
              <w:top w:type="dxa" w:w="160"/>
              <w:left w:type="dxa" w:w="200"/>
              <w:bottom w:type="dxa" w:w="160"/>
              <w:right w:type="dxa" w:w="200"/>
            </w:tcMar>
          </w:tcPr>
          <w:p>
            <w:pPr>
              <w:spacing w:before="0" w:after="0"/>
            </w:pPr>
            <w:r>
              <w:rPr>
                <w:rFonts w:ascii="Arial" w:cs="Arial" w:eastAsia="Arial" w:hAnsi="Arial"/>
                <w:i/>
                <w:iCs/>
                <w:color w:val="1C2B3A"/>
                <w:sz w:val="22"/>
                <w:szCs w:val="22"/>
              </w:rPr>
              <w:t xml:space="preserve">Gas netback — often called "netback price" or simply "netback" — is the revenue an operator actually receives per unit of gas after deducting the costs required to get that gas from the wellhead to the point of sale. It is the single most important metric for evaluating whether a gas monetization strategy is economically worthwhile.</w:t>
            </w:r>
          </w:p>
        </w:tc>
      </w:tr>
    </w:tbl>
    <w:p>
      <w:pPr>
        <w:spacing w:before="100" w:after="0"/>
      </w:pPr>
      <w:r>
        <w:t xml:space="preserve"/>
      </w:r>
    </w:p>
    <w:p>
      <w:pPr>
        <w:spacing w:before="140" w:after="140"/>
      </w:pPr>
      <w:r>
        <w:rPr>
          <w:rFonts w:ascii="Arial" w:cs="Arial" w:eastAsia="Arial" w:hAnsi="Arial"/>
          <w:color w:val="1C2B3A"/>
          <w:sz w:val="22"/>
          <w:szCs w:val="22"/>
        </w:rPr>
        <w:t xml:space="preserve">The standard netback calculation is:</w:t>
      </w:r>
    </w:p>
    <w:p>
      <w:pPr>
        <w:spacing w:before="140" w:after="140"/>
      </w:pPr>
      <w:r>
        <w:rPr>
          <w:rFonts w:ascii="Arial" w:cs="Arial" w:eastAsia="Arial" w:hAnsi="Arial"/>
          <w:color w:val="1C2B3A"/>
          <w:sz w:val="22"/>
          <w:szCs w:val="22"/>
        </w:rPr>
        <w:t xml:space="preserve">Netback = Wellhead Gas Price − Gathering Fees − Transportation Fees − Processing Fees − Royalties − Operating Costs</w:t>
      </w:r>
    </w:p>
    <w:p>
      <w:pPr>
        <w:spacing w:before="140" w:after="140"/>
      </w:pPr>
      <w:r>
        <w:rPr>
          <w:rFonts w:ascii="Arial" w:cs="Arial" w:eastAsia="Arial" w:hAnsi="Arial"/>
          <w:color w:val="1C2B3A"/>
          <w:sz w:val="22"/>
          <w:szCs w:val="22"/>
        </w:rPr>
        <w:t xml:space="preserve">Each deduction represents a layer of the midstream infrastructure that sits between the operator's wellhead and the final buyer. In basins with highly developed midstream infrastructure, those deductions can be significant — sometimes consuming 40 to 70 percent of the headline gas price. In remote or under-piped basins, operators may face minimum volume commitments (MVCs) that charge them for capacity they're not fully using, compressing netbacks further.</w:t>
      </w:r>
    </w:p>
    <w:p>
      <w:pPr>
        <w:spacing w:before="140" w:after="140"/>
      </w:pPr>
      <w:r>
        <w:rPr>
          <w:rFonts w:ascii="Arial" w:cs="Arial" w:eastAsia="Arial" w:hAnsi="Arial"/>
          <w:color w:val="1C2B3A"/>
          <w:sz w:val="22"/>
          <w:szCs w:val="22"/>
        </w:rPr>
        <w:t xml:space="preserve">When netback falls below the wellhead breakeven cost — the minimum the operator needs to cover lifting costs and royalties — gas production becomes a cost center rather than a revenue source. Operators in this position often curtail production, flare the gas, or simply accept the negative margin as a cost of maintaining oil production (since oil and gas often rise from the same well).</w:t>
      </w:r>
    </w:p>
    <w:p>
      <w:pPr>
        <w:spacing w:before="140" w:after="140"/>
      </w:pPr>
      <w:r>
        <w:rPr>
          <w:rFonts w:ascii="Arial" w:cs="Arial" w:eastAsia="Arial" w:hAnsi="Arial"/>
          <w:color w:val="1C2B3A"/>
          <w:sz w:val="22"/>
          <w:szCs w:val="22"/>
        </w:rPr>
        <w:t xml:space="preserve">On-lease alternatives change the netback math by removing the midstream layer entirely for a portion of gas volumes. If an operator diverts 200 Mcf/day to an on-site generator instead of sending it down the pipeline, they avoid gathering and transportation fees on that volume. The effective "price" they receive is determined by the value of the Bitcoin (or power rate) produced rather than by the spot gas market and midstream contract terms.</w:t>
      </w:r>
    </w:p>
    <w:p>
      <w:pPr>
        <w:pBdr>
          <w:top w:val="single" w:color="D0D8E0" w:sz="3" w:space="6"/>
        </w:pBdr>
        <w:spacing w:before="160" w:after="0"/>
      </w:pPr>
      <w:r>
        <w:rPr>
          <w:rFonts w:ascii="Arial" w:cs="Arial" w:eastAsia="Arial" w:hAnsi="Arial"/>
          <w:b/>
          <w:bCs/>
          <w:color w:val="8C9BAA"/>
          <w:sz w:val="20"/>
          <w:szCs w:val="20"/>
        </w:rPr>
        <w:t xml:space="preserve">See also: </w:t>
      </w:r>
      <w:r>
        <w:rPr>
          <w:rFonts w:ascii="Arial" w:cs="Arial" w:eastAsia="Arial" w:hAnsi="Arial"/>
          <w:color w:val="1A3A5C"/>
          <w:sz w:val="20"/>
          <w:szCs w:val="20"/>
        </w:rPr>
        <w:t xml:space="preserve">Flare Gas  ·  </w:t>
      </w:r>
      <w:r>
        <w:rPr>
          <w:rFonts w:ascii="Arial" w:cs="Arial" w:eastAsia="Arial" w:hAnsi="Arial"/>
          <w:color w:val="1A3A5C"/>
          <w:sz w:val="20"/>
          <w:szCs w:val="20"/>
        </w:rPr>
        <w:t xml:space="preserve">On-Lease Bitcoin Mining  ·  </w:t>
      </w:r>
      <w:r>
        <w:rPr>
          <w:rFonts w:ascii="Arial" w:cs="Arial" w:eastAsia="Arial" w:hAnsi="Arial"/>
          <w:color w:val="1A3A5C"/>
          <w:sz w:val="20"/>
          <w:szCs w:val="20"/>
        </w:rPr>
        <w:t xml:space="preserve">Stranded Gas vs. Flare Gas</w:t>
      </w:r>
    </w:p>
    <w:p>
      <w:pPr>
        <w:pBdr>
          <w:bottom w:val="single" w:color="D0D8E0" w:sz="3" w:space="1"/>
        </w:pBdr>
        <w:spacing w:before="280" w:after="0"/>
      </w:pPr>
      <w:r>
        <w:t xml:space="preserve"/>
      </w:r>
    </w:p>
    <w:p>
      <w:pPr>
        <w:spacing w:before="200" w:after="0"/>
      </w:pPr>
      <w:r>
        <w:t xml:space="preserve"/>
      </w:r>
    </w:p>
    <w:p>
      <w:pPr>
        <w:spacing w:before="0" w:after="80"/>
      </w:pPr>
      <w:r>
        <w:rPr>
          <w:rFonts w:ascii="Arial" w:cs="Arial" w:eastAsia="Arial" w:hAnsi="Arial"/>
          <w:b/>
          <w:bCs/>
          <w:color w:val="E8822A"/>
          <w:sz w:val="16"/>
          <w:szCs w:val="16"/>
        </w:rPr>
        <w:t xml:space="preserve">ENGINEERING</w:t>
      </w:r>
    </w:p>
    <w:p>
      <w:pPr>
        <w:pStyle w:val="Heading2"/>
        <w:pBdr>
          <w:bottom w:val="single" w:color="E8822A" w:sz="6" w:space="4"/>
        </w:pBdr>
        <w:spacing w:before="60" w:after="120"/>
      </w:pPr>
      <w:r>
        <w:rPr>
          <w:rFonts w:ascii="Arial" w:cs="Arial" w:eastAsia="Arial" w:hAnsi="Arial"/>
          <w:b/>
          <w:bCs/>
          <w:color w:val="1A3A5C"/>
          <w:sz w:val="36"/>
          <w:szCs w:val="36"/>
        </w:rPr>
        <w:t xml:space="preserve">Methane Number</w:t>
      </w:r>
    </w:p>
    <w:p>
      <w:pPr>
        <w:spacing w:before="60" w:after="120"/>
      </w:pPr>
      <w:r>
        <w:rPr>
          <w:rFonts w:ascii="Arial" w:cs="Arial" w:eastAsia="Arial" w:hAnsi="Arial"/>
          <w:b/>
          <w:bCs/>
          <w:color w:val="8C9BAA"/>
          <w:sz w:val="18"/>
          <w:szCs w:val="18"/>
        </w:rPr>
        <w:t xml:space="preserve">Audience: </w:t>
      </w:r>
      <w:r>
        <w:rPr>
          <w:rFonts w:ascii="Arial" w:cs="Arial" w:eastAsia="Arial" w:hAnsi="Arial"/>
          <w:color w:val="8C9BAA"/>
          <w:sz w:val="18"/>
          <w:szCs w:val="18"/>
        </w:rPr>
        <w:t xml:space="preserve">Engineers, Miners</w:t>
      </w:r>
      <w:r>
        <w:rPr>
          <w:rFonts w:ascii="Arial" w:cs="Arial" w:eastAsia="Arial" w:hAnsi="Arial"/>
          <w:color w:val="D0D8E0"/>
          <w:sz w:val="18"/>
          <w:szCs w:val="18"/>
        </w:rPr>
        <w:t xml:space="preserve">   ·   </w:t>
      </w:r>
      <w:r>
        <w:rPr>
          <w:rFonts w:ascii="Arial" w:cs="Arial" w:eastAsia="Arial" w:hAnsi="Arial"/>
          <w:color w:val="D0D8E0"/>
          <w:sz w:val="18"/>
          <w:szCs w:val="18"/>
        </w:rPr>
        <w:t xml:space="preserve">G-4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822A" w:sz="3"/>
              <w:left w:val="single" w:color="E8822A" w:sz="12"/>
              <w:bottom w:val="none" w:color="FFFFFF" w:sz="0"/>
              <w:right w:val="none" w:color="FFFFFF" w:sz="0"/>
            </w:tcBorders>
            <w:shd w:fill="FDF6EF" w:val="clear"/>
            <w:tcMar>
              <w:top w:type="dxa" w:w="160"/>
              <w:left w:type="dxa" w:w="200"/>
              <w:bottom w:type="dxa" w:w="160"/>
              <w:right w:type="dxa" w:w="200"/>
            </w:tcMar>
          </w:tcPr>
          <w:p>
            <w:pPr>
              <w:spacing w:before="0" w:after="0"/>
            </w:pPr>
            <w:r>
              <w:rPr>
                <w:rFonts w:ascii="Arial" w:cs="Arial" w:eastAsia="Arial" w:hAnsi="Arial"/>
                <w:i/>
                <w:iCs/>
                <w:color w:val="1C2B3A"/>
                <w:sz w:val="22"/>
                <w:szCs w:val="22"/>
              </w:rPr>
              <w:t xml:space="preserve">Methane number (MN) is a measure of a natural gas stream's resistance to knock — the uncontrolled pre-ignition that damages gas engines and reduces their output. It is the natural gas equivalent of the octane rating used for gasoline, and it is one of the most important technical inputs when selecting and sizing a generator for a gas-to-hash deployment.</w:t>
            </w:r>
          </w:p>
        </w:tc>
      </w:tr>
    </w:tbl>
    <w:p>
      <w:pPr>
        <w:spacing w:before="100" w:after="0"/>
      </w:pPr>
      <w:r>
        <w:t xml:space="preserve"/>
      </w:r>
    </w:p>
    <w:p>
      <w:pPr>
        <w:spacing w:before="140" w:after="140"/>
      </w:pPr>
      <w:r>
        <w:rPr>
          <w:rFonts w:ascii="Arial" w:cs="Arial" w:eastAsia="Arial" w:hAnsi="Arial"/>
          <w:color w:val="1C2B3A"/>
          <w:sz w:val="22"/>
          <w:szCs w:val="22"/>
        </w:rPr>
        <w:t xml:space="preserve">Pure methane has a methane number of 100. Hydrogen has a methane number of 0. As heavier hydrocarbon components — ethane, propane, butane, and liquids — are added to a gas stream, the methane number falls. A gas stream with a high proportion of NGLs (natural gas liquids) may have a methane number below 70, which limits the compression ratio a gas engine can safely run at and reduces the generator's rated output.</w:t>
      </w:r>
    </w:p>
    <w:p>
      <w:pPr>
        <w:spacing w:before="140" w:after="140"/>
      </w:pPr>
      <w:r>
        <w:rPr>
          <w:rFonts w:ascii="Arial" w:cs="Arial" w:eastAsia="Arial" w:hAnsi="Arial"/>
          <w:color w:val="1C2B3A"/>
          <w:sz w:val="22"/>
          <w:szCs w:val="22"/>
        </w:rPr>
        <w:t xml:space="preserve">Why it matters for Bitcoin mining deployments:</w:t>
      </w:r>
    </w:p>
    <w:p>
      <w:pPr>
        <w:spacing w:before="140" w:after="140"/>
      </w:pPr>
      <w:r>
        <w:rPr>
          <w:rFonts w:ascii="Arial" w:cs="Arial" w:eastAsia="Arial" w:hAnsi="Arial"/>
          <w:color w:val="1C2B3A"/>
          <w:sz w:val="22"/>
          <w:szCs w:val="22"/>
        </w:rPr>
        <w:t xml:space="preserve">Generator manufacturers, including Caterpillar, publish validated methane number requirements for their engine models. A genset rated for 1.0 MW at MN 80 may only produce 850 kW at MN 65. That output reduction — called a derate — directly reduces the number of ASIC miners the system can power, and therefore reduces the Bitcoin revenue the site generates.</w:t>
      </w:r>
    </w:p>
    <w:p>
      <w:pPr>
        <w:spacing w:before="140" w:after="140"/>
      </w:pPr>
      <w:r>
        <w:rPr>
          <w:rFonts w:ascii="Arial" w:cs="Arial" w:eastAsia="Arial" w:hAnsi="Arial"/>
          <w:color w:val="1C2B3A"/>
          <w:sz w:val="22"/>
          <w:szCs w:val="22"/>
        </w:rPr>
        <w:t xml:space="preserve">Before specifying equipment for a gas-to-hash deployment, operators and engineers should conduct gas analysis to determine the methane number of the wellhead stream. Gas composition can vary by well, by formation, and over the producing life of the asset.</w:t>
      </w:r>
    </w:p>
    <w:p>
      <w:pPr>
        <w:spacing w:before="140" w:after="140"/>
      </w:pPr>
      <w:r>
        <w:rPr>
          <w:rFonts w:ascii="Arial" w:cs="Arial" w:eastAsia="Arial" w:hAnsi="Arial"/>
          <w:color w:val="1C2B3A"/>
          <w:sz w:val="22"/>
          <w:szCs w:val="22"/>
        </w:rPr>
        <w:t xml:space="preserve">Caterpillar's methane number methodology is the industry standard for calculating MN from gas chromatography data. MCF.digital uses this methodology when evaluating new sites.</w:t>
      </w:r>
    </w:p>
    <w:p>
      <w:pPr>
        <w:pBdr>
          <w:top w:val="single" w:color="D0D8E0" w:sz="3" w:space="6"/>
        </w:pBdr>
        <w:spacing w:before="160" w:after="0"/>
      </w:pPr>
      <w:r>
        <w:rPr>
          <w:rFonts w:ascii="Arial" w:cs="Arial" w:eastAsia="Arial" w:hAnsi="Arial"/>
          <w:b/>
          <w:bCs/>
          <w:color w:val="8C9BAA"/>
          <w:sz w:val="20"/>
          <w:szCs w:val="20"/>
        </w:rPr>
        <w:t xml:space="preserve">See also: </w:t>
      </w:r>
      <w:r>
        <w:rPr>
          <w:rFonts w:ascii="Arial" w:cs="Arial" w:eastAsia="Arial" w:hAnsi="Arial"/>
          <w:color w:val="1A3A5C"/>
          <w:sz w:val="20"/>
          <w:szCs w:val="20"/>
        </w:rPr>
        <w:t xml:space="preserve">Genset Derate  ·  </w:t>
      </w:r>
      <w:r>
        <w:rPr>
          <w:rFonts w:ascii="Arial" w:cs="Arial" w:eastAsia="Arial" w:hAnsi="Arial"/>
          <w:color w:val="1A3A5C"/>
          <w:sz w:val="20"/>
          <w:szCs w:val="20"/>
        </w:rPr>
        <w:t xml:space="preserve">Gas-to-Hash  ·  </w:t>
      </w:r>
      <w:r>
        <w:rPr>
          <w:rFonts w:ascii="Arial" w:cs="Arial" w:eastAsia="Arial" w:hAnsi="Arial"/>
          <w:color w:val="1A3A5C"/>
          <w:sz w:val="20"/>
          <w:szCs w:val="20"/>
        </w:rPr>
        <w:t xml:space="preserve">On-Lease Bitcoin Mining</w:t>
      </w:r>
    </w:p>
    <w:p>
      <w:pPr>
        <w:pBdr>
          <w:bottom w:val="single" w:color="D0D8E0" w:sz="3" w:space="1"/>
        </w:pBdr>
        <w:spacing w:before="280" w:after="0"/>
      </w:pPr>
      <w:r>
        <w:t xml:space="preserve"/>
      </w:r>
    </w:p>
    <w:p>
      <w:pPr>
        <w:spacing w:before="200" w:after="0"/>
      </w:pPr>
      <w:r>
        <w:t xml:space="preserve"/>
      </w:r>
    </w:p>
    <w:p>
      <w:pPr>
        <w:spacing w:before="0" w:after="80"/>
      </w:pPr>
      <w:r>
        <w:rPr>
          <w:rFonts w:ascii="Arial" w:cs="Arial" w:eastAsia="Arial" w:hAnsi="Arial"/>
          <w:b/>
          <w:bCs/>
          <w:color w:val="E8822A"/>
          <w:sz w:val="16"/>
          <w:szCs w:val="16"/>
        </w:rPr>
        <w:t xml:space="preserve">ENGINEERING</w:t>
      </w:r>
    </w:p>
    <w:p>
      <w:pPr>
        <w:pStyle w:val="Heading2"/>
        <w:pBdr>
          <w:bottom w:val="single" w:color="E8822A" w:sz="6" w:space="4"/>
        </w:pBdr>
        <w:spacing w:before="60" w:after="120"/>
      </w:pPr>
      <w:r>
        <w:rPr>
          <w:rFonts w:ascii="Arial" w:cs="Arial" w:eastAsia="Arial" w:hAnsi="Arial"/>
          <w:b/>
          <w:bCs/>
          <w:color w:val="1A3A5C"/>
          <w:sz w:val="36"/>
          <w:szCs w:val="36"/>
        </w:rPr>
        <w:t xml:space="preserve">Genset Derate</w:t>
      </w:r>
    </w:p>
    <w:p>
      <w:pPr>
        <w:spacing w:before="60" w:after="120"/>
      </w:pPr>
      <w:r>
        <w:rPr>
          <w:rFonts w:ascii="Arial" w:cs="Arial" w:eastAsia="Arial" w:hAnsi="Arial"/>
          <w:b/>
          <w:bCs/>
          <w:color w:val="8C9BAA"/>
          <w:sz w:val="18"/>
          <w:szCs w:val="18"/>
        </w:rPr>
        <w:t xml:space="preserve">Audience: </w:t>
      </w:r>
      <w:r>
        <w:rPr>
          <w:rFonts w:ascii="Arial" w:cs="Arial" w:eastAsia="Arial" w:hAnsi="Arial"/>
          <w:color w:val="8C9BAA"/>
          <w:sz w:val="18"/>
          <w:szCs w:val="18"/>
        </w:rPr>
        <w:t xml:space="preserve">Engineers, Miners</w:t>
      </w:r>
      <w:r>
        <w:rPr>
          <w:rFonts w:ascii="Arial" w:cs="Arial" w:eastAsia="Arial" w:hAnsi="Arial"/>
          <w:color w:val="D0D8E0"/>
          <w:sz w:val="18"/>
          <w:szCs w:val="18"/>
        </w:rPr>
        <w:t xml:space="preserve">   ·   </w:t>
      </w:r>
      <w:r>
        <w:rPr>
          <w:rFonts w:ascii="Arial" w:cs="Arial" w:eastAsia="Arial" w:hAnsi="Arial"/>
          <w:color w:val="D0D8E0"/>
          <w:sz w:val="18"/>
          <w:szCs w:val="18"/>
        </w:rPr>
        <w:t xml:space="preserve">G-5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822A" w:sz="3"/>
              <w:left w:val="single" w:color="E8822A" w:sz="12"/>
              <w:bottom w:val="none" w:color="FFFFFF" w:sz="0"/>
              <w:right w:val="none" w:color="FFFFFF" w:sz="0"/>
            </w:tcBorders>
            <w:shd w:fill="FDF6EF" w:val="clear"/>
            <w:tcMar>
              <w:top w:type="dxa" w:w="160"/>
              <w:left w:type="dxa" w:w="200"/>
              <w:bottom w:type="dxa" w:w="160"/>
              <w:right w:type="dxa" w:w="200"/>
            </w:tcMar>
          </w:tcPr>
          <w:p>
            <w:pPr>
              <w:spacing w:before="0" w:after="0"/>
            </w:pPr>
            <w:r>
              <w:rPr>
                <w:rFonts w:ascii="Arial" w:cs="Arial" w:eastAsia="Arial" w:hAnsi="Arial"/>
                <w:i/>
                <w:iCs/>
                <w:color w:val="1C2B3A"/>
                <w:sz w:val="22"/>
                <w:szCs w:val="22"/>
              </w:rPr>
              <w:t xml:space="preserve">A genset derate is the reduction in a generator's rated power output caused by operating conditions that differ from the manufacturer's baseline specifications. For gas-to-hash deployments, the three primary derate factors are altitude, ambient temperature, and fuel quality (methane number). Failure to account for derate during system design is one of the most common causes of underperforming on-lease mining deployments.</w:t>
            </w:r>
          </w:p>
        </w:tc>
      </w:tr>
    </w:tbl>
    <w:p>
      <w:pPr>
        <w:spacing w:before="100" w:after="0"/>
      </w:pPr>
      <w:r>
        <w:t xml:space="preserve"/>
      </w:r>
    </w:p>
    <w:p>
      <w:pPr>
        <w:spacing w:before="140" w:after="140"/>
      </w:pPr>
      <w:r>
        <w:rPr>
          <w:rFonts w:ascii="Arial" w:cs="Arial" w:eastAsia="Arial" w:hAnsi="Arial"/>
          <w:color w:val="1C2B3A"/>
          <w:sz w:val="22"/>
          <w:szCs w:val="22"/>
        </w:rPr>
        <w:t xml:space="preserve">Generator manufacturers publish rated outputs at standardized test conditions: typically sea level, 77°F (25°C) ambient temperature, and pipeline-quality gas. When a generator operates outside those conditions, its actual output is lower than the nameplate rating.</w:t>
      </w:r>
    </w:p>
    <w:p>
      <w:pPr>
        <w:spacing w:before="140" w:after="140"/>
      </w:pPr>
      <w:r>
        <w:rPr>
          <w:rFonts w:ascii="Arial" w:cs="Arial" w:eastAsia="Arial" w:hAnsi="Arial"/>
          <w:color w:val="1C2B3A"/>
          <w:sz w:val="22"/>
          <w:szCs w:val="22"/>
        </w:rPr>
        <w:t xml:space="preserve">Altitude derate: Gas engines are combustion engines — they depend on air-oxygen density to burn fuel. At higher elevations, thinner air reduces the oxygen available for combustion. A generator rated at 1.0 MW at sea level may produce only 0.85 MW at 5,000 feet elevation. Much of the Permian Basin and DJ Basin operate at elevations where altitude derate is a meaningful factor.</w:t>
      </w:r>
    </w:p>
    <w:p>
      <w:pPr>
        <w:spacing w:before="140" w:after="140"/>
      </w:pPr>
      <w:r>
        <w:rPr>
          <w:rFonts w:ascii="Arial" w:cs="Arial" w:eastAsia="Arial" w:hAnsi="Arial"/>
          <w:color w:val="1C2B3A"/>
          <w:sz w:val="22"/>
          <w:szCs w:val="22"/>
        </w:rPr>
        <w:t xml:space="preserve">Temperature derate: Higher ambient temperatures reduce the density of intake air and reduce the efficiency of cooling systems. A generator operating in a West Texas summer may produce 5–10% less output than its nameplate rating.</w:t>
      </w:r>
    </w:p>
    <w:p>
      <w:pPr>
        <w:spacing w:before="140" w:after="140"/>
      </w:pPr>
      <w:r>
        <w:rPr>
          <w:rFonts w:ascii="Arial" w:cs="Arial" w:eastAsia="Arial" w:hAnsi="Arial"/>
          <w:color w:val="1C2B3A"/>
          <w:sz w:val="22"/>
          <w:szCs w:val="22"/>
        </w:rPr>
        <w:t xml:space="preserve">Fuel quality derate (methane number): As described in the Methane Number entry, gas streams with high NGL content or non-methane components require reduced compression ratios and produce less power per unit of displacement.</w:t>
      </w:r>
    </w:p>
    <w:p>
      <w:pPr>
        <w:spacing w:before="140" w:after="140"/>
      </w:pPr>
      <w:r>
        <w:rPr>
          <w:rFonts w:ascii="Arial" w:cs="Arial" w:eastAsia="Arial" w:hAnsi="Arial"/>
          <w:color w:val="1C2B3A"/>
          <w:sz w:val="22"/>
          <w:szCs w:val="22"/>
        </w:rPr>
        <w:t xml:space="preserve">Deratesare multiplicative, not additive. A site with a combined altitude, temperature, and fuel quality derate of 15% needs a generator rated at approximately 1.18 MW to actually deliver 1.0 MW of usable power. Getting this calculation wrong at the design stage results in a system that cannot power the planned ASIC load — or one that runs generators at unsafe load levels.</w:t>
      </w:r>
    </w:p>
    <w:p>
      <w:pPr>
        <w:pBdr>
          <w:top w:val="single" w:color="D0D8E0" w:sz="3" w:space="6"/>
        </w:pBdr>
        <w:spacing w:before="160" w:after="0"/>
      </w:pPr>
      <w:r>
        <w:rPr>
          <w:rFonts w:ascii="Arial" w:cs="Arial" w:eastAsia="Arial" w:hAnsi="Arial"/>
          <w:b/>
          <w:bCs/>
          <w:color w:val="8C9BAA"/>
          <w:sz w:val="20"/>
          <w:szCs w:val="20"/>
        </w:rPr>
        <w:t xml:space="preserve">See also: </w:t>
      </w:r>
      <w:r>
        <w:rPr>
          <w:rFonts w:ascii="Arial" w:cs="Arial" w:eastAsia="Arial" w:hAnsi="Arial"/>
          <w:color w:val="1A3A5C"/>
          <w:sz w:val="20"/>
          <w:szCs w:val="20"/>
        </w:rPr>
        <w:t xml:space="preserve">Methane Number  ·  </w:t>
      </w:r>
      <w:r>
        <w:rPr>
          <w:rFonts w:ascii="Arial" w:cs="Arial" w:eastAsia="Arial" w:hAnsi="Arial"/>
          <w:color w:val="1A3A5C"/>
          <w:sz w:val="20"/>
          <w:szCs w:val="20"/>
        </w:rPr>
        <w:t xml:space="preserve">Gas-to-Hash  ·  </w:t>
      </w:r>
      <w:r>
        <w:rPr>
          <w:rFonts w:ascii="Arial" w:cs="Arial" w:eastAsia="Arial" w:hAnsi="Arial"/>
          <w:color w:val="1A3A5C"/>
          <w:sz w:val="20"/>
          <w:szCs w:val="20"/>
        </w:rPr>
        <w:t xml:space="preserve">On-Lease Bitcoin Mining</w:t>
      </w:r>
    </w:p>
    <w:p>
      <w:pPr>
        <w:pBdr>
          <w:bottom w:val="single" w:color="D0D8E0" w:sz="3" w:space="1"/>
        </w:pBdr>
        <w:spacing w:before="280" w:after="0"/>
      </w:pPr>
      <w:r>
        <w:t xml:space="preserve"/>
      </w:r>
    </w:p>
    <w:p>
      <w:pPr>
        <w:spacing w:before="200" w:after="0"/>
      </w:pPr>
      <w:r>
        <w:t xml:space="preserve"/>
      </w:r>
    </w:p>
    <w:p>
      <w:pPr>
        <w:spacing w:before="0" w:after="80"/>
      </w:pPr>
      <w:r>
        <w:rPr>
          <w:rFonts w:ascii="Arial" w:cs="Arial" w:eastAsia="Arial" w:hAnsi="Arial"/>
          <w:b/>
          <w:bCs/>
          <w:color w:val="E8822A"/>
          <w:sz w:val="16"/>
          <w:szCs w:val="16"/>
        </w:rPr>
        <w:t xml:space="preserve">CORE CONCEPT</w:t>
      </w:r>
    </w:p>
    <w:p>
      <w:pPr>
        <w:pStyle w:val="Heading2"/>
        <w:pBdr>
          <w:bottom w:val="single" w:color="E8822A" w:sz="6" w:space="4"/>
        </w:pBdr>
        <w:spacing w:before="60" w:after="120"/>
      </w:pPr>
      <w:r>
        <w:rPr>
          <w:rFonts w:ascii="Arial" w:cs="Arial" w:eastAsia="Arial" w:hAnsi="Arial"/>
          <w:b/>
          <w:bCs/>
          <w:color w:val="1A3A5C"/>
          <w:sz w:val="36"/>
          <w:szCs w:val="36"/>
        </w:rPr>
        <w:t xml:space="preserve">Gas-to-Hash</w:t>
      </w:r>
    </w:p>
    <w:p>
      <w:pPr>
        <w:spacing w:before="60" w:after="120"/>
      </w:pPr>
      <w:r>
        <w:rPr>
          <w:rFonts w:ascii="Arial" w:cs="Arial" w:eastAsia="Arial" w:hAnsi="Arial"/>
          <w:b/>
          <w:bCs/>
          <w:color w:val="8C9BAA"/>
          <w:sz w:val="18"/>
          <w:szCs w:val="18"/>
        </w:rPr>
        <w:t xml:space="preserve">Audience: </w:t>
      </w:r>
      <w:r>
        <w:rPr>
          <w:rFonts w:ascii="Arial" w:cs="Arial" w:eastAsia="Arial" w:hAnsi="Arial"/>
          <w:color w:val="8C9BAA"/>
          <w:sz w:val="18"/>
          <w:szCs w:val="18"/>
        </w:rPr>
        <w:t xml:space="preserve">All</w:t>
      </w:r>
      <w:r>
        <w:rPr>
          <w:rFonts w:ascii="Arial" w:cs="Arial" w:eastAsia="Arial" w:hAnsi="Arial"/>
          <w:color w:val="D0D8E0"/>
          <w:sz w:val="18"/>
          <w:szCs w:val="18"/>
        </w:rPr>
        <w:t xml:space="preserve">   ·   </w:t>
      </w:r>
      <w:r>
        <w:rPr>
          <w:rFonts w:ascii="Arial" w:cs="Arial" w:eastAsia="Arial" w:hAnsi="Arial"/>
          <w:color w:val="D0D8E0"/>
          <w:sz w:val="18"/>
          <w:szCs w:val="18"/>
        </w:rPr>
        <w:t xml:space="preserve">G-6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822A" w:sz="3"/>
              <w:left w:val="single" w:color="E8822A" w:sz="12"/>
              <w:bottom w:val="none" w:color="FFFFFF" w:sz="0"/>
              <w:right w:val="none" w:color="FFFFFF" w:sz="0"/>
            </w:tcBorders>
            <w:shd w:fill="FDF6EF" w:val="clear"/>
            <w:tcMar>
              <w:top w:type="dxa" w:w="160"/>
              <w:left w:type="dxa" w:w="200"/>
              <w:bottom w:type="dxa" w:w="160"/>
              <w:right w:type="dxa" w:w="200"/>
            </w:tcMar>
          </w:tcPr>
          <w:p>
            <w:pPr>
              <w:spacing w:before="0" w:after="0"/>
            </w:pPr>
            <w:r>
              <w:rPr>
                <w:rFonts w:ascii="Arial" w:cs="Arial" w:eastAsia="Arial" w:hAnsi="Arial"/>
                <w:i/>
                <w:iCs/>
                <w:color w:val="1C2B3A"/>
                <w:sz w:val="22"/>
                <w:szCs w:val="22"/>
              </w:rPr>
              <w:t xml:space="preserve">Gas-to-hash is the process of converting wellhead natural gas into Bitcoin hashrate — the computational output of Bitcoin mining — through a chain of on-site equipment deployed at an oil and gas production pad. The term describes the full conversion sequence from raw fuel to Bitcoin production.</w:t>
            </w:r>
          </w:p>
        </w:tc>
      </w:tr>
    </w:tbl>
    <w:p>
      <w:pPr>
        <w:spacing w:before="100" w:after="0"/>
      </w:pPr>
      <w:r>
        <w:t xml:space="preserve"/>
      </w:r>
    </w:p>
    <w:p>
      <w:pPr>
        <w:spacing w:before="140" w:after="140"/>
      </w:pPr>
      <w:r>
        <w:rPr>
          <w:rFonts w:ascii="Arial" w:cs="Arial" w:eastAsia="Arial" w:hAnsi="Arial"/>
          <w:color w:val="1C2B3A"/>
          <w:sz w:val="22"/>
          <w:szCs w:val="22"/>
        </w:rPr>
        <w:t xml:space="preserve">The gas-to-hash conversion sequence follows these steps:</w:t>
      </w:r>
    </w:p>
    <w:p>
      <w:pPr>
        <w:spacing w:before="80" w:after="60"/>
        <w:ind w:left="360" w:hanging="360"/>
      </w:pPr>
      <w:r>
        <w:rPr>
          <w:rFonts w:ascii="Arial" w:cs="Arial" w:eastAsia="Arial" w:hAnsi="Arial"/>
          <w:b/>
          <w:bCs/>
          <w:color w:val="E8822A"/>
          <w:sz w:val="22"/>
          <w:szCs w:val="22"/>
        </w:rPr>
        <w:t xml:space="preserve">1.  </w:t>
      </w:r>
      <w:r>
        <w:rPr>
          <w:rFonts w:ascii="Arial" w:cs="Arial" w:eastAsia="Arial" w:hAnsi="Arial"/>
          <w:color w:val="1C2B3A"/>
          <w:sz w:val="22"/>
          <w:szCs w:val="22"/>
        </w:rPr>
        <w:t xml:space="preserve">Gas supply: Associated gas, stranded gas, or flare gas exits the wellhead. Depending on gas composition and pressure, basic conditioning (separation, pressure regulation) may be required before the gas enters the generator fuel system.</w:t>
      </w:r>
    </w:p>
    <w:p>
      <w:pPr>
        <w:spacing w:before="80" w:after="60"/>
        <w:ind w:left="360" w:hanging="360"/>
      </w:pPr>
      <w:r>
        <w:rPr>
          <w:rFonts w:ascii="Arial" w:cs="Arial" w:eastAsia="Arial" w:hAnsi="Arial"/>
          <w:b/>
          <w:bCs/>
          <w:color w:val="E8822A"/>
          <w:sz w:val="22"/>
          <w:szCs w:val="22"/>
        </w:rPr>
        <w:t xml:space="preserve">2.  </w:t>
      </w:r>
      <w:r>
        <w:rPr>
          <w:rFonts w:ascii="Arial" w:cs="Arial" w:eastAsia="Arial" w:hAnsi="Arial"/>
          <w:color w:val="1C2B3A"/>
          <w:sz w:val="22"/>
          <w:szCs w:val="22"/>
        </w:rPr>
        <w:t xml:space="preserve">Power generation: A natural gas generator (genset) combusts the gas and produces AC electricity. Generator size is determined by gas availability, gas quality (methane number), and site conditions (altitude, temperature).</w:t>
      </w:r>
    </w:p>
    <w:p>
      <w:pPr>
        <w:spacing w:before="80" w:after="60"/>
        <w:ind w:left="360" w:hanging="360"/>
      </w:pPr>
      <w:r>
        <w:rPr>
          <w:rFonts w:ascii="Arial" w:cs="Arial" w:eastAsia="Arial" w:hAnsi="Arial"/>
          <w:b/>
          <w:bCs/>
          <w:color w:val="E8822A"/>
          <w:sz w:val="22"/>
          <w:szCs w:val="22"/>
        </w:rPr>
        <w:t xml:space="preserve">3.  </w:t>
      </w:r>
      <w:r>
        <w:rPr>
          <w:rFonts w:ascii="Arial" w:cs="Arial" w:eastAsia="Arial" w:hAnsi="Arial"/>
          <w:color w:val="1C2B3A"/>
          <w:sz w:val="22"/>
          <w:szCs w:val="22"/>
        </w:rPr>
        <w:t xml:space="preserve">Power conditioning: Raw generator output is conditioned for the specific voltage and frequency requirements of ASIC mining hardware, typically 208–240V at 60Hz.</w:t>
      </w:r>
    </w:p>
    <w:p>
      <w:pPr>
        <w:spacing w:before="80" w:after="60"/>
        <w:ind w:left="360" w:hanging="360"/>
      </w:pPr>
      <w:r>
        <w:rPr>
          <w:rFonts w:ascii="Arial" w:cs="Arial" w:eastAsia="Arial" w:hAnsi="Arial"/>
          <w:b/>
          <w:bCs/>
          <w:color w:val="E8822A"/>
          <w:sz w:val="22"/>
          <w:szCs w:val="22"/>
        </w:rPr>
        <w:t xml:space="preserve">4.  </w:t>
      </w:r>
      <w:r>
        <w:rPr>
          <w:rFonts w:ascii="Arial" w:cs="Arial" w:eastAsia="Arial" w:hAnsi="Arial"/>
          <w:color w:val="1C2B3A"/>
          <w:sz w:val="22"/>
          <w:szCs w:val="22"/>
        </w:rPr>
        <w:t xml:space="preserve">ASIC mining: Application-specific integrated circuit miners consume the electricity and perform the SHA-256 cryptographic hash computations that secure the Bitcoin network. Each unit produces a fixed amount of hashrate at a given power draw.</w:t>
      </w:r>
    </w:p>
    <w:p>
      <w:pPr>
        <w:spacing w:before="80" w:after="60"/>
        <w:ind w:left="360" w:hanging="360"/>
      </w:pPr>
      <w:r>
        <w:rPr>
          <w:rFonts w:ascii="Arial" w:cs="Arial" w:eastAsia="Arial" w:hAnsi="Arial"/>
          <w:b/>
          <w:bCs/>
          <w:color w:val="E8822A"/>
          <w:sz w:val="22"/>
          <w:szCs w:val="22"/>
        </w:rPr>
        <w:t xml:space="preserve">5.  </w:t>
      </w:r>
      <w:r>
        <w:rPr>
          <w:rFonts w:ascii="Arial" w:cs="Arial" w:eastAsia="Arial" w:hAnsi="Arial"/>
          <w:color w:val="1C2B3A"/>
          <w:sz w:val="22"/>
          <w:szCs w:val="22"/>
        </w:rPr>
        <w:t xml:space="preserve">Hash submission and block rewards: The ASICs submit computed hashes to a mining pool, which aggregates hashrate from multiple operators and distributes Bitcoin rewards proportional to contributed hashrate.</w:t>
      </w:r>
    </w:p>
    <w:p>
      <w:pPr>
        <w:spacing w:before="80" w:after="60"/>
        <w:ind w:left="360" w:hanging="360"/>
      </w:pPr>
      <w:r>
        <w:rPr>
          <w:rFonts w:ascii="Arial" w:cs="Arial" w:eastAsia="Arial" w:hAnsi="Arial"/>
          <w:b/>
          <w:bCs/>
          <w:color w:val="E8822A"/>
          <w:sz w:val="22"/>
          <w:szCs w:val="22"/>
        </w:rPr>
        <w:t xml:space="preserve">6.  </w:t>
      </w:r>
      <w:r>
        <w:rPr>
          <w:rFonts w:ascii="Arial" w:cs="Arial" w:eastAsia="Arial" w:hAnsi="Arial"/>
          <w:color w:val="1C2B3A"/>
          <w:sz w:val="22"/>
          <w:szCs w:val="22"/>
        </w:rPr>
        <w:t xml:space="preserve">Payout: Bitcoin is distributed to the designated wallet address — typically in a custody-first structure where the recipient receives BTC directly without intermediate custodianship.</w:t>
      </w:r>
    </w:p>
    <w:p>
      <w:pPr>
        <w:spacing w:before="140" w:after="140"/>
      </w:pPr>
      <w:r>
        <w:rPr>
          <w:rFonts w:ascii="Arial" w:cs="Arial" w:eastAsia="Arial" w:hAnsi="Arial"/>
          <w:color w:val="1C2B3A"/>
          <w:sz w:val="22"/>
          <w:szCs w:val="22"/>
        </w:rPr>
        <w:t xml:space="preserve">The efficiency of the gas-to-hash chain is determined at each stage. Gas quality affects generator output; generator design affects electrical efficiency; ASIC generation (J/TH ratio) affects mining yield per kilowatt. A well-designed gas-to-hash system optimizes across all three layers.</w:t>
      </w:r>
    </w:p>
    <w:p>
      <w:pPr>
        <w:pBdr>
          <w:top w:val="single" w:color="D0D8E0" w:sz="3" w:space="6"/>
        </w:pBdr>
        <w:spacing w:before="160" w:after="0"/>
      </w:pPr>
      <w:r>
        <w:rPr>
          <w:rFonts w:ascii="Arial" w:cs="Arial" w:eastAsia="Arial" w:hAnsi="Arial"/>
          <w:b/>
          <w:bCs/>
          <w:color w:val="8C9BAA"/>
          <w:sz w:val="20"/>
          <w:szCs w:val="20"/>
        </w:rPr>
        <w:t xml:space="preserve">See also: </w:t>
      </w:r>
      <w:r>
        <w:rPr>
          <w:rFonts w:ascii="Arial" w:cs="Arial" w:eastAsia="Arial" w:hAnsi="Arial"/>
          <w:color w:val="1A3A5C"/>
          <w:sz w:val="20"/>
          <w:szCs w:val="20"/>
        </w:rPr>
        <w:t xml:space="preserve">On-Lease Bitcoin Mining  ·  </w:t>
      </w:r>
      <w:r>
        <w:rPr>
          <w:rFonts w:ascii="Arial" w:cs="Arial" w:eastAsia="Arial" w:hAnsi="Arial"/>
          <w:color w:val="1A3A5C"/>
          <w:sz w:val="20"/>
          <w:szCs w:val="20"/>
        </w:rPr>
        <w:t xml:space="preserve">Flare Gas  ·  </w:t>
      </w:r>
      <w:r>
        <w:rPr>
          <w:rFonts w:ascii="Arial" w:cs="Arial" w:eastAsia="Arial" w:hAnsi="Arial"/>
          <w:color w:val="1A3A5C"/>
          <w:sz w:val="20"/>
          <w:szCs w:val="20"/>
        </w:rPr>
        <w:t xml:space="preserve">Hashprice  ·  </w:t>
      </w:r>
      <w:r>
        <w:rPr>
          <w:rFonts w:ascii="Arial" w:cs="Arial" w:eastAsia="Arial" w:hAnsi="Arial"/>
          <w:color w:val="1A3A5C"/>
          <w:sz w:val="20"/>
          <w:szCs w:val="20"/>
        </w:rPr>
        <w:t xml:space="preserve">Genset Derate  ·  </w:t>
      </w:r>
      <w:r>
        <w:rPr>
          <w:rFonts w:ascii="Arial" w:cs="Arial" w:eastAsia="Arial" w:hAnsi="Arial"/>
          <w:color w:val="1A3A5C"/>
          <w:sz w:val="20"/>
          <w:szCs w:val="20"/>
        </w:rPr>
        <w:t xml:space="preserve">Methane Number</w:t>
      </w:r>
    </w:p>
    <w:p>
      <w:pPr>
        <w:pBdr>
          <w:bottom w:val="single" w:color="D0D8E0" w:sz="3" w:space="1"/>
        </w:pBdr>
        <w:spacing w:before="280" w:after="0"/>
      </w:pPr>
      <w:r>
        <w:t xml:space="preserve"/>
      </w:r>
    </w:p>
    <w:p>
      <w:pPr>
        <w:spacing w:before="200" w:after="0"/>
      </w:pPr>
      <w:r>
        <w:t xml:space="preserve"/>
      </w:r>
    </w:p>
    <w:p>
      <w:pPr>
        <w:spacing w:before="0" w:after="80"/>
      </w:pPr>
      <w:r>
        <w:rPr>
          <w:rFonts w:ascii="Arial" w:cs="Arial" w:eastAsia="Arial" w:hAnsi="Arial"/>
          <w:b/>
          <w:bCs/>
          <w:color w:val="E8822A"/>
          <w:sz w:val="16"/>
          <w:szCs w:val="16"/>
        </w:rPr>
        <w:t xml:space="preserve">UPSTREAM O&amp;G</w:t>
      </w:r>
    </w:p>
    <w:p>
      <w:pPr>
        <w:pStyle w:val="Heading2"/>
        <w:pBdr>
          <w:bottom w:val="single" w:color="E8822A" w:sz="6" w:space="4"/>
        </w:pBdr>
        <w:spacing w:before="60" w:after="120"/>
      </w:pPr>
      <w:r>
        <w:rPr>
          <w:rFonts w:ascii="Arial" w:cs="Arial" w:eastAsia="Arial" w:hAnsi="Arial"/>
          <w:b/>
          <w:bCs/>
          <w:color w:val="1A3A5C"/>
          <w:sz w:val="36"/>
          <w:szCs w:val="36"/>
        </w:rPr>
        <w:t xml:space="preserve">Stranded Gas vs. Flare Gas</w:t>
      </w:r>
    </w:p>
    <w:p>
      <w:pPr>
        <w:spacing w:before="60" w:after="120"/>
      </w:pPr>
      <w:r>
        <w:rPr>
          <w:rFonts w:ascii="Arial" w:cs="Arial" w:eastAsia="Arial" w:hAnsi="Arial"/>
          <w:b/>
          <w:bCs/>
          <w:color w:val="8C9BAA"/>
          <w:sz w:val="18"/>
          <w:szCs w:val="18"/>
        </w:rPr>
        <w:t xml:space="preserve">Audience: </w:t>
      </w:r>
      <w:r>
        <w:rPr>
          <w:rFonts w:ascii="Arial" w:cs="Arial" w:eastAsia="Arial" w:hAnsi="Arial"/>
          <w:color w:val="8C9BAA"/>
          <w:sz w:val="18"/>
          <w:szCs w:val="18"/>
        </w:rPr>
        <w:t xml:space="preserve">All</w:t>
      </w:r>
      <w:r>
        <w:rPr>
          <w:rFonts w:ascii="Arial" w:cs="Arial" w:eastAsia="Arial" w:hAnsi="Arial"/>
          <w:color w:val="D0D8E0"/>
          <w:sz w:val="18"/>
          <w:szCs w:val="18"/>
        </w:rPr>
        <w:t xml:space="preserve">   ·   </w:t>
      </w:r>
      <w:r>
        <w:rPr>
          <w:rFonts w:ascii="Arial" w:cs="Arial" w:eastAsia="Arial" w:hAnsi="Arial"/>
          <w:color w:val="D0D8E0"/>
          <w:sz w:val="18"/>
          <w:szCs w:val="18"/>
        </w:rPr>
        <w:t xml:space="preserve">G-7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822A" w:sz="3"/>
              <w:left w:val="single" w:color="E8822A" w:sz="12"/>
              <w:bottom w:val="none" w:color="FFFFFF" w:sz="0"/>
              <w:right w:val="none" w:color="FFFFFF" w:sz="0"/>
            </w:tcBorders>
            <w:shd w:fill="FDF6EF" w:val="clear"/>
            <w:tcMar>
              <w:top w:type="dxa" w:w="160"/>
              <w:left w:type="dxa" w:w="200"/>
              <w:bottom w:type="dxa" w:w="160"/>
              <w:right w:type="dxa" w:w="200"/>
            </w:tcMar>
          </w:tcPr>
          <w:p>
            <w:pPr>
              <w:spacing w:before="0" w:after="0"/>
            </w:pPr>
            <w:r>
              <w:rPr>
                <w:rFonts w:ascii="Arial" w:cs="Arial" w:eastAsia="Arial" w:hAnsi="Arial"/>
                <w:i/>
                <w:iCs/>
                <w:color w:val="1C2B3A"/>
                <w:sz w:val="22"/>
                <w:szCs w:val="22"/>
              </w:rPr>
              <w:t xml:space="preserve">"Stranded gas" and "flare gas" are related but distinct terms that describe different reasons why natural gas has no current commercial outlet. Understanding the difference matters for evaluating which gas-to-hash deployment structures and economics apply to a given site.</w:t>
            </w:r>
          </w:p>
        </w:tc>
      </w:tr>
    </w:tbl>
    <w:p>
      <w:pPr>
        <w:spacing w:before="100" w:after="0"/>
      </w:pPr>
      <w:r>
        <w:t xml:space="preserve"/>
      </w:r>
    </w:p>
    <w:p>
      <w:pPr>
        <w:spacing w:before="140" w:after="140"/>
      </w:pPr>
      <w:r>
        <w:rPr>
          <w:rFonts w:ascii="Arial" w:cs="Arial" w:eastAsia="Arial" w:hAnsi="Arial"/>
          <w:color w:val="1C2B3A"/>
          <w:sz w:val="22"/>
          <w:szCs w:val="22"/>
        </w:rPr>
        <w:t xml:space="preserve">Flare Gas is associated natural gas that is burned at the wellhead. It arises as a byproduct of oil production — crude oil carries dissolved gas to the surface, and when no pipeline infrastructure exists to capture it, the gas is combusted (flared) rather than vented. Flare gas typically refers to gas being actively burned at an oil production site.</w:t>
      </w:r>
    </w:p>
    <w:p>
      <w:pPr>
        <w:spacing w:before="140" w:after="140"/>
      </w:pPr>
      <w:r>
        <w:rPr>
          <w:rFonts w:ascii="Arial" w:cs="Arial" w:eastAsia="Arial" w:hAnsi="Arial"/>
          <w:color w:val="1C2B3A"/>
          <w:sz w:val="22"/>
          <w:szCs w:val="22"/>
        </w:rPr>
        <w:t xml:space="preserve">Geographically Stranded Gas is gas that cannot reach a market because no pipeline infrastructure connects the wellhead to a gathering system or processing plant. The gas may be of excellent quality and sufficient volume to be economically valuable, but physical distance or terrain makes pipeline construction uneconomical. Much of the natural gas in remote Appalachian formations, frontier basins, and certain offshore fields is geographically stranded.</w:t>
      </w:r>
    </w:p>
    <w:p>
      <w:pPr>
        <w:spacing w:before="140" w:after="140"/>
      </w:pPr>
      <w:r>
        <w:rPr>
          <w:rFonts w:ascii="Arial" w:cs="Arial" w:eastAsia="Arial" w:hAnsi="Arial"/>
          <w:color w:val="1C2B3A"/>
          <w:sz w:val="22"/>
          <w:szCs w:val="22"/>
        </w:rPr>
        <w:t xml:space="preserve">Economically Stranded Gas is gas that has pipeline access but cannot be sold profitably because the netback — after gathering, transportation, processing fees, and royalties — falls below the cost of production. The pipeline exists, but the economics are negative. This is increasingly common in gas-rich basins where midstream infrastructure was built for higher gas prices, or where minimum volume commitments force operators into unfavorable contract structures.</w:t>
      </w:r>
    </w:p>
    <w:p>
      <w:pPr>
        <w:spacing w:before="140" w:after="140"/>
      </w:pPr>
      <w:r>
        <w:rPr>
          <w:rFonts w:ascii="Arial" w:cs="Arial" w:eastAsia="Arial" w:hAnsi="Arial"/>
          <w:color w:val="1C2B3A"/>
          <w:sz w:val="22"/>
          <w:szCs w:val="22"/>
        </w:rPr>
        <w:t xml:space="preserve">For gas-to-hash deployments, all three types can be viable candidates, but for different reasons:
- Flare gas: Compliance driver; operator wants to eliminate flaring and satisfy regulators
- Geographically stranded gas: Revenue driver; operator wants to monetize gas that currently generates nothing
- Economically stranded gas: Margin driver; operator wants a better netback than the pipeline currently provides</w:t>
      </w:r>
    </w:p>
    <w:p>
      <w:pPr>
        <w:pBdr>
          <w:top w:val="single" w:color="D0D8E0" w:sz="3" w:space="6"/>
        </w:pBdr>
        <w:spacing w:before="160" w:after="0"/>
      </w:pPr>
      <w:r>
        <w:rPr>
          <w:rFonts w:ascii="Arial" w:cs="Arial" w:eastAsia="Arial" w:hAnsi="Arial"/>
          <w:b/>
          <w:bCs/>
          <w:color w:val="8C9BAA"/>
          <w:sz w:val="20"/>
          <w:szCs w:val="20"/>
        </w:rPr>
        <w:t xml:space="preserve">See also: </w:t>
      </w:r>
      <w:r>
        <w:rPr>
          <w:rFonts w:ascii="Arial" w:cs="Arial" w:eastAsia="Arial" w:hAnsi="Arial"/>
          <w:color w:val="1A3A5C"/>
          <w:sz w:val="20"/>
          <w:szCs w:val="20"/>
        </w:rPr>
        <w:t xml:space="preserve">Flare Gas  ·  </w:t>
      </w:r>
      <w:r>
        <w:rPr>
          <w:rFonts w:ascii="Arial" w:cs="Arial" w:eastAsia="Arial" w:hAnsi="Arial"/>
          <w:color w:val="1A3A5C"/>
          <w:sz w:val="20"/>
          <w:szCs w:val="20"/>
        </w:rPr>
        <w:t xml:space="preserve">Gas Netback  ·  </w:t>
      </w:r>
      <w:r>
        <w:rPr>
          <w:rFonts w:ascii="Arial" w:cs="Arial" w:eastAsia="Arial" w:hAnsi="Arial"/>
          <w:color w:val="1A3A5C"/>
          <w:sz w:val="20"/>
          <w:szCs w:val="20"/>
        </w:rPr>
        <w:t xml:space="preserve">On-Lease Bitcoin Mining  ·  </w:t>
      </w:r>
      <w:r>
        <w:rPr>
          <w:rFonts w:ascii="Arial" w:cs="Arial" w:eastAsia="Arial" w:hAnsi="Arial"/>
          <w:color w:val="1A3A5C"/>
          <w:sz w:val="20"/>
          <w:szCs w:val="20"/>
        </w:rPr>
        <w:t xml:space="preserve">Gas-to-Hash</w:t>
      </w:r>
    </w:p>
    <w:p>
      <w:pPr>
        <w:pBdr>
          <w:bottom w:val="single" w:color="D0D8E0" w:sz="3" w:space="1"/>
        </w:pBdr>
        <w:spacing w:before="280" w:after="0"/>
      </w:pPr>
      <w:r>
        <w:t xml:space="preserve"/>
      </w:r>
    </w:p>
    <w:p>
      <w:pPr>
        <w:spacing w:before="200" w:after="0"/>
      </w:pPr>
      <w:r>
        <w:t xml:space="preserve"/>
      </w:r>
    </w:p>
    <w:p>
      <w:pPr>
        <w:spacing w:before="0" w:after="80"/>
      </w:pPr>
      <w:r>
        <w:rPr>
          <w:rFonts w:ascii="Arial" w:cs="Arial" w:eastAsia="Arial" w:hAnsi="Arial"/>
          <w:b/>
          <w:bCs/>
          <w:color w:val="E8822A"/>
          <w:sz w:val="16"/>
          <w:szCs w:val="16"/>
        </w:rPr>
        <w:t xml:space="preserve">DEAL STRUCTURES</w:t>
      </w:r>
    </w:p>
    <w:p>
      <w:pPr>
        <w:pStyle w:val="Heading2"/>
        <w:pBdr>
          <w:bottom w:val="single" w:color="E8822A" w:sz="6" w:space="4"/>
        </w:pBdr>
        <w:spacing w:before="60" w:after="120"/>
      </w:pPr>
      <w:r>
        <w:rPr>
          <w:rFonts w:ascii="Arial" w:cs="Arial" w:eastAsia="Arial" w:hAnsi="Arial"/>
          <w:b/>
          <w:bCs/>
          <w:color w:val="1A3A5C"/>
          <w:sz w:val="36"/>
          <w:szCs w:val="36"/>
        </w:rPr>
        <w:t xml:space="preserve">Hosting Agreement</w:t>
      </w:r>
    </w:p>
    <w:p>
      <w:pPr>
        <w:spacing w:before="60" w:after="120"/>
      </w:pPr>
      <w:r>
        <w:rPr>
          <w:rFonts w:ascii="Arial" w:cs="Arial" w:eastAsia="Arial" w:hAnsi="Arial"/>
          <w:b/>
          <w:bCs/>
          <w:color w:val="8C9BAA"/>
          <w:sz w:val="18"/>
          <w:szCs w:val="18"/>
        </w:rPr>
        <w:t xml:space="preserve">Audience: </w:t>
      </w:r>
      <w:r>
        <w:rPr>
          <w:rFonts w:ascii="Arial" w:cs="Arial" w:eastAsia="Arial" w:hAnsi="Arial"/>
          <w:color w:val="8C9BAA"/>
          <w:sz w:val="18"/>
          <w:szCs w:val="18"/>
        </w:rPr>
        <w:t xml:space="preserve">Miners, Operators</w:t>
      </w:r>
      <w:r>
        <w:rPr>
          <w:rFonts w:ascii="Arial" w:cs="Arial" w:eastAsia="Arial" w:hAnsi="Arial"/>
          <w:color w:val="D0D8E0"/>
          <w:sz w:val="18"/>
          <w:szCs w:val="18"/>
        </w:rPr>
        <w:t xml:space="preserve">   ·   </w:t>
      </w:r>
      <w:r>
        <w:rPr>
          <w:rFonts w:ascii="Arial" w:cs="Arial" w:eastAsia="Arial" w:hAnsi="Arial"/>
          <w:color w:val="D0D8E0"/>
          <w:sz w:val="18"/>
          <w:szCs w:val="18"/>
        </w:rPr>
        <w:t xml:space="preserve">G-8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822A" w:sz="3"/>
              <w:left w:val="single" w:color="E8822A" w:sz="12"/>
              <w:bottom w:val="none" w:color="FFFFFF" w:sz="0"/>
              <w:right w:val="none" w:color="FFFFFF" w:sz="0"/>
            </w:tcBorders>
            <w:shd w:fill="FDF6EF" w:val="clear"/>
            <w:tcMar>
              <w:top w:type="dxa" w:w="160"/>
              <w:left w:type="dxa" w:w="200"/>
              <w:bottom w:type="dxa" w:w="160"/>
              <w:right w:type="dxa" w:w="200"/>
            </w:tcMar>
          </w:tcPr>
          <w:p>
            <w:pPr>
              <w:spacing w:before="0" w:after="0"/>
            </w:pPr>
            <w:r>
              <w:rPr>
                <w:rFonts w:ascii="Arial" w:cs="Arial" w:eastAsia="Arial" w:hAnsi="Arial"/>
                <w:i/>
                <w:iCs/>
                <w:color w:val="1C2B3A"/>
                <w:sz w:val="22"/>
                <w:szCs w:val="22"/>
              </w:rPr>
              <w:t xml:space="preserve">In Bitcoin mining, a hosting agreement is a contract between a miner (who owns the ASIC hardware) and a host (who provides the power, physical space, and infrastructure). Under a hosting model, the miner pays the host a power rate — typically priced in cents per kilowatt-hour (¢/kWh) — and retains all Bitcoin produced by their equipment.</w:t>
            </w:r>
          </w:p>
        </w:tc>
      </w:tr>
    </w:tbl>
    <w:p>
      <w:pPr>
        <w:spacing w:before="100" w:after="0"/>
      </w:pPr>
      <w:r>
        <w:t xml:space="preserve"/>
      </w:r>
    </w:p>
    <w:p>
      <w:pPr>
        <w:spacing w:before="140" w:after="140"/>
      </w:pPr>
      <w:r>
        <w:rPr>
          <w:rFonts w:ascii="Arial" w:cs="Arial" w:eastAsia="Arial" w:hAnsi="Arial"/>
          <w:color w:val="1C2B3A"/>
          <w:sz w:val="22"/>
          <w:szCs w:val="22"/>
        </w:rPr>
        <w:t xml:space="preserve">The hosting model is the most common commercial structure in large-scale Bitcoin mining. It separates equipment ownership from infrastructure ownership, allowing miners with capital access to hardware but not to cheap power to partner with facilities that have the power but not the hardware.</w:t>
      </w:r>
    </w:p>
    <w:p>
      <w:pPr>
        <w:spacing w:before="140" w:after="140"/>
      </w:pPr>
      <w:r>
        <w:rPr>
          <w:rFonts w:ascii="Arial" w:cs="Arial" w:eastAsia="Arial" w:hAnsi="Arial"/>
          <w:color w:val="1C2B3A"/>
          <w:sz w:val="22"/>
          <w:szCs w:val="22"/>
        </w:rPr>
        <w:t xml:space="preserve">In the on-lease gas-to-hash context, the hosting structure works as follows: the oil and gas operator — or MCF.digital acting on the operator's behalf — provides the power infrastructure (genset, electrical conditioning, containerized facilities). A Bitcoin miner deploys their ASICs at the pad and pays a power rate for the electricity consumed. The operator receives a predictable cash flow regardless of Bitcoin price; the miner retains all Bitcoin upside.</w:t>
      </w:r>
    </w:p>
    <w:p>
      <w:pPr>
        <w:spacing w:before="140" w:after="140"/>
      </w:pPr>
      <w:r>
        <w:rPr>
          <w:rFonts w:ascii="Arial" w:cs="Arial" w:eastAsia="Arial" w:hAnsi="Arial"/>
          <w:color w:val="1C2B3A"/>
          <w:sz w:val="22"/>
          <w:szCs w:val="22"/>
        </w:rPr>
        <w:t xml:space="preserve">The hosting model is often the lowest-friction structure for operators who want gas monetization revenue without Bitcoin balance sheet exposure. Because the operator is receiving a power rate (denominated in dollars), they are not required to hold, account for, or report Bitcoin.</w:t>
      </w:r>
    </w:p>
    <w:p>
      <w:pPr>
        <w:spacing w:before="140" w:after="140"/>
      </w:pPr>
      <w:r>
        <w:rPr>
          <w:rFonts w:ascii="Arial" w:cs="Arial" w:eastAsia="Arial" w:hAnsi="Arial"/>
          <w:color w:val="1C2B3A"/>
          <w:sz w:val="22"/>
          <w:szCs w:val="22"/>
        </w:rPr>
        <w:t xml:space="preserve">Alternative structures include:
- Revenue share: Both parties share Bitcoin revenue proportionally rather than paying a fixed power rate
- Operator mines directly: The operator owns the ASICs and takes full Bitcoin exposure
- Capital partner structure: An investor provides CapEx for ASICs and receives a revenue share while the operator provides the gas and infrastructure</w:t>
      </w:r>
    </w:p>
    <w:p>
      <w:pPr>
        <w:pBdr>
          <w:top w:val="single" w:color="D0D8E0" w:sz="3" w:space="6"/>
        </w:pBdr>
        <w:spacing w:before="160" w:after="0"/>
      </w:pPr>
      <w:r>
        <w:rPr>
          <w:rFonts w:ascii="Arial" w:cs="Arial" w:eastAsia="Arial" w:hAnsi="Arial"/>
          <w:b/>
          <w:bCs/>
          <w:color w:val="8C9BAA"/>
          <w:sz w:val="20"/>
          <w:szCs w:val="20"/>
        </w:rPr>
        <w:t xml:space="preserve">See also: </w:t>
      </w:r>
      <w:r>
        <w:rPr>
          <w:rFonts w:ascii="Arial" w:cs="Arial" w:eastAsia="Arial" w:hAnsi="Arial"/>
          <w:color w:val="1A3A5C"/>
          <w:sz w:val="20"/>
          <w:szCs w:val="20"/>
        </w:rPr>
        <w:t xml:space="preserve">On-Lease Bitcoin Mining  ·  </w:t>
      </w:r>
      <w:r>
        <w:rPr>
          <w:rFonts w:ascii="Arial" w:cs="Arial" w:eastAsia="Arial" w:hAnsi="Arial"/>
          <w:color w:val="1A3A5C"/>
          <w:sz w:val="20"/>
          <w:szCs w:val="20"/>
        </w:rPr>
        <w:t xml:space="preserve">Custody-First Bitcoin Payout  ·  </w:t>
      </w:r>
      <w:r>
        <w:rPr>
          <w:rFonts w:ascii="Arial" w:cs="Arial" w:eastAsia="Arial" w:hAnsi="Arial"/>
          <w:color w:val="1A3A5C"/>
          <w:sz w:val="20"/>
          <w:szCs w:val="20"/>
        </w:rPr>
        <w:t xml:space="preserve">Hashprice  ·  </w:t>
      </w:r>
      <w:r>
        <w:rPr>
          <w:rFonts w:ascii="Arial" w:cs="Arial" w:eastAsia="Arial" w:hAnsi="Arial"/>
          <w:color w:val="1A3A5C"/>
          <w:sz w:val="20"/>
          <w:szCs w:val="20"/>
        </w:rPr>
        <w:t xml:space="preserve">Gas-to-Hash</w:t>
      </w:r>
    </w:p>
    <w:p>
      <w:pPr>
        <w:pBdr>
          <w:bottom w:val="single" w:color="D0D8E0" w:sz="3" w:space="1"/>
        </w:pBdr>
        <w:spacing w:before="280" w:after="0"/>
      </w:pPr>
      <w:r>
        <w:t xml:space="preserve"/>
      </w:r>
    </w:p>
    <w:p>
      <w:pPr>
        <w:spacing w:before="200" w:after="0"/>
      </w:pPr>
      <w:r>
        <w:t xml:space="preserve"/>
      </w:r>
    </w:p>
    <w:p>
      <w:pPr>
        <w:spacing w:before="0" w:after="80"/>
      </w:pPr>
      <w:r>
        <w:rPr>
          <w:rFonts w:ascii="Arial" w:cs="Arial" w:eastAsia="Arial" w:hAnsi="Arial"/>
          <w:b/>
          <w:bCs/>
          <w:color w:val="E8822A"/>
          <w:sz w:val="16"/>
          <w:szCs w:val="16"/>
        </w:rPr>
        <w:t xml:space="preserve">BITCOIN MINING ECONOMICS</w:t>
      </w:r>
    </w:p>
    <w:p>
      <w:pPr>
        <w:pStyle w:val="Heading2"/>
        <w:pBdr>
          <w:bottom w:val="single" w:color="E8822A" w:sz="6" w:space="4"/>
        </w:pBdr>
        <w:spacing w:before="60" w:after="120"/>
      </w:pPr>
      <w:r>
        <w:rPr>
          <w:rFonts w:ascii="Arial" w:cs="Arial" w:eastAsia="Arial" w:hAnsi="Arial"/>
          <w:b/>
          <w:bCs/>
          <w:color w:val="1A3A5C"/>
          <w:sz w:val="36"/>
          <w:szCs w:val="36"/>
        </w:rPr>
        <w:t xml:space="preserve">Hashprice</w:t>
      </w:r>
    </w:p>
    <w:p>
      <w:pPr>
        <w:spacing w:before="60" w:after="120"/>
      </w:pPr>
      <w:r>
        <w:rPr>
          <w:rFonts w:ascii="Arial" w:cs="Arial" w:eastAsia="Arial" w:hAnsi="Arial"/>
          <w:b/>
          <w:bCs/>
          <w:color w:val="8C9BAA"/>
          <w:sz w:val="18"/>
          <w:szCs w:val="18"/>
        </w:rPr>
        <w:t xml:space="preserve">Audience: </w:t>
      </w:r>
      <w:r>
        <w:rPr>
          <w:rFonts w:ascii="Arial" w:cs="Arial" w:eastAsia="Arial" w:hAnsi="Arial"/>
          <w:color w:val="8C9BAA"/>
          <w:sz w:val="18"/>
          <w:szCs w:val="18"/>
        </w:rPr>
        <w:t xml:space="preserve">Miners, Investors</w:t>
      </w:r>
      <w:r>
        <w:rPr>
          <w:rFonts w:ascii="Arial" w:cs="Arial" w:eastAsia="Arial" w:hAnsi="Arial"/>
          <w:color w:val="D0D8E0"/>
          <w:sz w:val="18"/>
          <w:szCs w:val="18"/>
        </w:rPr>
        <w:t xml:space="preserve">   ·   </w:t>
      </w:r>
      <w:r>
        <w:rPr>
          <w:rFonts w:ascii="Arial" w:cs="Arial" w:eastAsia="Arial" w:hAnsi="Arial"/>
          <w:color w:val="D0D8E0"/>
          <w:sz w:val="18"/>
          <w:szCs w:val="18"/>
        </w:rPr>
        <w:t xml:space="preserve">G-9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822A" w:sz="3"/>
              <w:left w:val="single" w:color="E8822A" w:sz="12"/>
              <w:bottom w:val="none" w:color="FFFFFF" w:sz="0"/>
              <w:right w:val="none" w:color="FFFFFF" w:sz="0"/>
            </w:tcBorders>
            <w:shd w:fill="FDF6EF" w:val="clear"/>
            <w:tcMar>
              <w:top w:type="dxa" w:w="160"/>
              <w:left w:type="dxa" w:w="200"/>
              <w:bottom w:type="dxa" w:w="160"/>
              <w:right w:type="dxa" w:w="200"/>
            </w:tcMar>
          </w:tcPr>
          <w:p>
            <w:pPr>
              <w:spacing w:before="0" w:after="0"/>
            </w:pPr>
            <w:r>
              <w:rPr>
                <w:rFonts w:ascii="Arial" w:cs="Arial" w:eastAsia="Arial" w:hAnsi="Arial"/>
                <w:i/>
                <w:iCs/>
                <w:color w:val="1C2B3A"/>
                <w:sz w:val="22"/>
                <w:szCs w:val="22"/>
              </w:rPr>
              <w:t xml:space="preserve">Hashprice is the daily revenue generated per terahash per second (TH/s) of Bitcoin mining power. It is the fundamental unit of Bitcoin mining economics — the single number that determines whether a mining operation is profitable at a given electricity cost.</w:t>
            </w:r>
          </w:p>
        </w:tc>
      </w:tr>
    </w:tbl>
    <w:p>
      <w:pPr>
        <w:spacing w:before="100" w:after="0"/>
      </w:pPr>
      <w:r>
        <w:t xml:space="preserve"/>
      </w:r>
    </w:p>
    <w:p>
      <w:pPr>
        <w:spacing w:before="140" w:after="140"/>
      </w:pPr>
      <w:r>
        <w:rPr>
          <w:rFonts w:ascii="Arial" w:cs="Arial" w:eastAsia="Arial" w:hAnsi="Arial"/>
          <w:color w:val="1C2B3A"/>
          <w:sz w:val="22"/>
          <w:szCs w:val="22"/>
        </w:rPr>
        <w:t xml:space="preserve">Hashprice is calculated as:</w:t>
      </w:r>
    </w:p>
    <w:p>
      <w:pPr>
        <w:spacing w:before="140" w:after="140"/>
      </w:pPr>
      <w:r>
        <w:rPr>
          <w:rFonts w:ascii="Arial" w:cs="Arial" w:eastAsia="Arial" w:hAnsi="Arial"/>
          <w:color w:val="1C2B3A"/>
          <w:sz w:val="22"/>
          <w:szCs w:val="22"/>
        </w:rPr>
        <w:t xml:space="preserve">Hashprice ($/TH/day) = (Bitcoin Price × Block Subsidy × Blocks Per Day) / Network Hashrate</w:t>
      </w:r>
    </w:p>
    <w:p>
      <w:pPr>
        <w:spacing w:before="140" w:after="140"/>
      </w:pPr>
      <w:r>
        <w:rPr>
          <w:rFonts w:ascii="Arial" w:cs="Arial" w:eastAsia="Arial" w:hAnsi="Arial"/>
          <w:color w:val="1C2B3A"/>
          <w:sz w:val="22"/>
          <w:szCs w:val="22"/>
        </w:rPr>
        <w:t xml:space="preserve">In simpler terms: it represents the total Bitcoin revenue distributed to miners each day, divided by the total hashrate of the network.</w:t>
      </w:r>
    </w:p>
    <w:p>
      <w:pPr>
        <w:spacing w:before="140" w:after="140"/>
      </w:pPr>
      <w:r>
        <w:rPr>
          <w:rFonts w:ascii="Arial" w:cs="Arial" w:eastAsia="Arial" w:hAnsi="Arial"/>
          <w:color w:val="1C2B3A"/>
          <w:sz w:val="22"/>
          <w:szCs w:val="22"/>
        </w:rPr>
        <w:t xml:space="preserve">As of early 2026, hashprice has typically ranged from $0.04 to $0.12 per TH/day, depending on Bitcoin price and network difficulty. At $0.06/TH/day, a 100 PH/s mining operation earns approximately $6,000 per day in gross revenue.</w:t>
      </w:r>
    </w:p>
    <w:p>
      <w:pPr>
        <w:spacing w:before="140" w:after="140"/>
      </w:pPr>
      <w:r>
        <w:rPr>
          <w:rFonts w:ascii="Arial" w:cs="Arial" w:eastAsia="Arial" w:hAnsi="Arial"/>
          <w:color w:val="1C2B3A"/>
          <w:sz w:val="22"/>
          <w:szCs w:val="22"/>
        </w:rPr>
        <w:t xml:space="preserve">Why hashprice matters for gas-to-hash deployments:</w:t>
      </w:r>
    </w:p>
    <w:p>
      <w:pPr>
        <w:spacing w:before="140" w:after="140"/>
      </w:pPr>
      <w:r>
        <w:rPr>
          <w:rFonts w:ascii="Arial" w:cs="Arial" w:eastAsia="Arial" w:hAnsi="Arial"/>
          <w:color w:val="1C2B3A"/>
          <w:sz w:val="22"/>
          <w:szCs w:val="22"/>
        </w:rPr>
        <w:t xml:space="preserve">The breakeven electricity cost for a given ASIC model can be calculated directly from hashprice:</w:t>
      </w:r>
    </w:p>
    <w:p>
      <w:pPr>
        <w:spacing w:before="140" w:after="140"/>
      </w:pPr>
      <w:r>
        <w:rPr>
          <w:rFonts w:ascii="Arial" w:cs="Arial" w:eastAsia="Arial" w:hAnsi="Arial"/>
          <w:color w:val="1C2B3A"/>
          <w:sz w:val="22"/>
          <w:szCs w:val="22"/>
        </w:rPr>
        <w:t xml:space="preserve">Breakeven Power Cost (¢/kWh) = Hashprice / ASIC Efficiency (J/TH) × 2.4</w:t>
      </w:r>
    </w:p>
    <w:p>
      <w:pPr>
        <w:spacing w:before="140" w:after="140"/>
      </w:pPr>
      <w:r>
        <w:rPr>
          <w:rFonts w:ascii="Arial" w:cs="Arial" w:eastAsia="Arial" w:hAnsi="Arial"/>
          <w:color w:val="1C2B3A"/>
          <w:sz w:val="22"/>
          <w:szCs w:val="22"/>
        </w:rPr>
        <w:t xml:space="preserve">At hashprice of $0.06/TH/day and an ASIC efficiency of 25 J/TH, the breakeven power cost is approximately $0.058/kWh. Operations with all-in power costs below that number are profitable; those above it are not.</w:t>
      </w:r>
    </w:p>
    <w:p>
      <w:pPr>
        <w:spacing w:before="140" w:after="140"/>
      </w:pPr>
      <w:r>
        <w:rPr>
          <w:rFonts w:ascii="Arial" w:cs="Arial" w:eastAsia="Arial" w:hAnsi="Arial"/>
          <w:color w:val="1C2B3A"/>
          <w:sz w:val="22"/>
          <w:szCs w:val="22"/>
        </w:rPr>
        <w:t xml:space="preserve">The key advantage of gas-to-hash deployments is that wellhead gas frequently enables all-in power costs of $0.02–$0.04/kWh — well below the breakeven point even at low hashprice environments. This structural cost advantage is what makes on-lease mining economically durable through Bitcoin market cycles.</w:t>
      </w:r>
    </w:p>
    <w:p>
      <w:pPr>
        <w:pBdr>
          <w:top w:val="single" w:color="D0D8E0" w:sz="3" w:space="6"/>
        </w:pBdr>
        <w:spacing w:before="160" w:after="0"/>
      </w:pPr>
      <w:r>
        <w:rPr>
          <w:rFonts w:ascii="Arial" w:cs="Arial" w:eastAsia="Arial" w:hAnsi="Arial"/>
          <w:b/>
          <w:bCs/>
          <w:color w:val="8C9BAA"/>
          <w:sz w:val="20"/>
          <w:szCs w:val="20"/>
        </w:rPr>
        <w:t xml:space="preserve">See also: </w:t>
      </w:r>
      <w:r>
        <w:rPr>
          <w:rFonts w:ascii="Arial" w:cs="Arial" w:eastAsia="Arial" w:hAnsi="Arial"/>
          <w:color w:val="1A3A5C"/>
          <w:sz w:val="20"/>
          <w:szCs w:val="20"/>
        </w:rPr>
        <w:t xml:space="preserve">Gas-to-Hash  ·  </w:t>
      </w:r>
      <w:r>
        <w:rPr>
          <w:rFonts w:ascii="Arial" w:cs="Arial" w:eastAsia="Arial" w:hAnsi="Arial"/>
          <w:color w:val="1A3A5C"/>
          <w:sz w:val="20"/>
          <w:szCs w:val="20"/>
        </w:rPr>
        <w:t xml:space="preserve">On-Lease Bitcoin Mining  ·  </w:t>
      </w:r>
      <w:r>
        <w:rPr>
          <w:rFonts w:ascii="Arial" w:cs="Arial" w:eastAsia="Arial" w:hAnsi="Arial"/>
          <w:color w:val="1A3A5C"/>
          <w:sz w:val="20"/>
          <w:szCs w:val="20"/>
        </w:rPr>
        <w:t xml:space="preserve">Hosting Agreement</w:t>
      </w:r>
    </w:p>
    <w:p>
      <w:pPr>
        <w:pBdr>
          <w:bottom w:val="single" w:color="D0D8E0" w:sz="3" w:space="1"/>
        </w:pBdr>
        <w:spacing w:before="280" w:after="0"/>
      </w:pPr>
      <w:r>
        <w:t xml:space="preserve"/>
      </w:r>
    </w:p>
    <w:p>
      <w:pPr>
        <w:spacing w:before="200" w:after="0"/>
      </w:pPr>
      <w:r>
        <w:t xml:space="preserve"/>
      </w:r>
    </w:p>
    <w:p>
      <w:pPr>
        <w:spacing w:before="0" w:after="80"/>
      </w:pPr>
      <w:r>
        <w:rPr>
          <w:rFonts w:ascii="Arial" w:cs="Arial" w:eastAsia="Arial" w:hAnsi="Arial"/>
          <w:b/>
          <w:bCs/>
          <w:color w:val="E8822A"/>
          <w:sz w:val="16"/>
          <w:szCs w:val="16"/>
        </w:rPr>
        <w:t xml:space="preserve">DEAL STRUCTURES</w:t>
      </w:r>
    </w:p>
    <w:p>
      <w:pPr>
        <w:pStyle w:val="Heading2"/>
        <w:pBdr>
          <w:bottom w:val="single" w:color="E8822A" w:sz="6" w:space="4"/>
        </w:pBdr>
        <w:spacing w:before="60" w:after="120"/>
      </w:pPr>
      <w:r>
        <w:rPr>
          <w:rFonts w:ascii="Arial" w:cs="Arial" w:eastAsia="Arial" w:hAnsi="Arial"/>
          <w:b/>
          <w:bCs/>
          <w:color w:val="1A3A5C"/>
          <w:sz w:val="36"/>
          <w:szCs w:val="36"/>
        </w:rPr>
        <w:t xml:space="preserve">Custody-First Bitcoin Payout</w:t>
      </w:r>
    </w:p>
    <w:p>
      <w:pPr>
        <w:spacing w:before="60" w:after="120"/>
      </w:pPr>
      <w:r>
        <w:rPr>
          <w:rFonts w:ascii="Arial" w:cs="Arial" w:eastAsia="Arial" w:hAnsi="Arial"/>
          <w:b/>
          <w:bCs/>
          <w:color w:val="8C9BAA"/>
          <w:sz w:val="18"/>
          <w:szCs w:val="18"/>
        </w:rPr>
        <w:t xml:space="preserve">Audience: </w:t>
      </w:r>
      <w:r>
        <w:rPr>
          <w:rFonts w:ascii="Arial" w:cs="Arial" w:eastAsia="Arial" w:hAnsi="Arial"/>
          <w:color w:val="8C9BAA"/>
          <w:sz w:val="18"/>
          <w:szCs w:val="18"/>
        </w:rPr>
        <w:t xml:space="preserve">Investors, Operators</w:t>
      </w:r>
      <w:r>
        <w:rPr>
          <w:rFonts w:ascii="Arial" w:cs="Arial" w:eastAsia="Arial" w:hAnsi="Arial"/>
          <w:color w:val="D0D8E0"/>
          <w:sz w:val="18"/>
          <w:szCs w:val="18"/>
        </w:rPr>
        <w:t xml:space="preserve">   ·   </w:t>
      </w:r>
      <w:r>
        <w:rPr>
          <w:rFonts w:ascii="Arial" w:cs="Arial" w:eastAsia="Arial" w:hAnsi="Arial"/>
          <w:color w:val="D0D8E0"/>
          <w:sz w:val="18"/>
          <w:szCs w:val="18"/>
        </w:rPr>
        <w:t xml:space="preserve">G-10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822A" w:sz="3"/>
              <w:left w:val="single" w:color="E8822A" w:sz="12"/>
              <w:bottom w:val="none" w:color="FFFFFF" w:sz="0"/>
              <w:right w:val="none" w:color="FFFFFF" w:sz="0"/>
            </w:tcBorders>
            <w:shd w:fill="FDF6EF" w:val="clear"/>
            <w:tcMar>
              <w:top w:type="dxa" w:w="160"/>
              <w:left w:type="dxa" w:w="200"/>
              <w:bottom w:type="dxa" w:w="160"/>
              <w:right w:type="dxa" w:w="200"/>
            </w:tcMar>
          </w:tcPr>
          <w:p>
            <w:pPr>
              <w:spacing w:before="0" w:after="0"/>
            </w:pPr>
            <w:r>
              <w:rPr>
                <w:rFonts w:ascii="Arial" w:cs="Arial" w:eastAsia="Arial" w:hAnsi="Arial"/>
                <w:i/>
                <w:iCs/>
                <w:color w:val="1C2B3A"/>
                <w:sz w:val="22"/>
                <w:szCs w:val="22"/>
              </w:rPr>
              <w:t xml:space="preserve">Custody-first is a Bitcoin payout structure in which the recipient — an investor, operator, or capital partner — receives Bitcoin directly to their own self-custody wallet before any other distribution or deduction occurs. No intermediary holds the Bitcoin on the recipient's behalf.</w:t>
            </w:r>
          </w:p>
        </w:tc>
      </w:tr>
    </w:tbl>
    <w:p>
      <w:pPr>
        <w:spacing w:before="100" w:after="0"/>
      </w:pPr>
      <w:r>
        <w:t xml:space="preserve"/>
      </w:r>
    </w:p>
    <w:p>
      <w:pPr>
        <w:spacing w:before="140" w:after="140"/>
      </w:pPr>
      <w:r>
        <w:rPr>
          <w:rFonts w:ascii="Arial" w:cs="Arial" w:eastAsia="Arial" w:hAnsi="Arial"/>
          <w:color w:val="1C2B3A"/>
          <w:sz w:val="22"/>
          <w:szCs w:val="22"/>
        </w:rPr>
        <w:t xml:space="preserve">In a custody-first structure, the mining pool pays out directly to the designated wallet address controlled by the recipient. This is distinct from arrangements in which an operator or mining company receives all Bitcoin into their own account and then makes distributions — creating a counterparty custody risk during the period between mining and distribution.</w:t>
      </w:r>
    </w:p>
    <w:p>
      <w:pPr>
        <w:spacing w:before="140" w:after="140"/>
      </w:pPr>
      <w:r>
        <w:rPr>
          <w:rFonts w:ascii="Arial" w:cs="Arial" w:eastAsia="Arial" w:hAnsi="Arial"/>
          <w:color w:val="1C2B3A"/>
          <w:sz w:val="22"/>
          <w:szCs w:val="22"/>
        </w:rPr>
        <w:t xml:space="preserve">Why custody-first matters for institutional investors and family offices:</w:t>
      </w:r>
    </w:p>
    <w:p>
      <w:pPr>
        <w:spacing w:before="140" w:after="140"/>
      </w:pPr>
      <w:r>
        <w:rPr>
          <w:rFonts w:ascii="Arial" w:cs="Arial" w:eastAsia="Arial" w:hAnsi="Arial"/>
          <w:color w:val="1C2B3A"/>
          <w:sz w:val="22"/>
          <w:szCs w:val="22"/>
        </w:rPr>
        <w:t xml:space="preserve">Bitcoin's value proposition for institutional capital is often tied to its qualities as a hard asset with no counterparty risk. If a capital partner's Bitcoin is held by an intermediary at any stage — even briefly — that party has counterparty exposure to the intermediary's solvency, legal status, and operational integrity. The custody-first structure eliminates that exposure.</w:t>
      </w:r>
    </w:p>
    <w:p>
      <w:pPr>
        <w:spacing w:before="140" w:after="140"/>
      </w:pPr>
      <w:r>
        <w:rPr>
          <w:rFonts w:ascii="Arial" w:cs="Arial" w:eastAsia="Arial" w:hAnsi="Arial"/>
          <w:color w:val="1C2B3A"/>
          <w:sz w:val="22"/>
          <w:szCs w:val="22"/>
        </w:rPr>
        <w:t xml:space="preserve">For operators who want USD revenue only: custody-first payout does not require the operator to hold Bitcoin. If the operator prefers cash, a capital partner or miner can receive the Bitcoin directly to their own custody and settle with the operator in USD under a separate commercial arrangement. The operator never takes BTC onto their balance sheet.</w:t>
      </w:r>
    </w:p>
    <w:p>
      <w:pPr>
        <w:spacing w:before="140" w:after="140"/>
      </w:pPr>
      <w:r>
        <w:rPr>
          <w:rFonts w:ascii="Arial" w:cs="Arial" w:eastAsia="Arial" w:hAnsi="Arial"/>
          <w:color w:val="1C2B3A"/>
          <w:sz w:val="22"/>
          <w:szCs w:val="22"/>
        </w:rPr>
        <w:t xml:space="preserve">For investors evaluating gas-to-hash deployments, the presence or absence of a custody-first payout structure is one of the clearest signals of whether the operator's commercial structure is designed with investor protections in mind.</w:t>
      </w:r>
    </w:p>
    <w:p>
      <w:pPr>
        <w:pBdr>
          <w:top w:val="single" w:color="D0D8E0" w:sz="3" w:space="6"/>
        </w:pBdr>
        <w:spacing w:before="160" w:after="0"/>
      </w:pPr>
      <w:r>
        <w:rPr>
          <w:rFonts w:ascii="Arial" w:cs="Arial" w:eastAsia="Arial" w:hAnsi="Arial"/>
          <w:b/>
          <w:bCs/>
          <w:color w:val="8C9BAA"/>
          <w:sz w:val="20"/>
          <w:szCs w:val="20"/>
        </w:rPr>
        <w:t xml:space="preserve">See also: </w:t>
      </w:r>
      <w:r>
        <w:rPr>
          <w:rFonts w:ascii="Arial" w:cs="Arial" w:eastAsia="Arial" w:hAnsi="Arial"/>
          <w:color w:val="1A3A5C"/>
          <w:sz w:val="20"/>
          <w:szCs w:val="20"/>
        </w:rPr>
        <w:t xml:space="preserve">Hosting Agreement  ·  </w:t>
      </w:r>
      <w:r>
        <w:rPr>
          <w:rFonts w:ascii="Arial" w:cs="Arial" w:eastAsia="Arial" w:hAnsi="Arial"/>
          <w:color w:val="1A3A5C"/>
          <w:sz w:val="20"/>
          <w:szCs w:val="20"/>
        </w:rPr>
        <w:t xml:space="preserve">Hashprice  ·  </w:t>
      </w:r>
      <w:r>
        <w:rPr>
          <w:rFonts w:ascii="Arial" w:cs="Arial" w:eastAsia="Arial" w:hAnsi="Arial"/>
          <w:color w:val="1A3A5C"/>
          <w:sz w:val="20"/>
          <w:szCs w:val="20"/>
        </w:rPr>
        <w:t xml:space="preserve">Gas-to-Hash  ·  </w:t>
      </w:r>
      <w:r>
        <w:rPr>
          <w:rFonts w:ascii="Arial" w:cs="Arial" w:eastAsia="Arial" w:hAnsi="Arial"/>
          <w:color w:val="1A3A5C"/>
          <w:sz w:val="20"/>
          <w:szCs w:val="20"/>
        </w:rPr>
        <w:t xml:space="preserve">On-Lease Bitcoin Mining</w:t>
      </w:r>
    </w:p>
    <w:p>
      <w:pPr>
        <w:spacing w:before="400" w:after="0"/>
      </w:pPr>
      <w:r>
        <w:t xml:space="preserve"/>
      </w:r>
    </w:p>
    <w:p>
      <w:pPr>
        <w:pBdr>
          <w:bottom w:val="single" w:color="E8822A" w:sz="6" w:space="1"/>
        </w:pBdr>
        <w:spacing w:before="0" w:after="100"/>
      </w:pPr>
      <w:r>
        <w:rPr>
          <w:rFonts w:ascii="Arial" w:cs="Arial" w:eastAsia="Arial" w:hAnsi="Arial"/>
          <w:b/>
          <w:bCs/>
          <w:color w:val="1A3A5C"/>
          <w:sz w:val="28"/>
          <w:szCs w:val="28"/>
        </w:rPr>
        <w:t xml:space="preserve">About MCF.Digital</w:t>
      </w:r>
    </w:p>
    <w:p>
      <w:pPr>
        <w:spacing w:before="120" w:after="80"/>
      </w:pPr>
      <w:r>
        <w:rPr>
          <w:rFonts w:ascii="Arial" w:cs="Arial" w:eastAsia="Arial" w:hAnsi="Arial"/>
          <w:color w:val="1C2B3A"/>
          <w:sz w:val="22"/>
          <w:szCs w:val="22"/>
        </w:rPr>
        <w:t xml:space="preserve">MCF.digital designs, deploys, and operates on-lease Bitcoin mining systems at oil and gas production sites across the United States. We work with flare gas operators, stranded gas producers, and capital partners to convert wasted wellhead gas into productive Bitcoin hashrate.</w:t>
      </w:r>
    </w:p>
    <w:p>
      <w:pPr>
        <w:spacing w:before="80" w:after="80"/>
      </w:pPr>
      <w:r>
        <w:rPr>
          <w:rFonts w:ascii="Arial" w:cs="Arial" w:eastAsia="Arial" w:hAnsi="Arial"/>
          <w:color w:val="8C9BAA"/>
          <w:sz w:val="20"/>
          <w:szCs w:val="20"/>
        </w:rPr>
        <w:t xml:space="preserve">For operator inquiries: mcf.digital/flare-site-operators</w:t>
      </w:r>
    </w:p>
    <w:p>
      <w:pPr>
        <w:spacing w:before="0" w:after="80"/>
      </w:pPr>
      <w:r>
        <w:rPr>
          <w:rFonts w:ascii="Arial" w:cs="Arial" w:eastAsia="Arial" w:hAnsi="Arial"/>
          <w:color w:val="8C9BAA"/>
          <w:sz w:val="20"/>
          <w:szCs w:val="20"/>
        </w:rPr>
        <w:t xml:space="preserve">For investor inquiries: mcf.digital/hnwi-family-offices</w:t>
      </w:r>
    </w:p>
    <w:p>
      <w:pPr>
        <w:spacing w:before="0" w:after="80"/>
      </w:pPr>
      <w:r>
        <w:rPr>
          <w:rFonts w:ascii="Arial" w:cs="Arial" w:eastAsia="Arial" w:hAnsi="Arial"/>
          <w:color w:val="8C9BAA"/>
          <w:sz w:val="20"/>
          <w:szCs w:val="20"/>
        </w:rPr>
        <w:t xml:space="preserve">For Bitcoin miners: mcf.digital/for-bitcoin-miners</w:t>
      </w:r>
    </w:p>
    <w:p>
      <w:pPr>
        <w:spacing w:before="0" w:after="0"/>
      </w:pPr>
      <w:r>
        <w:br w:type="page"/>
      </w:r>
    </w:p>
    <w:p>
      <w:pPr>
        <w:spacing w:before="200" w:after="60"/>
      </w:pPr>
      <w:r>
        <w:rPr>
          <w:rFonts w:ascii="Arial" w:cs="Arial" w:eastAsia="Arial" w:hAnsi="Arial"/>
          <w:b/>
          <w:bCs/>
          <w:color w:val="E8822A"/>
          <w:sz w:val="20"/>
          <w:szCs w:val="20"/>
        </w:rPr>
        <w:t xml:space="preserve">MCF.DIGITAL</w:t>
      </w:r>
    </w:p>
    <w:p>
      <w:pPr>
        <w:pBdr>
          <w:bottom w:val="single" w:color="1A3A5C" w:sz="18" w:space="1"/>
        </w:pBdr>
        <w:spacing w:before="0" w:after="160"/>
      </w:pPr>
      <w:r>
        <w:rPr>
          <w:rFonts w:ascii="Arial" w:cs="Arial" w:eastAsia="Arial" w:hAnsi="Arial"/>
          <w:b/>
          <w:bCs/>
          <w:color w:val="1A3A5C"/>
          <w:sz w:val="52"/>
          <w:szCs w:val="52"/>
        </w:rPr>
        <w:t xml:space="preserve">Webmaster Implementation Guide</w:t>
      </w:r>
    </w:p>
    <w:p>
      <w:pPr>
        <w:spacing w:before="0" w:after="400"/>
      </w:pPr>
      <w:r>
        <w:rPr>
          <w:rFonts w:ascii="Arial" w:cs="Arial" w:eastAsia="Arial" w:hAnsi="Arial"/>
          <w:color w:val="8C9BAA"/>
          <w:sz w:val="22"/>
          <w:szCs w:val="22"/>
        </w:rPr>
        <w:t xml:space="preserve">Step-by-step instructions for publishing the MCF.digital glossary on the website. Follow these steps in order. All 12 steps must be completed for the glossary to deliver its full SEO and AEO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1</w:t>
            </w:r>
          </w:p>
        </w:tc>
        <w:tc>
          <w:tcPr>
            <w:tcW w:type="dxa" w:w="8660"/>
            <w:tcBorders>
              <w:top w:val="none" w:color="FFFFFF" w:sz="0"/>
              <w:left w:val="none" w:color="FFFFFF" w:sz="0"/>
              <w:bottom w:val="none" w:color="FFFFFF" w:sz="0"/>
              <w:right w:val="none" w:color="FFFFFF" w:sz="0"/>
            </w:tcBorders>
            <w:shd w:fill="EDF1F5" w:val="clear"/>
            <w:tcMar>
              <w:top w:type="dxa" w:w="80"/>
              <w:left w:type="dxa" w:w="200"/>
              <w:bottom w:type="dxa" w:w="80"/>
              <w:right w:type="dxa" w:w="120"/>
            </w:tcMar>
          </w:tcPr>
          <w:p>
            <w:r>
              <w:rPr>
                <w:rFonts w:ascii="Arial" w:cs="Arial" w:eastAsia="Arial" w:hAnsi="Arial"/>
                <w:b/>
                <w:bCs/>
                <w:color w:val="1A3A5C"/>
                <w:sz w:val="24"/>
                <w:szCs w:val="24"/>
              </w:rPr>
              <w:t xml:space="preserve">Create the /glossary/ index page</w:t>
            </w:r>
          </w:p>
        </w:tc>
      </w:tr>
    </w:tbl>
    <w:p>
      <w:pPr>
        <w:spacing w:before="120" w:after="80"/>
      </w:pPr>
      <w:r>
        <w:rPr>
          <w:rFonts w:ascii="Arial" w:cs="Arial" w:eastAsia="Arial" w:hAnsi="Arial"/>
          <w:color w:val="1C2B3A"/>
          <w:sz w:val="22"/>
          <w:szCs w:val="22"/>
        </w:rPr>
        <w:t xml:space="preserve">Add a new page at the URL /glossary/ (or /resources/glossary/ if that fits your site structure better). This is the parent page for all 10 term pages. It does not need to rank for any specific keyword — its purpose is navigation and internal linking. Add a one-line description for each term and link to its individual page. Keep the page lightweight: a heading, a short paragraph explaining what the glossary covers, and the list of terms.</w:t>
      </w:r>
    </w:p>
    <w:p>
      <w:pPr>
        <w:spacing w:before="80" w:after="0"/>
      </w:pPr>
      <w:r>
        <w:t xml:space="preserve"/>
      </w:r>
    </w:p>
    <w:p>
      <w:pPr>
        <w:pBdr>
          <w:bottom w:val="single" w:color="D0D8E0" w:sz="3" w:space="1"/>
        </w:pBdr>
        <w:spacing w:before="100" w:after="0"/>
      </w:pPr>
      <w:r>
        <w:t xml:space="preserve"/>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2</w:t>
            </w:r>
          </w:p>
        </w:tc>
        <w:tc>
          <w:tcPr>
            <w:tcW w:type="dxa" w:w="8660"/>
            <w:tcBorders>
              <w:top w:val="none" w:color="FFFFFF" w:sz="0"/>
              <w:left w:val="none" w:color="FFFFFF" w:sz="0"/>
              <w:bottom w:val="none" w:color="FFFFFF" w:sz="0"/>
              <w:right w:val="none" w:color="FFFFFF" w:sz="0"/>
            </w:tcBorders>
            <w:shd w:fill="EDF1F5" w:val="clear"/>
            <w:tcMar>
              <w:top w:type="dxa" w:w="80"/>
              <w:left w:type="dxa" w:w="200"/>
              <w:bottom w:type="dxa" w:w="80"/>
              <w:right w:type="dxa" w:w="120"/>
            </w:tcMar>
          </w:tcPr>
          <w:p>
            <w:r>
              <w:rPr>
                <w:rFonts w:ascii="Arial" w:cs="Arial" w:eastAsia="Arial" w:hAnsi="Arial"/>
                <w:b/>
                <w:bCs/>
                <w:color w:val="1A3A5C"/>
                <w:sz w:val="24"/>
                <w:szCs w:val="24"/>
              </w:rPr>
              <w:t xml:space="preserve">Create one page per term — 10 pages total</w:t>
            </w:r>
          </w:p>
        </w:tc>
      </w:tr>
    </w:tbl>
    <w:p>
      <w:pPr>
        <w:spacing w:before="120" w:after="80"/>
      </w:pPr>
      <w:r>
        <w:rPr>
          <w:rFonts w:ascii="Arial" w:cs="Arial" w:eastAsia="Arial" w:hAnsi="Arial"/>
          <w:color w:val="1C2B3A"/>
          <w:sz w:val="22"/>
          <w:szCs w:val="22"/>
        </w:rPr>
        <w:t xml:space="preserve">Each of the 10 glossary terms requires its own dedicated URL. Do not publish all terms on a single page. Individual pages are required for each term to rank independently and to be cited by AI tools as a discrete source.</w:t>
      </w:r>
    </w:p>
    <w:p>
      <w:pPr>
        <w:spacing w:before="40" w:after="40"/>
        <w:ind w:left="360" w:hanging="220"/>
      </w:pPr>
      <w:r>
        <w:rPr>
          <w:rFonts w:ascii="Arial" w:cs="Arial" w:eastAsia="Arial" w:hAnsi="Arial"/>
          <w:b/>
          <w:bCs/>
          <w:color w:val="E8822A"/>
          <w:sz w:val="20"/>
          <w:szCs w:val="20"/>
        </w:rPr>
        <w:t xml:space="preserve">–  </w:t>
      </w:r>
      <w:r>
        <w:rPr>
          <w:rFonts w:ascii="Arial" w:cs="Arial" w:eastAsia="Arial" w:hAnsi="Arial"/>
          <w:color w:val="1C2B3A"/>
          <w:sz w:val="20"/>
          <w:szCs w:val="20"/>
        </w:rPr>
        <w:t xml:space="preserve">/glossary/what-is-on-lease-bitcoin-mining  (G-1)</w:t>
      </w:r>
    </w:p>
    <w:p>
      <w:pPr>
        <w:spacing w:before="40" w:after="40"/>
        <w:ind w:left="360" w:hanging="220"/>
      </w:pPr>
      <w:r>
        <w:rPr>
          <w:rFonts w:ascii="Arial" w:cs="Arial" w:eastAsia="Arial" w:hAnsi="Arial"/>
          <w:b/>
          <w:bCs/>
          <w:color w:val="E8822A"/>
          <w:sz w:val="20"/>
          <w:szCs w:val="20"/>
        </w:rPr>
        <w:t xml:space="preserve">–  </w:t>
      </w:r>
      <w:r>
        <w:rPr>
          <w:rFonts w:ascii="Arial" w:cs="Arial" w:eastAsia="Arial" w:hAnsi="Arial"/>
          <w:color w:val="1C2B3A"/>
          <w:sz w:val="20"/>
          <w:szCs w:val="20"/>
        </w:rPr>
        <w:t xml:space="preserve">/glossary/what-is-flare-gas  (G-2)</w:t>
      </w:r>
    </w:p>
    <w:p>
      <w:pPr>
        <w:spacing w:before="40" w:after="40"/>
        <w:ind w:left="360" w:hanging="220"/>
      </w:pPr>
      <w:r>
        <w:rPr>
          <w:rFonts w:ascii="Arial" w:cs="Arial" w:eastAsia="Arial" w:hAnsi="Arial"/>
          <w:b/>
          <w:bCs/>
          <w:color w:val="E8822A"/>
          <w:sz w:val="20"/>
          <w:szCs w:val="20"/>
        </w:rPr>
        <w:t xml:space="preserve">–  </w:t>
      </w:r>
      <w:r>
        <w:rPr>
          <w:rFonts w:ascii="Arial" w:cs="Arial" w:eastAsia="Arial" w:hAnsi="Arial"/>
          <w:color w:val="1C2B3A"/>
          <w:sz w:val="20"/>
          <w:szCs w:val="20"/>
        </w:rPr>
        <w:t xml:space="preserve">/glossary/what-is-gas-netback  (G-3)</w:t>
      </w:r>
    </w:p>
    <w:p>
      <w:pPr>
        <w:spacing w:before="40" w:after="40"/>
        <w:ind w:left="360" w:hanging="220"/>
      </w:pPr>
      <w:r>
        <w:rPr>
          <w:rFonts w:ascii="Arial" w:cs="Arial" w:eastAsia="Arial" w:hAnsi="Arial"/>
          <w:b/>
          <w:bCs/>
          <w:color w:val="E8822A"/>
          <w:sz w:val="20"/>
          <w:szCs w:val="20"/>
        </w:rPr>
        <w:t xml:space="preserve">–  </w:t>
      </w:r>
      <w:r>
        <w:rPr>
          <w:rFonts w:ascii="Arial" w:cs="Arial" w:eastAsia="Arial" w:hAnsi="Arial"/>
          <w:color w:val="1C2B3A"/>
          <w:sz w:val="20"/>
          <w:szCs w:val="20"/>
        </w:rPr>
        <w:t xml:space="preserve">/glossary/what-is-methane-number  (G-4)</w:t>
      </w:r>
    </w:p>
    <w:p>
      <w:pPr>
        <w:spacing w:before="40" w:after="40"/>
        <w:ind w:left="360" w:hanging="220"/>
      </w:pPr>
      <w:r>
        <w:rPr>
          <w:rFonts w:ascii="Arial" w:cs="Arial" w:eastAsia="Arial" w:hAnsi="Arial"/>
          <w:b/>
          <w:bCs/>
          <w:color w:val="E8822A"/>
          <w:sz w:val="20"/>
          <w:szCs w:val="20"/>
        </w:rPr>
        <w:t xml:space="preserve">–  </w:t>
      </w:r>
      <w:r>
        <w:rPr>
          <w:rFonts w:ascii="Arial" w:cs="Arial" w:eastAsia="Arial" w:hAnsi="Arial"/>
          <w:color w:val="1C2B3A"/>
          <w:sz w:val="20"/>
          <w:szCs w:val="20"/>
        </w:rPr>
        <w:t xml:space="preserve">/glossary/what-is-a-genset-derate  (G-5)</w:t>
      </w:r>
    </w:p>
    <w:p>
      <w:pPr>
        <w:spacing w:before="40" w:after="40"/>
        <w:ind w:left="360" w:hanging="220"/>
      </w:pPr>
      <w:r>
        <w:rPr>
          <w:rFonts w:ascii="Arial" w:cs="Arial" w:eastAsia="Arial" w:hAnsi="Arial"/>
          <w:b/>
          <w:bCs/>
          <w:color w:val="E8822A"/>
          <w:sz w:val="20"/>
          <w:szCs w:val="20"/>
        </w:rPr>
        <w:t xml:space="preserve">–  </w:t>
      </w:r>
      <w:r>
        <w:rPr>
          <w:rFonts w:ascii="Arial" w:cs="Arial" w:eastAsia="Arial" w:hAnsi="Arial"/>
          <w:color w:val="1C2B3A"/>
          <w:sz w:val="20"/>
          <w:szCs w:val="20"/>
        </w:rPr>
        <w:t xml:space="preserve">/glossary/gas-to-hash  (G-6)</w:t>
      </w:r>
    </w:p>
    <w:p>
      <w:pPr>
        <w:spacing w:before="40" w:after="40"/>
        <w:ind w:left="360" w:hanging="220"/>
      </w:pPr>
      <w:r>
        <w:rPr>
          <w:rFonts w:ascii="Arial" w:cs="Arial" w:eastAsia="Arial" w:hAnsi="Arial"/>
          <w:b/>
          <w:bCs/>
          <w:color w:val="E8822A"/>
          <w:sz w:val="20"/>
          <w:szCs w:val="20"/>
        </w:rPr>
        <w:t xml:space="preserve">–  </w:t>
      </w:r>
      <w:r>
        <w:rPr>
          <w:rFonts w:ascii="Arial" w:cs="Arial" w:eastAsia="Arial" w:hAnsi="Arial"/>
          <w:color w:val="1C2B3A"/>
          <w:sz w:val="20"/>
          <w:szCs w:val="20"/>
        </w:rPr>
        <w:t xml:space="preserve">/glossary/stranded-gas-vs-flare-gas  (G-7)</w:t>
      </w:r>
    </w:p>
    <w:p>
      <w:pPr>
        <w:spacing w:before="40" w:after="40"/>
        <w:ind w:left="360" w:hanging="220"/>
      </w:pPr>
      <w:r>
        <w:rPr>
          <w:rFonts w:ascii="Arial" w:cs="Arial" w:eastAsia="Arial" w:hAnsi="Arial"/>
          <w:b/>
          <w:bCs/>
          <w:color w:val="E8822A"/>
          <w:sz w:val="20"/>
          <w:szCs w:val="20"/>
        </w:rPr>
        <w:t xml:space="preserve">–  </w:t>
      </w:r>
      <w:r>
        <w:rPr>
          <w:rFonts w:ascii="Arial" w:cs="Arial" w:eastAsia="Arial" w:hAnsi="Arial"/>
          <w:color w:val="1C2B3A"/>
          <w:sz w:val="20"/>
          <w:szCs w:val="20"/>
        </w:rPr>
        <w:t xml:space="preserve">/glossary/what-is-a-hosting-agreement  (G-8)</w:t>
      </w:r>
    </w:p>
    <w:p>
      <w:pPr>
        <w:spacing w:before="40" w:after="40"/>
        <w:ind w:left="360" w:hanging="220"/>
      </w:pPr>
      <w:r>
        <w:rPr>
          <w:rFonts w:ascii="Arial" w:cs="Arial" w:eastAsia="Arial" w:hAnsi="Arial"/>
          <w:b/>
          <w:bCs/>
          <w:color w:val="E8822A"/>
          <w:sz w:val="20"/>
          <w:szCs w:val="20"/>
        </w:rPr>
        <w:t xml:space="preserve">–  </w:t>
      </w:r>
      <w:r>
        <w:rPr>
          <w:rFonts w:ascii="Arial" w:cs="Arial" w:eastAsia="Arial" w:hAnsi="Arial"/>
          <w:color w:val="1C2B3A"/>
          <w:sz w:val="20"/>
          <w:szCs w:val="20"/>
        </w:rPr>
        <w:t xml:space="preserve">/glossary/what-is-hashprice  (G-9)</w:t>
      </w:r>
    </w:p>
    <w:p>
      <w:pPr>
        <w:spacing w:before="40" w:after="40"/>
        <w:ind w:left="360" w:hanging="220"/>
      </w:pPr>
      <w:r>
        <w:rPr>
          <w:rFonts w:ascii="Arial" w:cs="Arial" w:eastAsia="Arial" w:hAnsi="Arial"/>
          <w:b/>
          <w:bCs/>
          <w:color w:val="E8822A"/>
          <w:sz w:val="20"/>
          <w:szCs w:val="20"/>
        </w:rPr>
        <w:t xml:space="preserve">–  </w:t>
      </w:r>
      <w:r>
        <w:rPr>
          <w:rFonts w:ascii="Arial" w:cs="Arial" w:eastAsia="Arial" w:hAnsi="Arial"/>
          <w:color w:val="1C2B3A"/>
          <w:sz w:val="20"/>
          <w:szCs w:val="20"/>
        </w:rPr>
        <w:t xml:space="preserve">/glossary/custody-first-bitcoin-payout  (G-10)</w:t>
      </w:r>
    </w:p>
    <w:p>
      <w:pPr>
        <w:spacing w:before="80" w:after="0"/>
      </w:pPr>
      <w:r>
        <w:t xml:space="preserve"/>
      </w:r>
    </w:p>
    <w:p>
      <w:pPr>
        <w:pBdr>
          <w:bottom w:val="single" w:color="D0D8E0" w:sz="3" w:space="1"/>
        </w:pBdr>
        <w:spacing w:before="100" w:after="0"/>
      </w:pPr>
      <w:r>
        <w:t xml:space="preserve"/>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3</w:t>
            </w:r>
          </w:p>
        </w:tc>
        <w:tc>
          <w:tcPr>
            <w:tcW w:type="dxa" w:w="8660"/>
            <w:tcBorders>
              <w:top w:val="none" w:color="FFFFFF" w:sz="0"/>
              <w:left w:val="none" w:color="FFFFFF" w:sz="0"/>
              <w:bottom w:val="none" w:color="FFFFFF" w:sz="0"/>
              <w:right w:val="none" w:color="FFFFFF" w:sz="0"/>
            </w:tcBorders>
            <w:shd w:fill="EDF1F5" w:val="clear"/>
            <w:tcMar>
              <w:top w:type="dxa" w:w="80"/>
              <w:left w:type="dxa" w:w="200"/>
              <w:bottom w:type="dxa" w:w="80"/>
              <w:right w:type="dxa" w:w="120"/>
            </w:tcMar>
          </w:tcPr>
          <w:p>
            <w:r>
              <w:rPr>
                <w:rFonts w:ascii="Arial" w:cs="Arial" w:eastAsia="Arial" w:hAnsi="Arial"/>
                <w:b/>
                <w:bCs/>
                <w:color w:val="1A3A5C"/>
                <w:sz w:val="24"/>
                <w:szCs w:val="24"/>
              </w:rPr>
              <w:t xml:space="preserve">Copy content from this document into each page</w:t>
            </w:r>
          </w:p>
        </w:tc>
      </w:tr>
    </w:tbl>
    <w:p>
      <w:pPr>
        <w:spacing w:before="120" w:after="80"/>
      </w:pPr>
      <w:r>
        <w:rPr>
          <w:rFonts w:ascii="Arial" w:cs="Arial" w:eastAsia="Arial" w:hAnsi="Arial"/>
          <w:color w:val="1C2B3A"/>
          <w:sz w:val="22"/>
          <w:szCs w:val="22"/>
        </w:rPr>
        <w:t xml:space="preserve">For each term page, use the content in this document as follows:</w:t>
      </w:r>
    </w:p>
    <w:p>
      <w:pPr>
        <w:spacing w:before="40" w:after="40"/>
        <w:ind w:left="360" w:hanging="220"/>
      </w:pPr>
      <w:r>
        <w:rPr>
          <w:rFonts w:ascii="Arial" w:cs="Arial" w:eastAsia="Arial" w:hAnsi="Arial"/>
          <w:b/>
          <w:bCs/>
          <w:color w:val="E8822A"/>
          <w:sz w:val="20"/>
          <w:szCs w:val="20"/>
        </w:rPr>
        <w:t xml:space="preserve">–  </w:t>
      </w:r>
      <w:r>
        <w:rPr>
          <w:rFonts w:ascii="Arial" w:cs="Arial" w:eastAsia="Arial" w:hAnsi="Arial"/>
          <w:color w:val="1C2B3A"/>
          <w:sz w:val="20"/>
          <w:szCs w:val="20"/>
        </w:rPr>
        <w:t xml:space="preserve">H1: Use the term name exactly as written (e.g. "What Is Flare Gas?")</w:t>
      </w:r>
    </w:p>
    <w:p>
      <w:pPr>
        <w:spacing w:before="40" w:after="40"/>
        <w:ind w:left="360" w:hanging="220"/>
      </w:pPr>
      <w:r>
        <w:rPr>
          <w:rFonts w:ascii="Arial" w:cs="Arial" w:eastAsia="Arial" w:hAnsi="Arial"/>
          <w:b/>
          <w:bCs/>
          <w:color w:val="E8822A"/>
          <w:sz w:val="20"/>
          <w:szCs w:val="20"/>
        </w:rPr>
        <w:t xml:space="preserve">–  </w:t>
      </w:r>
      <w:r>
        <w:rPr>
          <w:rFonts w:ascii="Arial" w:cs="Arial" w:eastAsia="Arial" w:hAnsi="Arial"/>
          <w:color w:val="1C2B3A"/>
          <w:sz w:val="20"/>
          <w:szCs w:val="20"/>
        </w:rPr>
        <w:t xml:space="preserve">Opening paragraph: Paste the definition block text — this must appear in the first 100 words of the page</w:t>
      </w:r>
    </w:p>
    <w:p>
      <w:pPr>
        <w:spacing w:before="40" w:after="40"/>
        <w:ind w:left="360" w:hanging="220"/>
      </w:pPr>
      <w:r>
        <w:rPr>
          <w:rFonts w:ascii="Arial" w:cs="Arial" w:eastAsia="Arial" w:hAnsi="Arial"/>
          <w:b/>
          <w:bCs/>
          <w:color w:val="E8822A"/>
          <w:sz w:val="20"/>
          <w:szCs w:val="20"/>
        </w:rPr>
        <w:t xml:space="preserve">–  </w:t>
      </w:r>
      <w:r>
        <w:rPr>
          <w:rFonts w:ascii="Arial" w:cs="Arial" w:eastAsia="Arial" w:hAnsi="Arial"/>
          <w:color w:val="1C2B3A"/>
          <w:sz w:val="20"/>
          <w:szCs w:val="20"/>
        </w:rPr>
        <w:t xml:space="preserve">Body sections: Use the explanatory paragraphs under each term as the main body copy. Add H2 subheadings where the content naturally divides (e.g. "Why It Matters for Bitcoin Mining Deployments")</w:t>
      </w:r>
    </w:p>
    <w:p>
      <w:pPr>
        <w:spacing w:before="40" w:after="40"/>
        <w:ind w:left="360" w:hanging="220"/>
      </w:pPr>
      <w:r>
        <w:rPr>
          <w:rFonts w:ascii="Arial" w:cs="Arial" w:eastAsia="Arial" w:hAnsi="Arial"/>
          <w:b/>
          <w:bCs/>
          <w:color w:val="E8822A"/>
          <w:sz w:val="20"/>
          <w:szCs w:val="20"/>
        </w:rPr>
        <w:t xml:space="preserve">–  </w:t>
      </w:r>
      <w:r>
        <w:rPr>
          <w:rFonts w:ascii="Arial" w:cs="Arial" w:eastAsia="Arial" w:hAnsi="Arial"/>
          <w:color w:val="1C2B3A"/>
          <w:sz w:val="20"/>
          <w:szCs w:val="20"/>
        </w:rPr>
        <w:t xml:space="preserve">Related resources: Add a section at the bottom linking to 2–3 related pages (service pages or other glossary terms) — see the "See also" bar on each term entry for suggestions</w:t>
      </w:r>
    </w:p>
    <w:p>
      <w:pPr>
        <w:spacing w:before="80" w:after="0"/>
      </w:pPr>
      <w:r>
        <w:t xml:space="preserve"/>
      </w:r>
    </w:p>
    <w:p>
      <w:pPr>
        <w:pBdr>
          <w:bottom w:val="single" w:color="D0D8E0" w:sz="3" w:space="1"/>
        </w:pBdr>
        <w:spacing w:before="100" w:after="0"/>
      </w:pPr>
      <w:r>
        <w:t xml:space="preserve"/>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4</w:t>
            </w:r>
          </w:p>
        </w:tc>
        <w:tc>
          <w:tcPr>
            <w:tcW w:type="dxa" w:w="8660"/>
            <w:tcBorders>
              <w:top w:val="none" w:color="FFFFFF" w:sz="0"/>
              <w:left w:val="none" w:color="FFFFFF" w:sz="0"/>
              <w:bottom w:val="none" w:color="FFFFFF" w:sz="0"/>
              <w:right w:val="none" w:color="FFFFFF" w:sz="0"/>
            </w:tcBorders>
            <w:shd w:fill="EDF1F5" w:val="clear"/>
            <w:tcMar>
              <w:top w:type="dxa" w:w="80"/>
              <w:left w:type="dxa" w:w="200"/>
              <w:bottom w:type="dxa" w:w="80"/>
              <w:right w:type="dxa" w:w="120"/>
            </w:tcMar>
          </w:tcPr>
          <w:p>
            <w:r>
              <w:rPr>
                <w:rFonts w:ascii="Arial" w:cs="Arial" w:eastAsia="Arial" w:hAnsi="Arial"/>
                <w:b/>
                <w:bCs/>
                <w:color w:val="1A3A5C"/>
                <w:sz w:val="24"/>
                <w:szCs w:val="24"/>
              </w:rPr>
              <w:t xml:space="preserve">Write and add title tags and meta descriptions</w:t>
            </w:r>
          </w:p>
        </w:tc>
      </w:tr>
    </w:tbl>
    <w:p>
      <w:pPr>
        <w:spacing w:before="120" w:after="80"/>
      </w:pPr>
      <w:r>
        <w:rPr>
          <w:rFonts w:ascii="Arial" w:cs="Arial" w:eastAsia="Arial" w:hAnsi="Arial"/>
          <w:color w:val="1C2B3A"/>
          <w:sz w:val="22"/>
          <w:szCs w:val="22"/>
        </w:rPr>
        <w:t xml:space="preserve">Every page needs a unique title tag (under 60 characters) and meta description (under 155 characters) before publication. Write these yourself — do not let the CMS auto-generate them from body copy. Templates below:</w:t>
      </w:r>
    </w:p>
    <w:p>
      <w:pPr>
        <w:spacing w:before="40" w:after="40"/>
        <w:ind w:left="360" w:hanging="220"/>
      </w:pPr>
      <w:r>
        <w:rPr>
          <w:rFonts w:ascii="Arial" w:cs="Arial" w:eastAsia="Arial" w:hAnsi="Arial"/>
          <w:b/>
          <w:bCs/>
          <w:color w:val="E8822A"/>
          <w:sz w:val="20"/>
          <w:szCs w:val="20"/>
        </w:rPr>
        <w:t xml:space="preserve">–  </w:t>
      </w:r>
      <w:r>
        <w:rPr>
          <w:rFonts w:ascii="Arial" w:cs="Arial" w:eastAsia="Arial" w:hAnsi="Arial"/>
          <w:color w:val="1C2B3A"/>
          <w:sz w:val="20"/>
          <w:szCs w:val="20"/>
        </w:rPr>
        <w:t xml:space="preserve">Title tag format:  What Is [Term]? | MCF.Digital Glossary</w:t>
      </w:r>
    </w:p>
    <w:p>
      <w:pPr>
        <w:spacing w:before="40" w:after="40"/>
        <w:ind w:left="360" w:hanging="220"/>
      </w:pPr>
      <w:r>
        <w:rPr>
          <w:rFonts w:ascii="Arial" w:cs="Arial" w:eastAsia="Arial" w:hAnsi="Arial"/>
          <w:b/>
          <w:bCs/>
          <w:color w:val="E8822A"/>
          <w:sz w:val="20"/>
          <w:szCs w:val="20"/>
        </w:rPr>
        <w:t xml:space="preserve">–  </w:t>
      </w:r>
      <w:r>
        <w:rPr>
          <w:rFonts w:ascii="Arial" w:cs="Arial" w:eastAsia="Arial" w:hAnsi="Arial"/>
          <w:color w:val="1C2B3A"/>
          <w:sz w:val="20"/>
          <w:szCs w:val="20"/>
        </w:rPr>
        <w:t xml:space="preserve">Meta description format:  [One-sentence definition]. MCF.Digital explains [term] in plain language for oil and gas operators and Bitcoin miners.</w:t>
      </w:r>
    </w:p>
    <w:p>
      <w:pPr>
        <w:spacing w:before="40" w:after="40"/>
        <w:ind w:left="360" w:hanging="220"/>
      </w:pPr>
      <w:r>
        <w:rPr>
          <w:rFonts w:ascii="Arial" w:cs="Arial" w:eastAsia="Arial" w:hAnsi="Arial"/>
          <w:b/>
          <w:bCs/>
          <w:color w:val="E8822A"/>
          <w:sz w:val="20"/>
          <w:szCs w:val="20"/>
        </w:rPr>
        <w:t xml:space="preserve">–  </w:t>
      </w:r>
      <w:r>
        <w:rPr>
          <w:rFonts w:ascii="Arial" w:cs="Arial" w:eastAsia="Arial" w:hAnsi="Arial"/>
          <w:color w:val="1C2B3A"/>
          <w:sz w:val="20"/>
          <w:szCs w:val="20"/>
        </w:rPr>
        <w:t xml:space="preserve">Example — Flare Gas:  Title: "What Is Flare Gas? | MCF.Digital Glossary"</w:t>
      </w:r>
    </w:p>
    <w:p>
      <w:pPr>
        <w:spacing w:before="40" w:after="40"/>
        <w:ind w:left="360" w:hanging="220"/>
      </w:pPr>
      <w:r>
        <w:rPr>
          <w:rFonts w:ascii="Arial" w:cs="Arial" w:eastAsia="Arial" w:hAnsi="Arial"/>
          <w:b/>
          <w:bCs/>
          <w:color w:val="E8822A"/>
          <w:sz w:val="20"/>
          <w:szCs w:val="20"/>
        </w:rPr>
        <w:t xml:space="preserve">–  </w:t>
      </w:r>
      <w:r>
        <w:rPr>
          <w:rFonts w:ascii="Arial" w:cs="Arial" w:eastAsia="Arial" w:hAnsi="Arial"/>
          <w:color w:val="1C2B3A"/>
          <w:sz w:val="20"/>
          <w:szCs w:val="20"/>
        </w:rPr>
        <w:t xml:space="preserve">Example — Flare Gas:  Meta: "Flare gas is associated natural gas burned at the wellhead when no pipeline is available. Learn what it means, why operators flare, and how to monetize it."</w:t>
      </w:r>
    </w:p>
    <w:p>
      <w:pPr>
        <w:spacing w:before="80" w:after="0"/>
      </w:pPr>
      <w:r>
        <w:t xml:space="preserve"/>
      </w:r>
    </w:p>
    <w:p>
      <w:pPr>
        <w:pBdr>
          <w:bottom w:val="single" w:color="D0D8E0" w:sz="3" w:space="1"/>
        </w:pBdr>
        <w:spacing w:before="100" w:after="0"/>
      </w:pPr>
      <w:r>
        <w:t xml:space="preserve"/>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5</w:t>
            </w:r>
          </w:p>
        </w:tc>
        <w:tc>
          <w:tcPr>
            <w:tcW w:type="dxa" w:w="8660"/>
            <w:tcBorders>
              <w:top w:val="none" w:color="FFFFFF" w:sz="0"/>
              <w:left w:val="none" w:color="FFFFFF" w:sz="0"/>
              <w:bottom w:val="none" w:color="FFFFFF" w:sz="0"/>
              <w:right w:val="none" w:color="FFFFFF" w:sz="0"/>
            </w:tcBorders>
            <w:shd w:fill="EDF1F5" w:val="clear"/>
            <w:tcMar>
              <w:top w:type="dxa" w:w="80"/>
              <w:left w:type="dxa" w:w="200"/>
              <w:bottom w:type="dxa" w:w="80"/>
              <w:right w:type="dxa" w:w="120"/>
            </w:tcMar>
          </w:tcPr>
          <w:p>
            <w:r>
              <w:rPr>
                <w:rFonts w:ascii="Arial" w:cs="Arial" w:eastAsia="Arial" w:hAnsi="Arial"/>
                <w:b/>
                <w:bCs/>
                <w:color w:val="1A3A5C"/>
                <w:sz w:val="24"/>
                <w:szCs w:val="24"/>
              </w:rPr>
              <w:t xml:space="preserve">Add Article schema to every glossary page</w:t>
            </w:r>
          </w:p>
        </w:tc>
      </w:tr>
    </w:tbl>
    <w:p>
      <w:pPr>
        <w:spacing w:before="120" w:after="80"/>
      </w:pPr>
      <w:r>
        <w:rPr>
          <w:rFonts w:ascii="Arial" w:cs="Arial" w:eastAsia="Arial" w:hAnsi="Arial"/>
          <w:color w:val="1C2B3A"/>
          <w:sz w:val="22"/>
          <w:szCs w:val="22"/>
        </w:rPr>
        <w:t xml:space="preserve">Each glossary page must have Article schema markup in the &lt;head&gt; as a JSON-LD block. This is required for AEO citation eligibility — AI tools use structured data to identify authoritative definition sources. Use the template below, replacing bracketed values for each page:</w:t>
      </w:r>
    </w:p>
    <w:p>
      <w:pPr>
        <w:spacing w:before="40" w:after="40"/>
        <w:ind w:left="360" w:hanging="220"/>
      </w:pPr>
      <w:r>
        <w:rPr>
          <w:rFonts w:ascii="Arial" w:cs="Arial" w:eastAsia="Arial" w:hAnsi="Arial"/>
          <w:b/>
          <w:bCs/>
          <w:color w:val="E8822A"/>
          <w:sz w:val="20"/>
          <w:szCs w:val="20"/>
        </w:rPr>
        <w:t xml:space="preserve"/>
      </w:r>
      <w:r>
        <w:rPr>
          <w:rFonts w:ascii="Courier New" w:cs="Courier New" w:eastAsia="Courier New" w:hAnsi="Courier New"/>
          <w:color w:val="2E5E2E"/>
          <w:sz w:val="18"/>
          <w:szCs w:val="18"/>
        </w:rPr>
        <w:t xml:space="preserve">&lt;script type="application/ld+json"&gt;</w:t>
      </w:r>
    </w:p>
    <w:p>
      <w:pPr>
        <w:spacing w:before="40" w:after="40"/>
        <w:ind w:left="360" w:hanging="220"/>
      </w:pPr>
      <w:r>
        <w:rPr>
          <w:rFonts w:ascii="Arial" w:cs="Arial" w:eastAsia="Arial" w:hAnsi="Arial"/>
          <w:b/>
          <w:bCs/>
          <w:color w:val="E8822A"/>
          <w:sz w:val="20"/>
          <w:szCs w:val="20"/>
        </w:rPr>
        <w:t xml:space="preserve"/>
      </w:r>
      <w:r>
        <w:rPr>
          <w:rFonts w:ascii="Courier New" w:cs="Courier New" w:eastAsia="Courier New" w:hAnsi="Courier New"/>
          <w:color w:val="2E5E2E"/>
          <w:sz w:val="18"/>
          <w:szCs w:val="18"/>
        </w:rPr>
        <w:t xml:space="preserve">{</w:t>
      </w:r>
    </w:p>
    <w:p>
      <w:pPr>
        <w:spacing w:before="40" w:after="40"/>
        <w:ind w:left="360" w:hanging="220"/>
      </w:pPr>
      <w:r>
        <w:rPr>
          <w:rFonts w:ascii="Arial" w:cs="Arial" w:eastAsia="Arial" w:hAnsi="Arial"/>
          <w:b/>
          <w:bCs/>
          <w:color w:val="E8822A"/>
          <w:sz w:val="20"/>
          <w:szCs w:val="20"/>
        </w:rPr>
        <w:t xml:space="preserve"/>
      </w:r>
      <w:r>
        <w:rPr>
          <w:rFonts w:ascii="Courier New" w:cs="Courier New" w:eastAsia="Courier New" w:hAnsi="Courier New"/>
          <w:color w:val="2E5E2E"/>
          <w:sz w:val="18"/>
          <w:szCs w:val="18"/>
        </w:rPr>
        <w:t xml:space="preserve">  "@context": "https://schema.org",</w:t>
      </w:r>
    </w:p>
    <w:p>
      <w:pPr>
        <w:spacing w:before="40" w:after="40"/>
        <w:ind w:left="360" w:hanging="220"/>
      </w:pPr>
      <w:r>
        <w:rPr>
          <w:rFonts w:ascii="Arial" w:cs="Arial" w:eastAsia="Arial" w:hAnsi="Arial"/>
          <w:b/>
          <w:bCs/>
          <w:color w:val="E8822A"/>
          <w:sz w:val="20"/>
          <w:szCs w:val="20"/>
        </w:rPr>
        <w:t xml:space="preserve"/>
      </w:r>
      <w:r>
        <w:rPr>
          <w:rFonts w:ascii="Courier New" w:cs="Courier New" w:eastAsia="Courier New" w:hAnsi="Courier New"/>
          <w:color w:val="2E5E2E"/>
          <w:sz w:val="18"/>
          <w:szCs w:val="18"/>
        </w:rPr>
        <w:t xml:space="preserve">  "@type": "Article",</w:t>
      </w:r>
    </w:p>
    <w:p>
      <w:pPr>
        <w:spacing w:before="40" w:after="40"/>
        <w:ind w:left="360" w:hanging="220"/>
      </w:pPr>
      <w:r>
        <w:rPr>
          <w:rFonts w:ascii="Arial" w:cs="Arial" w:eastAsia="Arial" w:hAnsi="Arial"/>
          <w:b/>
          <w:bCs/>
          <w:color w:val="E8822A"/>
          <w:sz w:val="20"/>
          <w:szCs w:val="20"/>
        </w:rPr>
        <w:t xml:space="preserve"/>
      </w:r>
      <w:r>
        <w:rPr>
          <w:rFonts w:ascii="Courier New" w:cs="Courier New" w:eastAsia="Courier New" w:hAnsi="Courier New"/>
          <w:color w:val="2E5E2E"/>
          <w:sz w:val="18"/>
          <w:szCs w:val="18"/>
        </w:rPr>
        <w:t xml:space="preserve">  "headline": "What Is Flare Gas?",</w:t>
      </w:r>
    </w:p>
    <w:p>
      <w:pPr>
        <w:spacing w:before="40" w:after="40"/>
        <w:ind w:left="360" w:hanging="220"/>
      </w:pPr>
      <w:r>
        <w:rPr>
          <w:rFonts w:ascii="Arial" w:cs="Arial" w:eastAsia="Arial" w:hAnsi="Arial"/>
          <w:b/>
          <w:bCs/>
          <w:color w:val="E8822A"/>
          <w:sz w:val="20"/>
          <w:szCs w:val="20"/>
        </w:rPr>
        <w:t xml:space="preserve"/>
      </w:r>
      <w:r>
        <w:rPr>
          <w:rFonts w:ascii="Courier New" w:cs="Courier New" w:eastAsia="Courier New" w:hAnsi="Courier New"/>
          <w:color w:val="2E5E2E"/>
          <w:sz w:val="18"/>
          <w:szCs w:val="18"/>
        </w:rPr>
        <w:t xml:space="preserve">  "description": "Flare gas is associated natural gas burned at the wellhead...",</w:t>
      </w:r>
    </w:p>
    <w:p>
      <w:pPr>
        <w:spacing w:before="40" w:after="40"/>
        <w:ind w:left="360" w:hanging="220"/>
      </w:pPr>
      <w:r>
        <w:rPr>
          <w:rFonts w:ascii="Arial" w:cs="Arial" w:eastAsia="Arial" w:hAnsi="Arial"/>
          <w:b/>
          <w:bCs/>
          <w:color w:val="E8822A"/>
          <w:sz w:val="20"/>
          <w:szCs w:val="20"/>
        </w:rPr>
        <w:t xml:space="preserve"/>
      </w:r>
      <w:r>
        <w:rPr>
          <w:rFonts w:ascii="Courier New" w:cs="Courier New" w:eastAsia="Courier New" w:hAnsi="Courier New"/>
          <w:color w:val="2E5E2E"/>
          <w:sz w:val="18"/>
          <w:szCs w:val="18"/>
        </w:rPr>
        <w:t xml:space="preserve">  "author": { "@type": "Organization", "name": "MCF.Digital" },</w:t>
      </w:r>
    </w:p>
    <w:p>
      <w:pPr>
        <w:spacing w:before="40" w:after="40"/>
        <w:ind w:left="360" w:hanging="220"/>
      </w:pPr>
      <w:r>
        <w:rPr>
          <w:rFonts w:ascii="Arial" w:cs="Arial" w:eastAsia="Arial" w:hAnsi="Arial"/>
          <w:b/>
          <w:bCs/>
          <w:color w:val="E8822A"/>
          <w:sz w:val="20"/>
          <w:szCs w:val="20"/>
        </w:rPr>
        <w:t xml:space="preserve"/>
      </w:r>
      <w:r>
        <w:rPr>
          <w:rFonts w:ascii="Courier New" w:cs="Courier New" w:eastAsia="Courier New" w:hAnsi="Courier New"/>
          <w:color w:val="2E5E2E"/>
          <w:sz w:val="18"/>
          <w:szCs w:val="18"/>
        </w:rPr>
        <w:t xml:space="preserve">  "publisher": { "@type": "Organization", "name": "MCF.Digital", "url": "https://mcf.digital" },</w:t>
      </w:r>
    </w:p>
    <w:p>
      <w:pPr>
        <w:spacing w:before="40" w:after="40"/>
        <w:ind w:left="360" w:hanging="220"/>
      </w:pPr>
      <w:r>
        <w:rPr>
          <w:rFonts w:ascii="Arial" w:cs="Arial" w:eastAsia="Arial" w:hAnsi="Arial"/>
          <w:b/>
          <w:bCs/>
          <w:color w:val="E8822A"/>
          <w:sz w:val="20"/>
          <w:szCs w:val="20"/>
        </w:rPr>
        <w:t xml:space="preserve"/>
      </w:r>
      <w:r>
        <w:rPr>
          <w:rFonts w:ascii="Courier New" w:cs="Courier New" w:eastAsia="Courier New" w:hAnsi="Courier New"/>
          <w:color w:val="2E5E2E"/>
          <w:sz w:val="18"/>
          <w:szCs w:val="18"/>
        </w:rPr>
        <w:t xml:space="preserve">  "datePublished": "2026-02-26",</w:t>
      </w:r>
    </w:p>
    <w:p>
      <w:pPr>
        <w:spacing w:before="40" w:after="40"/>
        <w:ind w:left="360" w:hanging="220"/>
      </w:pPr>
      <w:r>
        <w:rPr>
          <w:rFonts w:ascii="Arial" w:cs="Arial" w:eastAsia="Arial" w:hAnsi="Arial"/>
          <w:b/>
          <w:bCs/>
          <w:color w:val="E8822A"/>
          <w:sz w:val="20"/>
          <w:szCs w:val="20"/>
        </w:rPr>
        <w:t xml:space="preserve"/>
      </w:r>
      <w:r>
        <w:rPr>
          <w:rFonts w:ascii="Courier New" w:cs="Courier New" w:eastAsia="Courier New" w:hAnsi="Courier New"/>
          <w:color w:val="2E5E2E"/>
          <w:sz w:val="18"/>
          <w:szCs w:val="18"/>
        </w:rPr>
        <w:t xml:space="preserve">  "dateModified": "2026-02-26",</w:t>
      </w:r>
    </w:p>
    <w:p>
      <w:pPr>
        <w:spacing w:before="40" w:after="40"/>
        <w:ind w:left="360" w:hanging="220"/>
      </w:pPr>
      <w:r>
        <w:rPr>
          <w:rFonts w:ascii="Arial" w:cs="Arial" w:eastAsia="Arial" w:hAnsi="Arial"/>
          <w:b/>
          <w:bCs/>
          <w:color w:val="E8822A"/>
          <w:sz w:val="20"/>
          <w:szCs w:val="20"/>
        </w:rPr>
        <w:t xml:space="preserve"/>
      </w:r>
      <w:r>
        <w:rPr>
          <w:rFonts w:ascii="Courier New" w:cs="Courier New" w:eastAsia="Courier New" w:hAnsi="Courier New"/>
          <w:color w:val="2E5E2E"/>
          <w:sz w:val="18"/>
          <w:szCs w:val="18"/>
        </w:rPr>
        <w:t xml:space="preserve">  "url": "https://mcf.digital/glossary/what-is-flare-gas"</w:t>
      </w:r>
    </w:p>
    <w:p>
      <w:pPr>
        <w:spacing w:before="40" w:after="40"/>
        <w:ind w:left="360" w:hanging="220"/>
      </w:pPr>
      <w:r>
        <w:rPr>
          <w:rFonts w:ascii="Arial" w:cs="Arial" w:eastAsia="Arial" w:hAnsi="Arial"/>
          <w:b/>
          <w:bCs/>
          <w:color w:val="E8822A"/>
          <w:sz w:val="20"/>
          <w:szCs w:val="20"/>
        </w:rPr>
        <w:t xml:space="preserve"/>
      </w:r>
      <w:r>
        <w:rPr>
          <w:rFonts w:ascii="Courier New" w:cs="Courier New" w:eastAsia="Courier New" w:hAnsi="Courier New"/>
          <w:color w:val="2E5E2E"/>
          <w:sz w:val="18"/>
          <w:szCs w:val="18"/>
        </w:rPr>
        <w:t xml:space="preserve">}</w:t>
      </w:r>
    </w:p>
    <w:p>
      <w:pPr>
        <w:spacing w:before="40" w:after="40"/>
        <w:ind w:left="360" w:hanging="220"/>
      </w:pPr>
      <w:r>
        <w:rPr>
          <w:rFonts w:ascii="Arial" w:cs="Arial" w:eastAsia="Arial" w:hAnsi="Arial"/>
          <w:b/>
          <w:bCs/>
          <w:color w:val="E8822A"/>
          <w:sz w:val="20"/>
          <w:szCs w:val="20"/>
        </w:rPr>
        <w:t xml:space="preserve"/>
      </w:r>
      <w:r>
        <w:rPr>
          <w:rFonts w:ascii="Courier New" w:cs="Courier New" w:eastAsia="Courier New" w:hAnsi="Courier New"/>
          <w:color w:val="2E5E2E"/>
          <w:sz w:val="18"/>
          <w:szCs w:val="18"/>
        </w:rPr>
        <w:t xml:space="preserve">&lt;/script&gt;</w:t>
      </w:r>
    </w:p>
    <w:p>
      <w:pPr>
        <w:spacing w:before="80" w:after="0"/>
      </w:pPr>
      <w:r>
        <w:t xml:space="preserve"/>
      </w:r>
    </w:p>
    <w:p>
      <w:pPr>
        <w:pBdr>
          <w:bottom w:val="single" w:color="D0D8E0" w:sz="3" w:space="1"/>
        </w:pBdr>
        <w:spacing w:before="100" w:after="0"/>
      </w:pPr>
      <w:r>
        <w:t xml:space="preserve"/>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6</w:t>
            </w:r>
          </w:p>
        </w:tc>
        <w:tc>
          <w:tcPr>
            <w:tcW w:type="dxa" w:w="8660"/>
            <w:tcBorders>
              <w:top w:val="none" w:color="FFFFFF" w:sz="0"/>
              <w:left w:val="none" w:color="FFFFFF" w:sz="0"/>
              <w:bottom w:val="none" w:color="FFFFFF" w:sz="0"/>
              <w:right w:val="none" w:color="FFFFFF" w:sz="0"/>
            </w:tcBorders>
            <w:shd w:fill="EDF1F5" w:val="clear"/>
            <w:tcMar>
              <w:top w:type="dxa" w:w="80"/>
              <w:left w:type="dxa" w:w="200"/>
              <w:bottom w:type="dxa" w:w="80"/>
              <w:right w:type="dxa" w:w="120"/>
            </w:tcMar>
          </w:tcPr>
          <w:p>
            <w:r>
              <w:rPr>
                <w:rFonts w:ascii="Arial" w:cs="Arial" w:eastAsia="Arial" w:hAnsi="Arial"/>
                <w:b/>
                <w:bCs/>
                <w:color w:val="1A3A5C"/>
                <w:sz w:val="24"/>
                <w:szCs w:val="24"/>
              </w:rPr>
              <w:t xml:space="preserve">Add internal links to service pages</w:t>
            </w:r>
          </w:p>
        </w:tc>
      </w:tr>
    </w:tbl>
    <w:p>
      <w:pPr>
        <w:spacing w:before="120" w:after="80"/>
      </w:pPr>
      <w:r>
        <w:rPr>
          <w:rFonts w:ascii="Arial" w:cs="Arial" w:eastAsia="Arial" w:hAnsi="Arial"/>
          <w:color w:val="1C2B3A"/>
          <w:sz w:val="22"/>
          <w:szCs w:val="22"/>
        </w:rPr>
        <w:t xml:space="preserve">Every glossary page must link to at least one service page. These links are required for SEO value to flow from the glossary to the pages that generate leads. Minimum linking requirements:</w:t>
      </w:r>
    </w:p>
    <w:p>
      <w:pPr>
        <w:spacing w:before="40" w:after="40"/>
        <w:ind w:left="360" w:hanging="220"/>
      </w:pPr>
      <w:r>
        <w:rPr>
          <w:rFonts w:ascii="Arial" w:cs="Arial" w:eastAsia="Arial" w:hAnsi="Arial"/>
          <w:b/>
          <w:bCs/>
          <w:color w:val="E8822A"/>
          <w:sz w:val="20"/>
          <w:szCs w:val="20"/>
        </w:rPr>
        <w:t xml:space="preserve">–  </w:t>
      </w:r>
      <w:r>
        <w:rPr>
          <w:rFonts w:ascii="Arial" w:cs="Arial" w:eastAsia="Arial" w:hAnsi="Arial"/>
          <w:color w:val="1C2B3A"/>
          <w:sz w:val="20"/>
          <w:szCs w:val="20"/>
        </w:rPr>
        <w:t xml:space="preserve">G-1, G-2, G-6, G-7 → link to /flare-site-operators</w:t>
      </w:r>
    </w:p>
    <w:p>
      <w:pPr>
        <w:spacing w:before="40" w:after="40"/>
        <w:ind w:left="360" w:hanging="220"/>
      </w:pPr>
      <w:r>
        <w:rPr>
          <w:rFonts w:ascii="Arial" w:cs="Arial" w:eastAsia="Arial" w:hAnsi="Arial"/>
          <w:b/>
          <w:bCs/>
          <w:color w:val="E8822A"/>
          <w:sz w:val="20"/>
          <w:szCs w:val="20"/>
        </w:rPr>
        <w:t xml:space="preserve">–  </w:t>
      </w:r>
      <w:r>
        <w:rPr>
          <w:rFonts w:ascii="Arial" w:cs="Arial" w:eastAsia="Arial" w:hAnsi="Arial"/>
          <w:color w:val="1C2B3A"/>
          <w:sz w:val="20"/>
          <w:szCs w:val="20"/>
        </w:rPr>
        <w:t xml:space="preserve">G-3, G-7 → link to /low-netback</w:t>
      </w:r>
    </w:p>
    <w:p>
      <w:pPr>
        <w:spacing w:before="40" w:after="40"/>
        <w:ind w:left="360" w:hanging="220"/>
      </w:pPr>
      <w:r>
        <w:rPr>
          <w:rFonts w:ascii="Arial" w:cs="Arial" w:eastAsia="Arial" w:hAnsi="Arial"/>
          <w:b/>
          <w:bCs/>
          <w:color w:val="E8822A"/>
          <w:sz w:val="20"/>
          <w:szCs w:val="20"/>
        </w:rPr>
        <w:t xml:space="preserve">–  </w:t>
      </w:r>
      <w:r>
        <w:rPr>
          <w:rFonts w:ascii="Arial" w:cs="Arial" w:eastAsia="Arial" w:hAnsi="Arial"/>
          <w:color w:val="1C2B3A"/>
          <w:sz w:val="20"/>
          <w:szCs w:val="20"/>
        </w:rPr>
        <w:t xml:space="preserve">G-8, G-9 → link to /for-bitcoin-miners</w:t>
      </w:r>
    </w:p>
    <w:p>
      <w:pPr>
        <w:spacing w:before="40" w:after="40"/>
        <w:ind w:left="360" w:hanging="220"/>
      </w:pPr>
      <w:r>
        <w:rPr>
          <w:rFonts w:ascii="Arial" w:cs="Arial" w:eastAsia="Arial" w:hAnsi="Arial"/>
          <w:b/>
          <w:bCs/>
          <w:color w:val="E8822A"/>
          <w:sz w:val="20"/>
          <w:szCs w:val="20"/>
        </w:rPr>
        <w:t xml:space="preserve">–  </w:t>
      </w:r>
      <w:r>
        <w:rPr>
          <w:rFonts w:ascii="Arial" w:cs="Arial" w:eastAsia="Arial" w:hAnsi="Arial"/>
          <w:color w:val="1C2B3A"/>
          <w:sz w:val="20"/>
          <w:szCs w:val="20"/>
        </w:rPr>
        <w:t xml:space="preserve">G-10 → link to /hnwi-family-offices</w:t>
      </w:r>
    </w:p>
    <w:p>
      <w:pPr>
        <w:spacing w:before="40" w:after="40"/>
        <w:ind w:left="360" w:hanging="220"/>
      </w:pPr>
      <w:r>
        <w:rPr>
          <w:rFonts w:ascii="Arial" w:cs="Arial" w:eastAsia="Arial" w:hAnsi="Arial"/>
          <w:b/>
          <w:bCs/>
          <w:color w:val="E8822A"/>
          <w:sz w:val="20"/>
          <w:szCs w:val="20"/>
        </w:rPr>
        <w:t xml:space="preserve">–  </w:t>
      </w:r>
      <w:r>
        <w:rPr>
          <w:rFonts w:ascii="Arial" w:cs="Arial" w:eastAsia="Arial" w:hAnsi="Arial"/>
          <w:color w:val="1C2B3A"/>
          <w:sz w:val="20"/>
          <w:szCs w:val="20"/>
        </w:rPr>
        <w:t xml:space="preserve">The link should appear naturally in the body copy or in a dedicated "Ready to evaluate your site?" CTA at the bottom of the page — not as a bare URL.</w:t>
      </w:r>
    </w:p>
    <w:p>
      <w:pPr>
        <w:spacing w:before="80" w:after="0"/>
      </w:pPr>
      <w:r>
        <w:t xml:space="preserve"/>
      </w:r>
    </w:p>
    <w:p>
      <w:pPr>
        <w:pBdr>
          <w:bottom w:val="single" w:color="D0D8E0" w:sz="3" w:space="1"/>
        </w:pBdr>
        <w:spacing w:before="100" w:after="0"/>
      </w:pPr>
      <w:r>
        <w:t xml:space="preserve"/>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7</w:t>
            </w:r>
          </w:p>
        </w:tc>
        <w:tc>
          <w:tcPr>
            <w:tcW w:type="dxa" w:w="8660"/>
            <w:tcBorders>
              <w:top w:val="none" w:color="FFFFFF" w:sz="0"/>
              <w:left w:val="none" w:color="FFFFFF" w:sz="0"/>
              <w:bottom w:val="none" w:color="FFFFFF" w:sz="0"/>
              <w:right w:val="none" w:color="FFFFFF" w:sz="0"/>
            </w:tcBorders>
            <w:shd w:fill="EDF1F5" w:val="clear"/>
            <w:tcMar>
              <w:top w:type="dxa" w:w="80"/>
              <w:left w:type="dxa" w:w="200"/>
              <w:bottom w:type="dxa" w:w="80"/>
              <w:right w:type="dxa" w:w="120"/>
            </w:tcMar>
          </w:tcPr>
          <w:p>
            <w:r>
              <w:rPr>
                <w:rFonts w:ascii="Arial" w:cs="Arial" w:eastAsia="Arial" w:hAnsi="Arial"/>
                <w:b/>
                <w:bCs/>
                <w:color w:val="1A3A5C"/>
                <w:sz w:val="24"/>
                <w:szCs w:val="24"/>
              </w:rPr>
              <w:t xml:space="preserve">Add a canonical URL to every page</w:t>
            </w:r>
          </w:p>
        </w:tc>
      </w:tr>
    </w:tbl>
    <w:p>
      <w:pPr>
        <w:spacing w:before="120" w:after="80"/>
      </w:pPr>
      <w:r>
        <w:rPr>
          <w:rFonts w:ascii="Arial" w:cs="Arial" w:eastAsia="Arial" w:hAnsi="Arial"/>
          <w:color w:val="1C2B3A"/>
          <w:sz w:val="22"/>
          <w:szCs w:val="22"/>
        </w:rPr>
        <w:t xml:space="preserve">Each page must have a self-referencing canonical tag in the &lt;head&gt;. This prevents duplicate content issues if the page is ever indexed via a different URL path (e.g. with or without a trailing slash, or through a pagination parameter).</w:t>
      </w:r>
    </w:p>
    <w:p>
      <w:pPr>
        <w:spacing w:before="40" w:after="40"/>
        <w:ind w:left="360" w:hanging="220"/>
      </w:pPr>
      <w:r>
        <w:rPr>
          <w:rFonts w:ascii="Arial" w:cs="Arial" w:eastAsia="Arial" w:hAnsi="Arial"/>
          <w:b/>
          <w:bCs/>
          <w:color w:val="E8822A"/>
          <w:sz w:val="20"/>
          <w:szCs w:val="20"/>
        </w:rPr>
        <w:t xml:space="preserve"/>
      </w:r>
      <w:r>
        <w:rPr>
          <w:rFonts w:ascii="Courier New" w:cs="Courier New" w:eastAsia="Courier New" w:hAnsi="Courier New"/>
          <w:color w:val="2E5E2E"/>
          <w:sz w:val="18"/>
          <w:szCs w:val="18"/>
        </w:rPr>
        <w:t xml:space="preserve">&lt;link rel="canonical" href="https://mcf.digital/glossary/what-is-flare-gas" /&gt;</w:t>
      </w:r>
    </w:p>
    <w:p>
      <w:pPr>
        <w:spacing w:before="40" w:after="40"/>
        <w:ind w:left="360" w:hanging="220"/>
      </w:pPr>
      <w:r>
        <w:rPr>
          <w:rFonts w:ascii="Arial" w:cs="Arial" w:eastAsia="Arial" w:hAnsi="Arial"/>
          <w:b/>
          <w:bCs/>
          <w:color w:val="E8822A"/>
          <w:sz w:val="20"/>
          <w:szCs w:val="20"/>
        </w:rPr>
        <w:t xml:space="preserve">–  </w:t>
      </w:r>
      <w:r>
        <w:rPr>
          <w:rFonts w:ascii="Arial" w:cs="Arial" w:eastAsia="Arial" w:hAnsi="Arial"/>
          <w:color w:val="1C2B3A"/>
          <w:sz w:val="20"/>
          <w:szCs w:val="20"/>
        </w:rPr>
        <w:t xml:space="preserve">Replace the URL with the exact published URL for each page.</w:t>
      </w:r>
    </w:p>
    <w:p>
      <w:pPr>
        <w:spacing w:before="40" w:after="40"/>
        <w:ind w:left="360" w:hanging="220"/>
      </w:pPr>
      <w:r>
        <w:rPr>
          <w:rFonts w:ascii="Arial" w:cs="Arial" w:eastAsia="Arial" w:hAnsi="Arial"/>
          <w:b/>
          <w:bCs/>
          <w:color w:val="E8822A"/>
          <w:sz w:val="20"/>
          <w:szCs w:val="20"/>
        </w:rPr>
        <w:t xml:space="preserve">–  </w:t>
      </w:r>
      <w:r>
        <w:rPr>
          <w:rFonts w:ascii="Arial" w:cs="Arial" w:eastAsia="Arial" w:hAnsi="Arial"/>
          <w:color w:val="1C2B3A"/>
          <w:sz w:val="20"/>
          <w:szCs w:val="20"/>
        </w:rPr>
        <w:t xml:space="preserve">The canonical URL must match the intended primary URL exactly — including https, www or no-www (whichever is your site standard), and trailing slash convention.</w:t>
      </w:r>
    </w:p>
    <w:p>
      <w:pPr>
        <w:spacing w:before="80" w:after="0"/>
      </w:pPr>
      <w:r>
        <w:t xml:space="preserve"/>
      </w:r>
    </w:p>
    <w:p>
      <w:pPr>
        <w:pBdr>
          <w:bottom w:val="single" w:color="D0D8E0" w:sz="3" w:space="1"/>
        </w:pBdr>
        <w:spacing w:before="100" w:after="0"/>
      </w:pPr>
      <w:r>
        <w:t xml:space="preserve"/>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8</w:t>
            </w:r>
          </w:p>
        </w:tc>
        <w:tc>
          <w:tcPr>
            <w:tcW w:type="dxa" w:w="8660"/>
            <w:tcBorders>
              <w:top w:val="none" w:color="FFFFFF" w:sz="0"/>
              <w:left w:val="none" w:color="FFFFFF" w:sz="0"/>
              <w:bottom w:val="none" w:color="FFFFFF" w:sz="0"/>
              <w:right w:val="none" w:color="FFFFFF" w:sz="0"/>
            </w:tcBorders>
            <w:shd w:fill="EDF1F5" w:val="clear"/>
            <w:tcMar>
              <w:top w:type="dxa" w:w="80"/>
              <w:left w:type="dxa" w:w="200"/>
              <w:bottom w:type="dxa" w:w="80"/>
              <w:right w:type="dxa" w:w="120"/>
            </w:tcMar>
          </w:tcPr>
          <w:p>
            <w:r>
              <w:rPr>
                <w:rFonts w:ascii="Arial" w:cs="Arial" w:eastAsia="Arial" w:hAnsi="Arial"/>
                <w:b/>
                <w:bCs/>
                <w:color w:val="1A3A5C"/>
                <w:sz w:val="24"/>
                <w:szCs w:val="24"/>
              </w:rPr>
              <w:t xml:space="preserve">Add the /glossary/ section to your sitemap</w:t>
            </w:r>
          </w:p>
        </w:tc>
      </w:tr>
    </w:tbl>
    <w:p>
      <w:pPr>
        <w:spacing w:before="120" w:after="80"/>
      </w:pPr>
      <w:r>
        <w:rPr>
          <w:rFonts w:ascii="Arial" w:cs="Arial" w:eastAsia="Arial" w:hAnsi="Arial"/>
          <w:color w:val="1C2B3A"/>
          <w:sz w:val="22"/>
          <w:szCs w:val="22"/>
        </w:rPr>
        <w:t xml:space="preserve">Once all 10 pages plus the index page are published, submit or update your XML sitemap to include every glossary URL. If your CMS generates the sitemap automatically, verify that the glossary pages are included and that there are no noindex tags on any of them. Submit the updated sitemap to Google Search Console.</w:t>
      </w:r>
    </w:p>
    <w:p>
      <w:pPr>
        <w:spacing w:before="40" w:after="40"/>
        <w:ind w:left="360" w:hanging="220"/>
      </w:pPr>
      <w:r>
        <w:rPr>
          <w:rFonts w:ascii="Arial" w:cs="Arial" w:eastAsia="Arial" w:hAnsi="Arial"/>
          <w:b/>
          <w:bCs/>
          <w:color w:val="E8822A"/>
          <w:sz w:val="20"/>
          <w:szCs w:val="20"/>
        </w:rPr>
        <w:t xml:space="preserve">–  </w:t>
      </w:r>
      <w:r>
        <w:rPr>
          <w:rFonts w:ascii="Arial" w:cs="Arial" w:eastAsia="Arial" w:hAnsi="Arial"/>
          <w:color w:val="1C2B3A"/>
          <w:sz w:val="20"/>
          <w:szCs w:val="20"/>
        </w:rPr>
        <w:t xml:space="preserve">Verify: site:mcf.digital/glossary in Google to confirm indexing after 2–4 weeks</w:t>
      </w:r>
    </w:p>
    <w:p>
      <w:pPr>
        <w:spacing w:before="40" w:after="40"/>
        <w:ind w:left="360" w:hanging="220"/>
      </w:pPr>
      <w:r>
        <w:rPr>
          <w:rFonts w:ascii="Arial" w:cs="Arial" w:eastAsia="Arial" w:hAnsi="Arial"/>
          <w:b/>
          <w:bCs/>
          <w:color w:val="E8822A"/>
          <w:sz w:val="20"/>
          <w:szCs w:val="20"/>
        </w:rPr>
        <w:t xml:space="preserve">–  </w:t>
      </w:r>
      <w:r>
        <w:rPr>
          <w:rFonts w:ascii="Arial" w:cs="Arial" w:eastAsia="Arial" w:hAnsi="Arial"/>
          <w:color w:val="1C2B3A"/>
          <w:sz w:val="20"/>
          <w:szCs w:val="20"/>
        </w:rPr>
        <w:t xml:space="preserve">Check: no noindex meta tag on any glossary page</w:t>
      </w:r>
    </w:p>
    <w:p>
      <w:pPr>
        <w:spacing w:before="40" w:after="40"/>
        <w:ind w:left="360" w:hanging="220"/>
      </w:pPr>
      <w:r>
        <w:rPr>
          <w:rFonts w:ascii="Arial" w:cs="Arial" w:eastAsia="Arial" w:hAnsi="Arial"/>
          <w:b/>
          <w:bCs/>
          <w:color w:val="E8822A"/>
          <w:sz w:val="20"/>
          <w:szCs w:val="20"/>
        </w:rPr>
        <w:t xml:space="preserve">–  </w:t>
      </w:r>
      <w:r>
        <w:rPr>
          <w:rFonts w:ascii="Arial" w:cs="Arial" w:eastAsia="Arial" w:hAnsi="Arial"/>
          <w:color w:val="1C2B3A"/>
          <w:sz w:val="20"/>
          <w:szCs w:val="20"/>
        </w:rPr>
        <w:t xml:space="preserve">Check: no disallow rule for /glossary/ in robots.txt</w:t>
      </w:r>
    </w:p>
    <w:p>
      <w:pPr>
        <w:spacing w:before="80" w:after="0"/>
      </w:pPr>
      <w:r>
        <w:t xml:space="preserve"/>
      </w:r>
    </w:p>
    <w:p>
      <w:pPr>
        <w:pBdr>
          <w:bottom w:val="single" w:color="D0D8E0" w:sz="3" w:space="1"/>
        </w:pBdr>
        <w:spacing w:before="100" w:after="0"/>
      </w:pPr>
      <w:r>
        <w:t xml:space="preserve"/>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9</w:t>
            </w:r>
          </w:p>
        </w:tc>
        <w:tc>
          <w:tcPr>
            <w:tcW w:type="dxa" w:w="8660"/>
            <w:tcBorders>
              <w:top w:val="none" w:color="FFFFFF" w:sz="0"/>
              <w:left w:val="none" w:color="FFFFFF" w:sz="0"/>
              <w:bottom w:val="none" w:color="FFFFFF" w:sz="0"/>
              <w:right w:val="none" w:color="FFFFFF" w:sz="0"/>
            </w:tcBorders>
            <w:shd w:fill="EDF1F5" w:val="clear"/>
            <w:tcMar>
              <w:top w:type="dxa" w:w="80"/>
              <w:left w:type="dxa" w:w="200"/>
              <w:bottom w:type="dxa" w:w="80"/>
              <w:right w:type="dxa" w:w="120"/>
            </w:tcMar>
          </w:tcPr>
          <w:p>
            <w:r>
              <w:rPr>
                <w:rFonts w:ascii="Arial" w:cs="Arial" w:eastAsia="Arial" w:hAnsi="Arial"/>
                <w:b/>
                <w:bCs/>
                <w:color w:val="1A3A5C"/>
                <w:sz w:val="24"/>
                <w:szCs w:val="24"/>
              </w:rPr>
              <w:t xml:space="preserve">Set up the /glossary/ index page as the canonical hub</w:t>
            </w:r>
          </w:p>
        </w:tc>
      </w:tr>
    </w:tbl>
    <w:p>
      <w:pPr>
        <w:spacing w:before="120" w:after="80"/>
      </w:pPr>
      <w:r>
        <w:rPr>
          <w:rFonts w:ascii="Arial" w:cs="Arial" w:eastAsia="Arial" w:hAnsi="Arial"/>
          <w:color w:val="1C2B3A"/>
          <w:sz w:val="22"/>
          <w:szCs w:val="22"/>
        </w:rPr>
        <w:t xml:space="preserve">The /glossary/ index page should link to all 10 term pages and should itself be linked from at least two other pages on the site — ideally from the main navigation or a Resources section, and from the footer. This ensures Google can crawl all term pages within one hop from the homepage.</w:t>
      </w:r>
    </w:p>
    <w:p>
      <w:pPr>
        <w:spacing w:before="40" w:after="40"/>
        <w:ind w:left="360" w:hanging="220"/>
      </w:pPr>
      <w:r>
        <w:rPr>
          <w:rFonts w:ascii="Arial" w:cs="Arial" w:eastAsia="Arial" w:hAnsi="Arial"/>
          <w:b/>
          <w:bCs/>
          <w:color w:val="E8822A"/>
          <w:sz w:val="20"/>
          <w:szCs w:val="20"/>
        </w:rPr>
        <w:t xml:space="preserve">–  </w:t>
      </w:r>
      <w:r>
        <w:rPr>
          <w:rFonts w:ascii="Arial" w:cs="Arial" w:eastAsia="Arial" w:hAnsi="Arial"/>
          <w:color w:val="1C2B3A"/>
          <w:sz w:val="20"/>
          <w:szCs w:val="20"/>
        </w:rPr>
        <w:t xml:space="preserve">Add "Glossary" or "Resources" to the main nav linking to /glossary/</w:t>
      </w:r>
    </w:p>
    <w:p>
      <w:pPr>
        <w:spacing w:before="40" w:after="40"/>
        <w:ind w:left="360" w:hanging="220"/>
      </w:pPr>
      <w:r>
        <w:rPr>
          <w:rFonts w:ascii="Arial" w:cs="Arial" w:eastAsia="Arial" w:hAnsi="Arial"/>
          <w:b/>
          <w:bCs/>
          <w:color w:val="E8822A"/>
          <w:sz w:val="20"/>
          <w:szCs w:val="20"/>
        </w:rPr>
        <w:t xml:space="preserve">–  </w:t>
      </w:r>
      <w:r>
        <w:rPr>
          <w:rFonts w:ascii="Arial" w:cs="Arial" w:eastAsia="Arial" w:hAnsi="Arial"/>
          <w:color w:val="1C2B3A"/>
          <w:sz w:val="20"/>
          <w:szCs w:val="20"/>
        </w:rPr>
        <w:t xml:space="preserve">Or add a footer link: "Glossary" → /glossary/</w:t>
      </w:r>
    </w:p>
    <w:p>
      <w:pPr>
        <w:spacing w:before="40" w:after="40"/>
        <w:ind w:left="360" w:hanging="220"/>
      </w:pPr>
      <w:r>
        <w:rPr>
          <w:rFonts w:ascii="Arial" w:cs="Arial" w:eastAsia="Arial" w:hAnsi="Arial"/>
          <w:b/>
          <w:bCs/>
          <w:color w:val="E8822A"/>
          <w:sz w:val="20"/>
          <w:szCs w:val="20"/>
        </w:rPr>
        <w:t xml:space="preserve">–  </w:t>
      </w:r>
      <w:r>
        <w:rPr>
          <w:rFonts w:ascii="Arial" w:cs="Arial" w:eastAsia="Arial" w:hAnsi="Arial"/>
          <w:color w:val="1C2B3A"/>
          <w:sz w:val="20"/>
          <w:szCs w:val="20"/>
        </w:rPr>
        <w:t xml:space="preserve">Each term page should also link back to /glossary/ (breadcrumb: Home &gt; Glossary &gt; [Term])</w:t>
      </w:r>
    </w:p>
    <w:p>
      <w:pPr>
        <w:spacing w:before="80" w:after="0"/>
      </w:pPr>
      <w:r>
        <w:t xml:space="preserve"/>
      </w:r>
    </w:p>
    <w:p>
      <w:pPr>
        <w:pBdr>
          <w:bottom w:val="single" w:color="D0D8E0" w:sz="3" w:space="1"/>
        </w:pBdr>
        <w:spacing w:before="100" w:after="0"/>
      </w:pPr>
      <w:r>
        <w:t xml:space="preserve"/>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10</w:t>
            </w:r>
          </w:p>
        </w:tc>
        <w:tc>
          <w:tcPr>
            <w:tcW w:type="dxa" w:w="8660"/>
            <w:tcBorders>
              <w:top w:val="none" w:color="FFFFFF" w:sz="0"/>
              <w:left w:val="none" w:color="FFFFFF" w:sz="0"/>
              <w:bottom w:val="none" w:color="FFFFFF" w:sz="0"/>
              <w:right w:val="none" w:color="FFFFFF" w:sz="0"/>
            </w:tcBorders>
            <w:shd w:fill="EDF1F5" w:val="clear"/>
            <w:tcMar>
              <w:top w:type="dxa" w:w="80"/>
              <w:left w:type="dxa" w:w="200"/>
              <w:bottom w:type="dxa" w:w="80"/>
              <w:right w:type="dxa" w:w="120"/>
            </w:tcMar>
          </w:tcPr>
          <w:p>
            <w:r>
              <w:rPr>
                <w:rFonts w:ascii="Arial" w:cs="Arial" w:eastAsia="Arial" w:hAnsi="Arial"/>
                <w:b/>
                <w:bCs/>
                <w:color w:val="1A3A5C"/>
                <w:sz w:val="24"/>
                <w:szCs w:val="24"/>
              </w:rPr>
              <w:t xml:space="preserve">Add BreadcrumbList schema to each term page</w:t>
            </w:r>
          </w:p>
        </w:tc>
      </w:tr>
    </w:tbl>
    <w:p>
      <w:pPr>
        <w:spacing w:before="120" w:after="80"/>
      </w:pPr>
      <w:r>
        <w:rPr>
          <w:rFonts w:ascii="Arial" w:cs="Arial" w:eastAsia="Arial" w:hAnsi="Arial"/>
          <w:color w:val="1C2B3A"/>
          <w:sz w:val="22"/>
          <w:szCs w:val="22"/>
        </w:rPr>
        <w:t xml:space="preserve">In addition to Article schema (Step 5), add BreadcrumbList schema to each term page. This generates breadcrumb rich results in Google and reinforces the site hierarchy for crawlers.</w:t>
      </w:r>
    </w:p>
    <w:p>
      <w:pPr>
        <w:spacing w:before="40" w:after="40"/>
        <w:ind w:left="360" w:hanging="220"/>
      </w:pPr>
      <w:r>
        <w:rPr>
          <w:rFonts w:ascii="Arial" w:cs="Arial" w:eastAsia="Arial" w:hAnsi="Arial"/>
          <w:b/>
          <w:bCs/>
          <w:color w:val="E8822A"/>
          <w:sz w:val="20"/>
          <w:szCs w:val="20"/>
        </w:rPr>
        <w:t xml:space="preserve"/>
      </w:r>
      <w:r>
        <w:rPr>
          <w:rFonts w:ascii="Courier New" w:cs="Courier New" w:eastAsia="Courier New" w:hAnsi="Courier New"/>
          <w:color w:val="2E5E2E"/>
          <w:sz w:val="18"/>
          <w:szCs w:val="18"/>
        </w:rPr>
        <w:t xml:space="preserve">&lt;script type="application/ld+json"&gt;</w:t>
      </w:r>
    </w:p>
    <w:p>
      <w:pPr>
        <w:spacing w:before="40" w:after="40"/>
        <w:ind w:left="360" w:hanging="220"/>
      </w:pPr>
      <w:r>
        <w:rPr>
          <w:rFonts w:ascii="Arial" w:cs="Arial" w:eastAsia="Arial" w:hAnsi="Arial"/>
          <w:b/>
          <w:bCs/>
          <w:color w:val="E8822A"/>
          <w:sz w:val="20"/>
          <w:szCs w:val="20"/>
        </w:rPr>
        <w:t xml:space="preserve"/>
      </w:r>
      <w:r>
        <w:rPr>
          <w:rFonts w:ascii="Courier New" w:cs="Courier New" w:eastAsia="Courier New" w:hAnsi="Courier New"/>
          <w:color w:val="2E5E2E"/>
          <w:sz w:val="18"/>
          <w:szCs w:val="18"/>
        </w:rPr>
        <w:t xml:space="preserve">{</w:t>
      </w:r>
    </w:p>
    <w:p>
      <w:pPr>
        <w:spacing w:before="40" w:after="40"/>
        <w:ind w:left="360" w:hanging="220"/>
      </w:pPr>
      <w:r>
        <w:rPr>
          <w:rFonts w:ascii="Arial" w:cs="Arial" w:eastAsia="Arial" w:hAnsi="Arial"/>
          <w:b/>
          <w:bCs/>
          <w:color w:val="E8822A"/>
          <w:sz w:val="20"/>
          <w:szCs w:val="20"/>
        </w:rPr>
        <w:t xml:space="preserve"/>
      </w:r>
      <w:r>
        <w:rPr>
          <w:rFonts w:ascii="Courier New" w:cs="Courier New" w:eastAsia="Courier New" w:hAnsi="Courier New"/>
          <w:color w:val="2E5E2E"/>
          <w:sz w:val="18"/>
          <w:szCs w:val="18"/>
        </w:rPr>
        <w:t xml:space="preserve">  "@context": "https://schema.org",</w:t>
      </w:r>
    </w:p>
    <w:p>
      <w:pPr>
        <w:spacing w:before="40" w:after="40"/>
        <w:ind w:left="360" w:hanging="220"/>
      </w:pPr>
      <w:r>
        <w:rPr>
          <w:rFonts w:ascii="Arial" w:cs="Arial" w:eastAsia="Arial" w:hAnsi="Arial"/>
          <w:b/>
          <w:bCs/>
          <w:color w:val="E8822A"/>
          <w:sz w:val="20"/>
          <w:szCs w:val="20"/>
        </w:rPr>
        <w:t xml:space="preserve"/>
      </w:r>
      <w:r>
        <w:rPr>
          <w:rFonts w:ascii="Courier New" w:cs="Courier New" w:eastAsia="Courier New" w:hAnsi="Courier New"/>
          <w:color w:val="2E5E2E"/>
          <w:sz w:val="18"/>
          <w:szCs w:val="18"/>
        </w:rPr>
        <w:t xml:space="preserve">  "@type": "BreadcrumbList",</w:t>
      </w:r>
    </w:p>
    <w:p>
      <w:pPr>
        <w:spacing w:before="40" w:after="40"/>
        <w:ind w:left="360" w:hanging="220"/>
      </w:pPr>
      <w:r>
        <w:rPr>
          <w:rFonts w:ascii="Arial" w:cs="Arial" w:eastAsia="Arial" w:hAnsi="Arial"/>
          <w:b/>
          <w:bCs/>
          <w:color w:val="E8822A"/>
          <w:sz w:val="20"/>
          <w:szCs w:val="20"/>
        </w:rPr>
        <w:t xml:space="preserve"/>
      </w:r>
      <w:r>
        <w:rPr>
          <w:rFonts w:ascii="Courier New" w:cs="Courier New" w:eastAsia="Courier New" w:hAnsi="Courier New"/>
          <w:color w:val="2E5E2E"/>
          <w:sz w:val="18"/>
          <w:szCs w:val="18"/>
        </w:rPr>
        <w:t xml:space="preserve">  "itemListElement": [</w:t>
      </w:r>
    </w:p>
    <w:p>
      <w:pPr>
        <w:spacing w:before="40" w:after="40"/>
        <w:ind w:left="360" w:hanging="220"/>
      </w:pPr>
      <w:r>
        <w:rPr>
          <w:rFonts w:ascii="Arial" w:cs="Arial" w:eastAsia="Arial" w:hAnsi="Arial"/>
          <w:b/>
          <w:bCs/>
          <w:color w:val="E8822A"/>
          <w:sz w:val="20"/>
          <w:szCs w:val="20"/>
        </w:rPr>
        <w:t xml:space="preserve"/>
      </w:r>
      <w:r>
        <w:rPr>
          <w:rFonts w:ascii="Courier New" w:cs="Courier New" w:eastAsia="Courier New" w:hAnsi="Courier New"/>
          <w:color w:val="2E5E2E"/>
          <w:sz w:val="18"/>
          <w:szCs w:val="18"/>
        </w:rPr>
        <w:t xml:space="preserve">    { "@type": "ListItem", "position": 1, "name": "Home", "item": "https://mcf.digital/" },</w:t>
      </w:r>
    </w:p>
    <w:p>
      <w:pPr>
        <w:spacing w:before="40" w:after="40"/>
        <w:ind w:left="360" w:hanging="220"/>
      </w:pPr>
      <w:r>
        <w:rPr>
          <w:rFonts w:ascii="Arial" w:cs="Arial" w:eastAsia="Arial" w:hAnsi="Arial"/>
          <w:b/>
          <w:bCs/>
          <w:color w:val="E8822A"/>
          <w:sz w:val="20"/>
          <w:szCs w:val="20"/>
        </w:rPr>
        <w:t xml:space="preserve"/>
      </w:r>
      <w:r>
        <w:rPr>
          <w:rFonts w:ascii="Courier New" w:cs="Courier New" w:eastAsia="Courier New" w:hAnsi="Courier New"/>
          <w:color w:val="2E5E2E"/>
          <w:sz w:val="18"/>
          <w:szCs w:val="18"/>
        </w:rPr>
        <w:t xml:space="preserve">    { "@type": "ListItem", "position": 2, "name": "Glossary", "item": "https://mcf.digital/glossary/" },</w:t>
      </w:r>
    </w:p>
    <w:p>
      <w:pPr>
        <w:spacing w:before="40" w:after="40"/>
        <w:ind w:left="360" w:hanging="220"/>
      </w:pPr>
      <w:r>
        <w:rPr>
          <w:rFonts w:ascii="Arial" w:cs="Arial" w:eastAsia="Arial" w:hAnsi="Arial"/>
          <w:b/>
          <w:bCs/>
          <w:color w:val="E8822A"/>
          <w:sz w:val="20"/>
          <w:szCs w:val="20"/>
        </w:rPr>
        <w:t xml:space="preserve"/>
      </w:r>
      <w:r>
        <w:rPr>
          <w:rFonts w:ascii="Courier New" w:cs="Courier New" w:eastAsia="Courier New" w:hAnsi="Courier New"/>
          <w:color w:val="2E5E2E"/>
          <w:sz w:val="18"/>
          <w:szCs w:val="18"/>
        </w:rPr>
        <w:t xml:space="preserve">    { "@type": "ListItem", "position": 3, "name": "What Is Flare Gas?", "item": "https://mcf.digital/glossary/what-is-flare-gas" }</w:t>
      </w:r>
    </w:p>
    <w:p>
      <w:pPr>
        <w:spacing w:before="40" w:after="40"/>
        <w:ind w:left="360" w:hanging="220"/>
      </w:pPr>
      <w:r>
        <w:rPr>
          <w:rFonts w:ascii="Arial" w:cs="Arial" w:eastAsia="Arial" w:hAnsi="Arial"/>
          <w:b/>
          <w:bCs/>
          <w:color w:val="E8822A"/>
          <w:sz w:val="20"/>
          <w:szCs w:val="20"/>
        </w:rPr>
        <w:t xml:space="preserve"/>
      </w:r>
      <w:r>
        <w:rPr>
          <w:rFonts w:ascii="Courier New" w:cs="Courier New" w:eastAsia="Courier New" w:hAnsi="Courier New"/>
          <w:color w:val="2E5E2E"/>
          <w:sz w:val="18"/>
          <w:szCs w:val="18"/>
        </w:rPr>
        <w:t xml:space="preserve">  ]</w:t>
      </w:r>
    </w:p>
    <w:p>
      <w:pPr>
        <w:spacing w:before="40" w:after="40"/>
        <w:ind w:left="360" w:hanging="220"/>
      </w:pPr>
      <w:r>
        <w:rPr>
          <w:rFonts w:ascii="Arial" w:cs="Arial" w:eastAsia="Arial" w:hAnsi="Arial"/>
          <w:b/>
          <w:bCs/>
          <w:color w:val="E8822A"/>
          <w:sz w:val="20"/>
          <w:szCs w:val="20"/>
        </w:rPr>
        <w:t xml:space="preserve"/>
      </w:r>
      <w:r>
        <w:rPr>
          <w:rFonts w:ascii="Courier New" w:cs="Courier New" w:eastAsia="Courier New" w:hAnsi="Courier New"/>
          <w:color w:val="2E5E2E"/>
          <w:sz w:val="18"/>
          <w:szCs w:val="18"/>
        </w:rPr>
        <w:t xml:space="preserve">}</w:t>
      </w:r>
    </w:p>
    <w:p>
      <w:pPr>
        <w:spacing w:before="40" w:after="40"/>
        <w:ind w:left="360" w:hanging="220"/>
      </w:pPr>
      <w:r>
        <w:rPr>
          <w:rFonts w:ascii="Arial" w:cs="Arial" w:eastAsia="Arial" w:hAnsi="Arial"/>
          <w:b/>
          <w:bCs/>
          <w:color w:val="E8822A"/>
          <w:sz w:val="20"/>
          <w:szCs w:val="20"/>
        </w:rPr>
        <w:t xml:space="preserve"/>
      </w:r>
      <w:r>
        <w:rPr>
          <w:rFonts w:ascii="Courier New" w:cs="Courier New" w:eastAsia="Courier New" w:hAnsi="Courier New"/>
          <w:color w:val="2E5E2E"/>
          <w:sz w:val="18"/>
          <w:szCs w:val="18"/>
        </w:rPr>
        <w:t xml:space="preserve">&lt;/script&gt;</w:t>
      </w:r>
    </w:p>
    <w:p>
      <w:pPr>
        <w:spacing w:before="80" w:after="0"/>
      </w:pPr>
      <w:r>
        <w:t xml:space="preserve"/>
      </w:r>
    </w:p>
    <w:p>
      <w:pPr>
        <w:pBdr>
          <w:bottom w:val="single" w:color="D0D8E0" w:sz="3" w:space="1"/>
        </w:pBdr>
        <w:spacing w:before="100" w:after="0"/>
      </w:pPr>
      <w:r>
        <w:t xml:space="preserve"/>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11</w:t>
            </w:r>
          </w:p>
        </w:tc>
        <w:tc>
          <w:tcPr>
            <w:tcW w:type="dxa" w:w="8660"/>
            <w:tcBorders>
              <w:top w:val="none" w:color="FFFFFF" w:sz="0"/>
              <w:left w:val="none" w:color="FFFFFF" w:sz="0"/>
              <w:bottom w:val="none" w:color="FFFFFF" w:sz="0"/>
              <w:right w:val="none" w:color="FFFFFF" w:sz="0"/>
            </w:tcBorders>
            <w:shd w:fill="EDF1F5" w:val="clear"/>
            <w:tcMar>
              <w:top w:type="dxa" w:w="80"/>
              <w:left w:type="dxa" w:w="200"/>
              <w:bottom w:type="dxa" w:w="80"/>
              <w:right w:type="dxa" w:w="120"/>
            </w:tcMar>
          </w:tcPr>
          <w:p>
            <w:r>
              <w:rPr>
                <w:rFonts w:ascii="Arial" w:cs="Arial" w:eastAsia="Arial" w:hAnsi="Arial"/>
                <w:b/>
                <w:bCs/>
                <w:color w:val="1A3A5C"/>
                <w:sz w:val="24"/>
                <w:szCs w:val="24"/>
              </w:rPr>
              <w:t xml:space="preserve">Test and validate before publishing</w:t>
            </w:r>
          </w:p>
        </w:tc>
      </w:tr>
    </w:tbl>
    <w:p>
      <w:pPr>
        <w:spacing w:before="120" w:after="80"/>
      </w:pPr>
      <w:r>
        <w:rPr>
          <w:rFonts w:ascii="Arial" w:cs="Arial" w:eastAsia="Arial" w:hAnsi="Arial"/>
          <w:color w:val="1C2B3A"/>
          <w:sz w:val="22"/>
          <w:szCs w:val="22"/>
        </w:rPr>
        <w:t xml:space="preserve">Before publishing any page, run these three checks:</w:t>
      </w:r>
    </w:p>
    <w:p>
      <w:pPr>
        <w:spacing w:before="40" w:after="40"/>
        <w:ind w:left="360" w:hanging="220"/>
      </w:pPr>
      <w:r>
        <w:rPr>
          <w:rFonts w:ascii="Arial" w:cs="Arial" w:eastAsia="Arial" w:hAnsi="Arial"/>
          <w:b/>
          <w:bCs/>
          <w:color w:val="E8822A"/>
          <w:sz w:val="20"/>
          <w:szCs w:val="20"/>
        </w:rPr>
        <w:t xml:space="preserve">–  </w:t>
      </w:r>
      <w:r>
        <w:rPr>
          <w:rFonts w:ascii="Arial" w:cs="Arial" w:eastAsia="Arial" w:hAnsi="Arial"/>
          <w:color w:val="1C2B3A"/>
          <w:sz w:val="20"/>
          <w:szCs w:val="20"/>
        </w:rPr>
        <w:t xml:space="preserve">Google Rich Results Test (search.google.com/test/rich-results) — paste the page URL or code to verify Article and BreadcrumbList schema are valid</w:t>
      </w:r>
    </w:p>
    <w:p>
      <w:pPr>
        <w:spacing w:before="40" w:after="40"/>
        <w:ind w:left="360" w:hanging="220"/>
      </w:pPr>
      <w:r>
        <w:rPr>
          <w:rFonts w:ascii="Arial" w:cs="Arial" w:eastAsia="Arial" w:hAnsi="Arial"/>
          <w:b/>
          <w:bCs/>
          <w:color w:val="E8822A"/>
          <w:sz w:val="20"/>
          <w:szCs w:val="20"/>
        </w:rPr>
        <w:t xml:space="preserve">–  </w:t>
      </w:r>
      <w:r>
        <w:rPr>
          <w:rFonts w:ascii="Arial" w:cs="Arial" w:eastAsia="Arial" w:hAnsi="Arial"/>
          <w:color w:val="1C2B3A"/>
          <w:sz w:val="20"/>
          <w:szCs w:val="20"/>
        </w:rPr>
        <w:t xml:space="preserve">Google PageSpeed Insights — verify the page scores above 85 on mobile. Glossary pages are text-heavy and should be fast by default.</w:t>
      </w:r>
    </w:p>
    <w:p>
      <w:pPr>
        <w:spacing w:before="40" w:after="40"/>
        <w:ind w:left="360" w:hanging="220"/>
      </w:pPr>
      <w:r>
        <w:rPr>
          <w:rFonts w:ascii="Arial" w:cs="Arial" w:eastAsia="Arial" w:hAnsi="Arial"/>
          <w:b/>
          <w:bCs/>
          <w:color w:val="E8822A"/>
          <w:sz w:val="20"/>
          <w:szCs w:val="20"/>
        </w:rPr>
        <w:t xml:space="preserve">–  </w:t>
      </w:r>
      <w:r>
        <w:rPr>
          <w:rFonts w:ascii="Arial" w:cs="Arial" w:eastAsia="Arial" w:hAnsi="Arial"/>
          <w:color w:val="1C2B3A"/>
          <w:sz w:val="20"/>
          <w:szCs w:val="20"/>
        </w:rPr>
        <w:t xml:space="preserve">Screaming Frog or manual check — confirm title tag is under 60 characters, meta description is under 155 characters, H1 exists, and canonical URL is correct</w:t>
      </w:r>
    </w:p>
    <w:p>
      <w:pPr>
        <w:spacing w:before="80" w:after="0"/>
      </w:pPr>
      <w:r>
        <w:t xml:space="preserve"/>
      </w:r>
    </w:p>
    <w:p>
      <w:pPr>
        <w:pBdr>
          <w:bottom w:val="single" w:color="D0D8E0" w:sz="3" w:space="1"/>
        </w:pBdr>
        <w:spacing w:before="100" w:after="0"/>
      </w:pPr>
      <w:r>
        <w:t xml:space="preserve"/>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12</w:t>
            </w:r>
          </w:p>
        </w:tc>
        <w:tc>
          <w:tcPr>
            <w:tcW w:type="dxa" w:w="8660"/>
            <w:tcBorders>
              <w:top w:val="none" w:color="FFFFFF" w:sz="0"/>
              <w:left w:val="none" w:color="FFFFFF" w:sz="0"/>
              <w:bottom w:val="none" w:color="FFFFFF" w:sz="0"/>
              <w:right w:val="none" w:color="FFFFFF" w:sz="0"/>
            </w:tcBorders>
            <w:shd w:fill="EDF1F5" w:val="clear"/>
            <w:tcMar>
              <w:top w:type="dxa" w:w="80"/>
              <w:left w:type="dxa" w:w="200"/>
              <w:bottom w:type="dxa" w:w="80"/>
              <w:right w:type="dxa" w:w="120"/>
            </w:tcMar>
          </w:tcPr>
          <w:p>
            <w:r>
              <w:rPr>
                <w:rFonts w:ascii="Arial" w:cs="Arial" w:eastAsia="Arial" w:hAnsi="Arial"/>
                <w:b/>
                <w:bCs/>
                <w:color w:val="1A3A5C"/>
                <w:sz w:val="24"/>
                <w:szCs w:val="24"/>
              </w:rPr>
              <w:t xml:space="preserve">Production order</w:t>
            </w:r>
          </w:p>
        </w:tc>
      </w:tr>
    </w:tbl>
    <w:p>
      <w:pPr>
        <w:spacing w:before="120" w:after="80"/>
      </w:pPr>
      <w:r>
        <w:rPr>
          <w:rFonts w:ascii="Arial" w:cs="Arial" w:eastAsia="Arial" w:hAnsi="Arial"/>
          <w:color w:val="1C2B3A"/>
          <w:sz w:val="22"/>
          <w:szCs w:val="22"/>
        </w:rPr>
        <w:t xml:space="preserve">Publish glossary pages in this order, aligned with the master content plan priority sequence:</w:t>
      </w:r>
    </w:p>
    <w:p>
      <w:pPr>
        <w:spacing w:before="40" w:after="40"/>
        <w:ind w:left="360" w:hanging="220"/>
      </w:pPr>
      <w:r>
        <w:rPr>
          <w:rFonts w:ascii="Arial" w:cs="Arial" w:eastAsia="Arial" w:hAnsi="Arial"/>
          <w:b/>
          <w:bCs/>
          <w:color w:val="E8822A"/>
          <w:sz w:val="20"/>
          <w:szCs w:val="20"/>
        </w:rPr>
        <w:t xml:space="preserve">–  </w:t>
      </w:r>
      <w:r>
        <w:rPr>
          <w:rFonts w:ascii="Arial" w:cs="Arial" w:eastAsia="Arial" w:hAnsi="Arial"/>
          <w:color w:val="1C2B3A"/>
          <w:sz w:val="20"/>
          <w:szCs w:val="20"/>
        </w:rPr>
        <w:t xml:space="preserve">Week 1–2 (Critical):  G-1 What Is On-Lease Bitcoin Mining?,  G-2 What Is Flare Gas?,  G-3 What Is Gas Netback?</w:t>
      </w:r>
    </w:p>
    <w:p>
      <w:pPr>
        <w:spacing w:before="40" w:after="40"/>
        <w:ind w:left="360" w:hanging="220"/>
      </w:pPr>
      <w:r>
        <w:rPr>
          <w:rFonts w:ascii="Arial" w:cs="Arial" w:eastAsia="Arial" w:hAnsi="Arial"/>
          <w:b/>
          <w:bCs/>
          <w:color w:val="E8822A"/>
          <w:sz w:val="20"/>
          <w:szCs w:val="20"/>
        </w:rPr>
        <w:t xml:space="preserve">–  </w:t>
      </w:r>
      <w:r>
        <w:rPr>
          <w:rFonts w:ascii="Arial" w:cs="Arial" w:eastAsia="Arial" w:hAnsi="Arial"/>
          <w:color w:val="1C2B3A"/>
          <w:sz w:val="20"/>
          <w:szCs w:val="20"/>
        </w:rPr>
        <w:t xml:space="preserve">Week 3–4 (High):  G-6 Gas-to-Hash,  G-7 Stranded Gas vs. Flare Gas,  G-4 What Is a Methane Number?</w:t>
      </w:r>
    </w:p>
    <w:p>
      <w:pPr>
        <w:spacing w:before="40" w:after="40"/>
        <w:ind w:left="360" w:hanging="220"/>
      </w:pPr>
      <w:r>
        <w:rPr>
          <w:rFonts w:ascii="Arial" w:cs="Arial" w:eastAsia="Arial" w:hAnsi="Arial"/>
          <w:b/>
          <w:bCs/>
          <w:color w:val="E8822A"/>
          <w:sz w:val="20"/>
          <w:szCs w:val="20"/>
        </w:rPr>
        <w:t xml:space="preserve">–  </w:t>
      </w:r>
      <w:r>
        <w:rPr>
          <w:rFonts w:ascii="Arial" w:cs="Arial" w:eastAsia="Arial" w:hAnsi="Arial"/>
          <w:color w:val="1C2B3A"/>
          <w:sz w:val="20"/>
          <w:szCs w:val="20"/>
        </w:rPr>
        <w:t xml:space="preserve">Week 5–6 (High/Medium):  G-5 What Is a Genset Derate?,  G-8 What Is a Hosting Agreement?</w:t>
      </w:r>
    </w:p>
    <w:p>
      <w:pPr>
        <w:spacing w:before="40" w:after="40"/>
        <w:ind w:left="360" w:hanging="220"/>
      </w:pPr>
      <w:r>
        <w:rPr>
          <w:rFonts w:ascii="Arial" w:cs="Arial" w:eastAsia="Arial" w:hAnsi="Arial"/>
          <w:b/>
          <w:bCs/>
          <w:color w:val="E8822A"/>
          <w:sz w:val="20"/>
          <w:szCs w:val="20"/>
        </w:rPr>
        <w:t xml:space="preserve">–  </w:t>
      </w:r>
      <w:r>
        <w:rPr>
          <w:rFonts w:ascii="Arial" w:cs="Arial" w:eastAsia="Arial" w:hAnsi="Arial"/>
          <w:color w:val="1C2B3A"/>
          <w:sz w:val="20"/>
          <w:szCs w:val="20"/>
        </w:rPr>
        <w:t xml:space="preserve">Week 7 (Medium):  G-9 What Is Hashprice?,  G-10 What Is Custody-First Bitcoin Payout?</w:t>
      </w:r>
    </w:p>
    <w:p>
      <w:pPr>
        <w:spacing w:before="40" w:after="40"/>
        <w:ind w:left="360" w:hanging="220"/>
      </w:pPr>
      <w:r>
        <w:rPr>
          <w:rFonts w:ascii="Arial" w:cs="Arial" w:eastAsia="Arial" w:hAnsi="Arial"/>
          <w:b/>
          <w:bCs/>
          <w:color w:val="E8822A"/>
          <w:sz w:val="20"/>
          <w:szCs w:val="20"/>
        </w:rPr>
        <w:t xml:space="preserve">–  </w:t>
      </w:r>
      <w:r>
        <w:rPr>
          <w:rFonts w:ascii="Arial" w:cs="Arial" w:eastAsia="Arial" w:hAnsi="Arial"/>
          <w:color w:val="1C2B3A"/>
          <w:sz w:val="20"/>
          <w:szCs w:val="20"/>
        </w:rPr>
        <w:t xml:space="preserve">Publish the /glossary/ index page on Week 1 before any term pages go live, so internal links resolve immediately.</w:t>
      </w:r>
    </w:p>
    <w:p>
      <w:pPr>
        <w:spacing w:before="80" w:after="0"/>
      </w:pPr>
      <w:r>
        <w:t xml:space="preserve"/>
      </w:r>
    </w:p>
    <w:p>
      <w:pPr>
        <w:spacing w:before="300" w:after="0"/>
      </w:pPr>
      <w:r>
        <w:t xml:space="preserve"/>
      </w:r>
    </w:p>
    <w:p>
      <w:pPr>
        <w:pBdr>
          <w:bottom w:val="single" w:color="E8822A" w:sz="6" w:space="1"/>
        </w:pBdr>
        <w:spacing w:before="0" w:after="120"/>
      </w:pPr>
      <w:r>
        <w:rPr>
          <w:rFonts w:ascii="Arial" w:cs="Arial" w:eastAsia="Arial" w:hAnsi="Arial"/>
          <w:b/>
          <w:bCs/>
          <w:color w:val="1A3A5C"/>
          <w:sz w:val="32"/>
          <w:szCs w:val="32"/>
        </w:rPr>
        <w:t xml:space="preserve">Pre-Publication Checklist</w:t>
      </w:r>
    </w:p>
    <w:p>
      <w:pPr>
        <w:spacing w:before="80" w:after="120"/>
      </w:pPr>
      <w:r>
        <w:rPr>
          <w:rFonts w:ascii="Arial" w:cs="Arial" w:eastAsia="Arial" w:hAnsi="Arial"/>
          <w:color w:val="8C9BAA"/>
          <w:sz w:val="22"/>
          <w:szCs w:val="22"/>
        </w:rPr>
        <w:t xml:space="preserve">Run through this checklist before each glossary page goes live.</w:t>
      </w:r>
    </w:p>
    <w:p>
      <w:pPr>
        <w:spacing w:before="60" w:after="60"/>
        <w:ind w:left="360" w:hanging="360"/>
      </w:pPr>
      <w:r>
        <w:rPr>
          <w:rFonts w:ascii="Arial" w:cs="Arial" w:eastAsia="Arial" w:hAnsi="Arial"/>
          <w:b/>
          <w:bCs/>
          <w:color w:val="E8822A"/>
          <w:sz w:val="22"/>
          <w:szCs w:val="22"/>
        </w:rPr>
        <w:t xml:space="preserve">☐  </w:t>
      </w:r>
      <w:r>
        <w:rPr>
          <w:rFonts w:ascii="Arial" w:cs="Arial" w:eastAsia="Arial" w:hAnsi="Arial"/>
          <w:color w:val="1C2B3A"/>
          <w:sz w:val="22"/>
          <w:szCs w:val="22"/>
        </w:rPr>
        <w:t xml:space="preserve">Unique URL set (e.g. /glossary/what-is-flare-gas)</w:t>
      </w:r>
    </w:p>
    <w:p>
      <w:pPr>
        <w:spacing w:before="60" w:after="60"/>
        <w:ind w:left="360" w:hanging="360"/>
      </w:pPr>
      <w:r>
        <w:rPr>
          <w:rFonts w:ascii="Arial" w:cs="Arial" w:eastAsia="Arial" w:hAnsi="Arial"/>
          <w:b/>
          <w:bCs/>
          <w:color w:val="E8822A"/>
          <w:sz w:val="22"/>
          <w:szCs w:val="22"/>
        </w:rPr>
        <w:t xml:space="preserve">☐  </w:t>
      </w:r>
      <w:r>
        <w:rPr>
          <w:rFonts w:ascii="Arial" w:cs="Arial" w:eastAsia="Arial" w:hAnsi="Arial"/>
          <w:color w:val="1C2B3A"/>
          <w:sz w:val="22"/>
          <w:szCs w:val="22"/>
        </w:rPr>
        <w:t xml:space="preserve">H1 matches the term name exactly</w:t>
      </w:r>
    </w:p>
    <w:p>
      <w:pPr>
        <w:spacing w:before="60" w:after="60"/>
        <w:ind w:left="360" w:hanging="360"/>
      </w:pPr>
      <w:r>
        <w:rPr>
          <w:rFonts w:ascii="Arial" w:cs="Arial" w:eastAsia="Arial" w:hAnsi="Arial"/>
          <w:b/>
          <w:bCs/>
          <w:color w:val="E8822A"/>
          <w:sz w:val="22"/>
          <w:szCs w:val="22"/>
        </w:rPr>
        <w:t xml:space="preserve">☐  </w:t>
      </w:r>
      <w:r>
        <w:rPr>
          <w:rFonts w:ascii="Arial" w:cs="Arial" w:eastAsia="Arial" w:hAnsi="Arial"/>
          <w:color w:val="1C2B3A"/>
          <w:sz w:val="22"/>
          <w:szCs w:val="22"/>
        </w:rPr>
        <w:t xml:space="preserve">Definition text appears in the first 100 words</w:t>
      </w:r>
    </w:p>
    <w:p>
      <w:pPr>
        <w:spacing w:before="60" w:after="60"/>
        <w:ind w:left="360" w:hanging="360"/>
      </w:pPr>
      <w:r>
        <w:rPr>
          <w:rFonts w:ascii="Arial" w:cs="Arial" w:eastAsia="Arial" w:hAnsi="Arial"/>
          <w:b/>
          <w:bCs/>
          <w:color w:val="E8822A"/>
          <w:sz w:val="22"/>
          <w:szCs w:val="22"/>
        </w:rPr>
        <w:t xml:space="preserve">☐  </w:t>
      </w:r>
      <w:r>
        <w:rPr>
          <w:rFonts w:ascii="Arial" w:cs="Arial" w:eastAsia="Arial" w:hAnsi="Arial"/>
          <w:color w:val="1C2B3A"/>
          <w:sz w:val="22"/>
          <w:szCs w:val="22"/>
        </w:rPr>
        <w:t xml:space="preserve">Title tag written and under 60 characters</w:t>
      </w:r>
    </w:p>
    <w:p>
      <w:pPr>
        <w:spacing w:before="60" w:after="60"/>
        <w:ind w:left="360" w:hanging="360"/>
      </w:pPr>
      <w:r>
        <w:rPr>
          <w:rFonts w:ascii="Arial" w:cs="Arial" w:eastAsia="Arial" w:hAnsi="Arial"/>
          <w:b/>
          <w:bCs/>
          <w:color w:val="E8822A"/>
          <w:sz w:val="22"/>
          <w:szCs w:val="22"/>
        </w:rPr>
        <w:t xml:space="preserve">☐  </w:t>
      </w:r>
      <w:r>
        <w:rPr>
          <w:rFonts w:ascii="Arial" w:cs="Arial" w:eastAsia="Arial" w:hAnsi="Arial"/>
          <w:color w:val="1C2B3A"/>
          <w:sz w:val="22"/>
          <w:szCs w:val="22"/>
        </w:rPr>
        <w:t xml:space="preserve">Meta description written and under 155 characters</w:t>
      </w:r>
    </w:p>
    <w:p>
      <w:pPr>
        <w:spacing w:before="60" w:after="60"/>
        <w:ind w:left="360" w:hanging="360"/>
      </w:pPr>
      <w:r>
        <w:rPr>
          <w:rFonts w:ascii="Arial" w:cs="Arial" w:eastAsia="Arial" w:hAnsi="Arial"/>
          <w:b/>
          <w:bCs/>
          <w:color w:val="E8822A"/>
          <w:sz w:val="22"/>
          <w:szCs w:val="22"/>
        </w:rPr>
        <w:t xml:space="preserve">☐  </w:t>
      </w:r>
      <w:r>
        <w:rPr>
          <w:rFonts w:ascii="Arial" w:cs="Arial" w:eastAsia="Arial" w:hAnsi="Arial"/>
          <w:color w:val="1C2B3A"/>
          <w:sz w:val="22"/>
          <w:szCs w:val="22"/>
        </w:rPr>
        <w:t xml:space="preserve">Canonical tag present and pointing to the correct URL</w:t>
      </w:r>
    </w:p>
    <w:p>
      <w:pPr>
        <w:spacing w:before="60" w:after="60"/>
        <w:ind w:left="360" w:hanging="360"/>
      </w:pPr>
      <w:r>
        <w:rPr>
          <w:rFonts w:ascii="Arial" w:cs="Arial" w:eastAsia="Arial" w:hAnsi="Arial"/>
          <w:b/>
          <w:bCs/>
          <w:color w:val="E8822A"/>
          <w:sz w:val="22"/>
          <w:szCs w:val="22"/>
        </w:rPr>
        <w:t xml:space="preserve">☐  </w:t>
      </w:r>
      <w:r>
        <w:rPr>
          <w:rFonts w:ascii="Arial" w:cs="Arial" w:eastAsia="Arial" w:hAnsi="Arial"/>
          <w:color w:val="1C2B3A"/>
          <w:sz w:val="22"/>
          <w:szCs w:val="22"/>
        </w:rPr>
        <w:t xml:space="preserve">Article schema added and validated in Rich Results Test</w:t>
      </w:r>
    </w:p>
    <w:p>
      <w:pPr>
        <w:spacing w:before="60" w:after="60"/>
        <w:ind w:left="360" w:hanging="360"/>
      </w:pPr>
      <w:r>
        <w:rPr>
          <w:rFonts w:ascii="Arial" w:cs="Arial" w:eastAsia="Arial" w:hAnsi="Arial"/>
          <w:b/>
          <w:bCs/>
          <w:color w:val="E8822A"/>
          <w:sz w:val="22"/>
          <w:szCs w:val="22"/>
        </w:rPr>
        <w:t xml:space="preserve">☐  </w:t>
      </w:r>
      <w:r>
        <w:rPr>
          <w:rFonts w:ascii="Arial" w:cs="Arial" w:eastAsia="Arial" w:hAnsi="Arial"/>
          <w:color w:val="1C2B3A"/>
          <w:sz w:val="22"/>
          <w:szCs w:val="22"/>
        </w:rPr>
        <w:t xml:space="preserve">BreadcrumbList schema added</w:t>
      </w:r>
    </w:p>
    <w:p>
      <w:pPr>
        <w:spacing w:before="60" w:after="60"/>
        <w:ind w:left="360" w:hanging="360"/>
      </w:pPr>
      <w:r>
        <w:rPr>
          <w:rFonts w:ascii="Arial" w:cs="Arial" w:eastAsia="Arial" w:hAnsi="Arial"/>
          <w:b/>
          <w:bCs/>
          <w:color w:val="E8822A"/>
          <w:sz w:val="22"/>
          <w:szCs w:val="22"/>
        </w:rPr>
        <w:t xml:space="preserve">☐  </w:t>
      </w:r>
      <w:r>
        <w:rPr>
          <w:rFonts w:ascii="Arial" w:cs="Arial" w:eastAsia="Arial" w:hAnsi="Arial"/>
          <w:color w:val="1C2B3A"/>
          <w:sz w:val="22"/>
          <w:szCs w:val="22"/>
        </w:rPr>
        <w:t xml:space="preserve">At least one internal link to a service page in the body copy</w:t>
      </w:r>
    </w:p>
    <w:p>
      <w:pPr>
        <w:spacing w:before="60" w:after="60"/>
        <w:ind w:left="360" w:hanging="360"/>
      </w:pPr>
      <w:r>
        <w:rPr>
          <w:rFonts w:ascii="Arial" w:cs="Arial" w:eastAsia="Arial" w:hAnsi="Arial"/>
          <w:b/>
          <w:bCs/>
          <w:color w:val="E8822A"/>
          <w:sz w:val="22"/>
          <w:szCs w:val="22"/>
        </w:rPr>
        <w:t xml:space="preserve">☐  </w:t>
      </w:r>
      <w:r>
        <w:rPr>
          <w:rFonts w:ascii="Arial" w:cs="Arial" w:eastAsia="Arial" w:hAnsi="Arial"/>
          <w:color w:val="1C2B3A"/>
          <w:sz w:val="22"/>
          <w:szCs w:val="22"/>
        </w:rPr>
        <w:t xml:space="preserve">"See also" or Related Resources section links to 2–3 related pages</w:t>
      </w:r>
    </w:p>
    <w:p>
      <w:pPr>
        <w:spacing w:before="60" w:after="60"/>
        <w:ind w:left="360" w:hanging="360"/>
      </w:pPr>
      <w:r>
        <w:rPr>
          <w:rFonts w:ascii="Arial" w:cs="Arial" w:eastAsia="Arial" w:hAnsi="Arial"/>
          <w:b/>
          <w:bCs/>
          <w:color w:val="E8822A"/>
          <w:sz w:val="22"/>
          <w:szCs w:val="22"/>
        </w:rPr>
        <w:t xml:space="preserve">☐  </w:t>
      </w:r>
      <w:r>
        <w:rPr>
          <w:rFonts w:ascii="Arial" w:cs="Arial" w:eastAsia="Arial" w:hAnsi="Arial"/>
          <w:color w:val="1C2B3A"/>
          <w:sz w:val="22"/>
          <w:szCs w:val="22"/>
        </w:rPr>
        <w:t xml:space="preserve">Page is not set to noindex</w:t>
      </w:r>
    </w:p>
    <w:p>
      <w:pPr>
        <w:spacing w:before="60" w:after="60"/>
        <w:ind w:left="360" w:hanging="360"/>
      </w:pPr>
      <w:r>
        <w:rPr>
          <w:rFonts w:ascii="Arial" w:cs="Arial" w:eastAsia="Arial" w:hAnsi="Arial"/>
          <w:b/>
          <w:bCs/>
          <w:color w:val="E8822A"/>
          <w:sz w:val="22"/>
          <w:szCs w:val="22"/>
        </w:rPr>
        <w:t xml:space="preserve">☐  </w:t>
      </w:r>
      <w:r>
        <w:rPr>
          <w:rFonts w:ascii="Arial" w:cs="Arial" w:eastAsia="Arial" w:hAnsi="Arial"/>
          <w:color w:val="1C2B3A"/>
          <w:sz w:val="22"/>
          <w:szCs w:val="22"/>
        </w:rPr>
        <w:t xml:space="preserve">/glossary/ URL is not blocked in robots.txt</w:t>
      </w:r>
    </w:p>
    <w:p>
      <w:pPr>
        <w:spacing w:before="60" w:after="60"/>
        <w:ind w:left="360" w:hanging="360"/>
      </w:pPr>
      <w:r>
        <w:rPr>
          <w:rFonts w:ascii="Arial" w:cs="Arial" w:eastAsia="Arial" w:hAnsi="Arial"/>
          <w:b/>
          <w:bCs/>
          <w:color w:val="E8822A"/>
          <w:sz w:val="22"/>
          <w:szCs w:val="22"/>
        </w:rPr>
        <w:t xml:space="preserve">☐  </w:t>
      </w:r>
      <w:r>
        <w:rPr>
          <w:rFonts w:ascii="Arial" w:cs="Arial" w:eastAsia="Arial" w:hAnsi="Arial"/>
          <w:color w:val="1C2B3A"/>
          <w:sz w:val="22"/>
          <w:szCs w:val="22"/>
        </w:rPr>
        <w:t xml:space="preserve">Page added to XML sitemap</w:t>
      </w:r>
    </w:p>
    <w:p>
      <w:pPr>
        <w:spacing w:before="60" w:after="60"/>
        <w:ind w:left="360" w:hanging="360"/>
      </w:pPr>
      <w:r>
        <w:rPr>
          <w:rFonts w:ascii="Arial" w:cs="Arial" w:eastAsia="Arial" w:hAnsi="Arial"/>
          <w:b/>
          <w:bCs/>
          <w:color w:val="E8822A"/>
          <w:sz w:val="22"/>
          <w:szCs w:val="22"/>
        </w:rPr>
        <w:t xml:space="preserve">☐  </w:t>
      </w:r>
      <w:r>
        <w:rPr>
          <w:rFonts w:ascii="Arial" w:cs="Arial" w:eastAsia="Arial" w:hAnsi="Arial"/>
          <w:color w:val="1C2B3A"/>
          <w:sz w:val="22"/>
          <w:szCs w:val="22"/>
        </w:rPr>
        <w:t xml:space="preserve">Page links back to /glossary/ index via breadcrumb</w:t>
      </w:r>
    </w:p>
    <w:sectPr>
      <w:footerReference w:type="default" r:id="rId6"/>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0" w:sz="3" w:space="4"/>
      </w:pBdr>
      <w:spacing w:before="80"/>
    </w:pPr>
    <w:r>
      <w:rPr>
        <w:rFonts w:ascii="Arial" w:cs="Arial" w:eastAsia="Arial" w:hAnsi="Arial"/>
        <w:color w:val="8C9BAA"/>
        <w:sz w:val="18"/>
        <w:szCs w:val="18"/>
      </w:rPr>
      <w:t xml:space="preserve">MCF.DIGITAL  ·  Gas-to-Hash Glossary  ·  mcf.digital/glossary</w:t>
    </w:r>
    <w:r>
      <w:rPr>
        <w:rFonts w:ascii="Arial" w:cs="Arial" w:eastAsia="Arial" w:hAnsi="Arial"/>
        <w:color w:val="8C9BAA"/>
        <w:sz w:val="18"/>
        <w:szCs w:val="18"/>
      </w:rPr>
      <w:t xml:space="preserve">    Page 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1A3A5C"/>
      <w:sz w:val="48"/>
      <w:szCs w:val="48"/>
    </w:rPr>
  </w:style>
  <w:style w:type="paragraph" w:styleId="Heading2">
    <w:name w:val="Heading 2"/>
    <w:basedOn w:val="Normal"/>
    <w:next w:val="Normal"/>
    <w:qFormat/>
    <w:pPr>
      <w:spacing w:before="60" w:after="120"/>
      <w:outlineLvl w:val="1"/>
    </w:pPr>
    <w:rPr>
      <w:rFonts w:ascii="Arial" w:cs="Arial" w:eastAsia="Arial" w:hAnsi="Arial"/>
      <w:b/>
      <w:bCs/>
      <w:color w:val="1A3A5C"/>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2026-02-26T18:08:50.571Z</dcterms:created>
  <dcterms:modified xsi:type="dcterms:W3CDTF">2026-02-26T18:08:50.572Z</dcterms:modified>
</cp:coreProperties>
</file>

<file path=docProps/custom.xml><?xml version="1.0" encoding="utf-8"?>
<Properties xmlns="http://schemas.openxmlformats.org/officeDocument/2006/custom-properties" xmlns:vt="http://schemas.openxmlformats.org/officeDocument/2006/docPropsVTypes"/>
</file>