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80"/>
      </w:pPr>
      <w:r>
        <w:rPr>
          <w:rFonts w:ascii="Arial" w:cs="Arial" w:eastAsia="Arial" w:hAnsi="Arial"/>
          <w:caps/>
          <w:color w:val="999999"/>
          <w:sz w:val="18"/>
          <w:szCs w:val="18"/>
        </w:rPr>
        <w:t xml:space="preserve">OPERATOR GUIDE  //  PERMIAN BASIN</w:t>
      </w:r>
    </w:p>
    <w:p>
      <w:pPr>
        <w:spacing w:before="0" w:after="120"/>
      </w:pPr>
      <w:r>
        <w:rPr>
          <w:rFonts w:ascii="Arial" w:cs="Arial" w:eastAsia="Arial" w:hAnsi="Arial"/>
          <w:b/>
          <w:bCs/>
          <w:color w:val="1A1A1A"/>
          <w:sz w:val="52"/>
          <w:szCs w:val="52"/>
        </w:rPr>
        <w:t xml:space="preserve">The Permian Operator’s Guide to</w:t>
      </w:r>
    </w:p>
    <w:p>
      <w:pPr>
        <w:spacing w:before="0" w:after="200"/>
      </w:pPr>
      <w:r>
        <w:rPr>
          <w:rFonts w:ascii="Arial" w:cs="Arial" w:eastAsia="Arial" w:hAnsi="Arial"/>
          <w:b/>
          <w:bCs/>
          <w:color w:val="E8500A"/>
          <w:sz w:val="52"/>
          <w:szCs w:val="52"/>
        </w:rPr>
        <w:t xml:space="preserve">Flare Gas Monetization</w:t>
      </w:r>
    </w:p>
    <w:p>
      <w:pPr>
        <w:pBdr>
          <w:bottom w:val="single" w:color="E8D5CC" w:sz="6" w:space="4"/>
        </w:pBdr>
        <w:spacing w:before="0" w:after="320"/>
      </w:pPr>
      <w:r>
        <w:rPr>
          <w:rFonts w:ascii="Arial" w:cs="Arial" w:eastAsia="Arial" w:hAnsi="Arial"/>
          <w:color w:val="4A4A4A"/>
          <w:sz w:val="24"/>
          <w:szCs w:val="24"/>
        </w:rPr>
        <w:t xml:space="preserve">How Delaware and Midland basin operators are eliminating flaring compliance risk and generating monthly revenue from gas they were previously burning.</w:t>
      </w:r>
    </w:p>
    <w:p>
      <w:pPr>
        <w:spacing w:before="2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Permian Flaring Share</w:t>
            </w:r>
          </w:p>
        </w:tc>
        <w:tc>
          <w:tcPr>
            <w:tcW w:type="dxa" w:w="312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Minimum Gas Volume</w:t>
            </w:r>
          </w:p>
        </w:tc>
        <w:tc>
          <w:tcPr>
            <w:tcW w:type="dxa" w:w="312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Typical Deployment</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4A4A4A"/>
                <w:sz w:val="20"/>
                <w:szCs w:val="20"/>
              </w:rPr>
              <w:t xml:space="preserve">~25% of all U.S. flaring</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4A4A4A"/>
                <w:sz w:val="20"/>
                <w:szCs w:val="20"/>
              </w:rPr>
              <w:t xml:space="preserve">100 Mcfd</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4A4A4A"/>
                <w:sz w:val="20"/>
                <w:szCs w:val="20"/>
              </w:rPr>
              <w:t xml:space="preserve">4–8 weeks to first revenue</w:t>
            </w:r>
          </w:p>
        </w:tc>
      </w:tr>
      <w:tr>
        <w:tc>
          <w:tcPr>
            <w:tcW w:type="dxa" w:w="312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pPr>
              <w:jc w:val="center"/>
            </w:pPr>
            <w:r>
              <w:rPr>
                <w:rFonts w:ascii="Arial" w:cs="Arial" w:eastAsia="Arial" w:hAnsi="Arial"/>
                <w:color w:val="4A4A4A"/>
                <w:sz w:val="20"/>
                <w:szCs w:val="20"/>
              </w:rPr>
              <w:t xml:space="preserve">Largest single basin in U.S.</w:t>
            </w:r>
          </w:p>
        </w:tc>
        <w:tc>
          <w:tcPr>
            <w:tcW w:type="dxa" w:w="312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pPr>
              <w:jc w:val="center"/>
            </w:pPr>
            <w:r>
              <w:rPr>
                <w:rFonts w:ascii="Arial" w:cs="Arial" w:eastAsia="Arial" w:hAnsi="Arial"/>
                <w:color w:val="4A4A4A"/>
                <w:sz w:val="20"/>
                <w:szCs w:val="20"/>
              </w:rPr>
              <w:t xml:space="preserve">at a single pad</w:t>
            </w:r>
          </w:p>
        </w:tc>
        <w:tc>
          <w:tcPr>
            <w:tcW w:type="dxa" w:w="312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pPr>
              <w:jc w:val="center"/>
            </w:pPr>
            <w:r>
              <w:rPr>
                <w:rFonts w:ascii="Arial" w:cs="Arial" w:eastAsia="Arial" w:hAnsi="Arial"/>
                <w:color w:val="4A4A4A"/>
                <w:sz w:val="20"/>
                <w:szCs w:val="20"/>
              </w:rPr>
              <w:t xml:space="preserve">from site evaluation</w:t>
            </w:r>
          </w:p>
        </w:tc>
      </w:tr>
    </w:tbl>
    <w:p>
      <w:pPr>
        <w:spacing w:before="240" w:after="120"/>
      </w:pPr>
      <w:r>
        <w:t xml:space="preserve"/>
      </w:r>
    </w:p>
    <w:p>
      <w:pPr>
        <w:pStyle w:val="Heading2"/>
        <w:pBdr>
          <w:bottom w:val="single" w:color="E8500A" w:sz="4" w:space="4"/>
        </w:pBdr>
        <w:spacing w:before="320" w:after="120"/>
      </w:pPr>
      <w:r>
        <w:rPr>
          <w:rFonts w:ascii="Arial" w:cs="Arial" w:eastAsia="Arial" w:hAnsi="Arial"/>
          <w:b/>
          <w:bCs/>
          <w:color w:val="1A1A1A"/>
          <w:sz w:val="28"/>
          <w:szCs w:val="28"/>
        </w:rPr>
        <w:t xml:space="preserve">Why the Permian Is Ground Zero for Flare Gas Monetization</w:t>
      </w:r>
    </w:p>
    <w:p>
      <w:pPr>
        <w:spacing w:before="100" w:after="140"/>
      </w:pPr>
      <w:r>
        <w:rPr>
          <w:rFonts w:ascii="Arial" w:cs="Arial" w:eastAsia="Arial" w:hAnsi="Arial"/>
          <w:color w:val="4A4A4A"/>
          <w:sz w:val="22"/>
          <w:szCs w:val="22"/>
        </w:rPr>
        <w:t xml:space="preserve">If you operate in the Permian Basin—Delaware, Midland, or either side of the state line—you already know the problem. Associated gas production has outpaced takeaway infrastructure. New pads routinely wait months for pipeline hookups. Existing permits have flaring volume limits that are getting harder to stay under as oil production scales. And the EPA’s methane rules aren’t getting looser.</w:t>
      </w:r>
    </w:p>
    <w:p>
      <w:pPr>
        <w:spacing w:before="100" w:after="140"/>
      </w:pPr>
      <w:r>
        <w:rPr>
          <w:rFonts w:ascii="Arial" w:cs="Arial" w:eastAsia="Arial" w:hAnsi="Arial"/>
          <w:color w:val="4A4A4A"/>
          <w:sz w:val="22"/>
          <w:szCs w:val="22"/>
        </w:rPr>
        <w:t xml:space="preserve">The Permian accounts for roughly a quarter of all natural gas flared in the United States. That’s not a market statistic—it’s a compliance liability sitting at your wellhead. And for most operators, the traditional options are the same ones they’ve always had: wait for the gathering company, compress and truck at a loss, or flare and absorb the regulatory risk.</w:t>
      </w:r>
    </w:p>
    <w:p>
      <w:pPr>
        <w:spacing w:before="100" w:after="140"/>
      </w:pPr>
      <w:r>
        <w:rPr>
          <w:rFonts w:ascii="Arial" w:cs="Arial" w:eastAsia="Arial" w:hAnsi="Arial"/>
          <w:color w:val="4A4A4A"/>
          <w:sz w:val="22"/>
          <w:szCs w:val="22"/>
        </w:rPr>
        <w:t xml:space="preserve">On-lease Bitcoin mining changes that calculation. By converting wellhead gas to electricity on-site and running Bitcoin mining equipment at the pad, MCF.digital turns stranded and flared gas into a consistent monthly revenue stream—without a pipeline, without a midstream contract, and without taking Bitcoin onto your balance sheet if you don’t want to.</w:t>
      </w:r>
    </w:p>
    <w:p>
      <w:pPr>
        <w:spacing w:before="100" w:after="140"/>
      </w:pPr>
      <w:r>
        <w:rPr>
          <w:rFonts w:ascii="Arial" w:cs="Arial" w:eastAsia="Arial" w:hAnsi="Arial"/>
          <w:color w:val="4A4A4A"/>
          <w:sz w:val="22"/>
          <w:szCs w:val="22"/>
        </w:rPr>
        <w:t xml:space="preserve">This guide covers the Permian-specific regulatory landscape, the economics of on-lease deployment in both sub-basins, what your gas needs to qualify, and the step-by-step process for evaluating a pad.</w:t>
      </w:r>
    </w:p>
    <w:p>
      <w:pPr>
        <w:spacing w:before="80" w:after="80"/>
      </w:pPr>
      <w:r>
        <w:t xml:space="preserve"/>
      </w:r>
    </w:p>
    <w:p>
      <w:pPr>
        <w:pStyle w:val="Heading2"/>
        <w:pBdr>
          <w:bottom w:val="single" w:color="E8500A" w:sz="4" w:space="4"/>
        </w:pBdr>
        <w:spacing w:before="320" w:after="120"/>
      </w:pPr>
      <w:r>
        <w:rPr>
          <w:rFonts w:ascii="Arial" w:cs="Arial" w:eastAsia="Arial" w:hAnsi="Arial"/>
          <w:b/>
          <w:bCs/>
          <w:color w:val="1A1A1A"/>
          <w:sz w:val="28"/>
          <w:szCs w:val="28"/>
        </w:rPr>
        <w:t xml:space="preserve">The Regulatory Pressure: TCEQ, EPA, and What’s Coming</w:t>
      </w:r>
    </w:p>
    <w:p>
      <w:pPr>
        <w:spacing w:before="100" w:after="140"/>
      </w:pPr>
      <w:r>
        <w:rPr>
          <w:rFonts w:ascii="Arial" w:cs="Arial" w:eastAsia="Arial" w:hAnsi="Arial"/>
          <w:color w:val="4A4A4A"/>
          <w:sz w:val="22"/>
          <w:szCs w:val="22"/>
        </w:rPr>
        <w:t xml:space="preserve">Permian operators face pressure from two directions simultaneously: state-level oversight from the Texas Commission on Environmental Quality (TCEQ) and federal methane rules from the EPA under the Inflation Reduction Act’s Methane Emissions Reduction Program.</w:t>
      </w:r>
    </w:p>
    <w:p>
      <w:pPr>
        <w:pStyle w:val="Heading3"/>
        <w:spacing w:before="240" w:after="100"/>
      </w:pPr>
      <w:r>
        <w:rPr>
          <w:rFonts w:ascii="Arial" w:cs="Arial" w:eastAsia="Arial" w:hAnsi="Arial"/>
          <w:b/>
          <w:bCs/>
          <w:color w:val="E8500A"/>
          <w:sz w:val="24"/>
          <w:szCs w:val="24"/>
        </w:rPr>
        <w:t xml:space="preserve">TCEQ: Flaring Authorization and Routine Limits</w:t>
      </w:r>
    </w:p>
    <w:p>
      <w:pPr>
        <w:spacing w:before="100" w:after="140"/>
      </w:pPr>
      <w:r>
        <w:rPr>
          <w:rFonts w:ascii="Arial" w:cs="Arial" w:eastAsia="Arial" w:hAnsi="Arial"/>
          <w:color w:val="4A4A4A"/>
          <w:sz w:val="22"/>
          <w:szCs w:val="22"/>
        </w:rPr>
        <w:t xml:space="preserve">In Texas, all flaring requires either an authorized exception or a standard permit under TCEQ rules. Operators must report flaring volumes and events through TCEQ’s Electronic Emissions Reporting System. Routine flaring—flaring not caused by an upset or emergency—is subject to increasing scrutiny in the Railroad Commission’s statewide rule reviews.</w:t>
      </w:r>
    </w:p>
    <w:p>
      <w:pPr>
        <w:spacing w:before="100" w:after="140"/>
      </w:pPr>
      <w:r>
        <w:rPr>
          <w:rFonts w:ascii="Arial" w:cs="Arial" w:eastAsia="Arial" w:hAnsi="Arial"/>
          <w:color w:val="4A4A4A"/>
          <w:sz w:val="22"/>
          <w:szCs w:val="22"/>
        </w:rPr>
        <w:t xml:space="preserve">The Railroad Commission of Texas (RRC) has tightened its position on flaring authorizations over the past several years, reducing the window for operators to receive extended permits for routine gas disposition. Permits that previously ran for 180 days are now regularly reviewed at 30–60 day intervals for large-volume flaring sites.</w:t>
      </w:r>
    </w:p>
    <w:p>
      <w:pPr>
        <w:pStyle w:val="Heading3"/>
        <w:spacing w:before="240" w:after="100"/>
      </w:pPr>
      <w:r>
        <w:rPr>
          <w:rFonts w:ascii="Arial" w:cs="Arial" w:eastAsia="Arial" w:hAnsi="Arial"/>
          <w:b/>
          <w:bCs/>
          <w:color w:val="E8500A"/>
          <w:sz w:val="24"/>
          <w:szCs w:val="24"/>
        </w:rPr>
        <w:t xml:space="preserve">EPA Methane Fee: Direct Financial Exposure</w:t>
      </w:r>
    </w:p>
    <w:p>
      <w:pPr>
        <w:spacing w:before="100" w:after="140"/>
      </w:pPr>
      <w:r>
        <w:rPr>
          <w:rFonts w:ascii="Arial" w:cs="Arial" w:eastAsia="Arial" w:hAnsi="Arial"/>
          <w:color w:val="4A4A4A"/>
          <w:sz w:val="22"/>
          <w:szCs w:val="22"/>
        </w:rPr>
        <w:t xml:space="preserve">Under the Inflation Reduction Act, operators exceeding EPA methane intensity thresholds face a direct per-metric-ton waste emissions charge on reported methane. The charge scales from $900/metric ton in 2024 to $1,500/metric ton in 2026 and beyond. For a pad flaring 200 Mcfd, that exposure runs to tens of thousands of dollars per year—before any state-level penalties.</w:t>
      </w:r>
    </w:p>
    <w:p>
      <w:pPr>
        <w:spacing w:before="100" w:after="140"/>
      </w:pPr>
      <w:r>
        <w:rPr>
          <w:rFonts w:ascii="Arial" w:cs="Arial" w:eastAsia="Arial" w:hAnsi="Arial"/>
          <w:color w:val="4A4A4A"/>
          <w:sz w:val="22"/>
          <w:szCs w:val="22"/>
        </w:rPr>
        <w:t xml:space="preserve">The EPA’s revised methane rule also tightened monitoring, reporting, and verification (MRV) requirements for Permian operators specifically, citing the basin’s outsized contribution to national flaring totals. Satellite-based monitoring is now being used to cross-reference operator-reported flaring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00A" w:sz="8"/>
              <w:left w:val="single" w:color="E8500A" w:sz="8"/>
              <w:bottom w:val="single" w:color="DDDDDD" w:sz="1"/>
              <w:right w:val="single" w:color="DDDDDD" w:sz="1"/>
            </w:tcBorders>
            <w:shd w:fill="FFF6F2" w:val="clear"/>
            <w:tcMar>
              <w:top w:type="dxa" w:w="160"/>
              <w:left w:type="dxa" w:w="200"/>
              <w:bottom w:type="dxa" w:w="160"/>
              <w:right w:type="dxa" w:w="200"/>
            </w:tcMar>
          </w:tcPr>
          <w:p>
            <w:pPr>
              <w:spacing w:before="0" w:after="80"/>
            </w:pPr>
            <w:r>
              <w:rPr>
                <w:rFonts w:ascii="Arial" w:cs="Arial" w:eastAsia="Arial" w:hAnsi="Arial"/>
                <w:b/>
                <w:bCs/>
                <w:color w:val="E8500A"/>
                <w:sz w:val="22"/>
                <w:szCs w:val="22"/>
              </w:rPr>
              <w:t xml:space="preserve">REGULATORY BOTTOM LINE</w:t>
            </w:r>
          </w:p>
          <w:p>
            <w:pPr>
              <w:spacing w:before="0" w:after="0"/>
            </w:pPr>
            <w:r>
              <w:rPr>
                <w:rFonts w:ascii="Arial" w:cs="Arial" w:eastAsia="Arial" w:hAnsi="Arial"/>
                <w:color w:val="4A4A4A"/>
                <w:sz w:val="22"/>
                <w:szCs w:val="22"/>
              </w:rPr>
              <w:t xml:space="preserve">The compliance window is narrowing on both the state and federal level. An on-lease deployment that eliminates routine flaring removes your exposure to the EPA methane fee, satisfies TCEQ routine flaring restrictions, and generates revenue from gas that currently costs you money to burn.</w:t>
            </w:r>
          </w:p>
        </w:tc>
      </w:tr>
    </w:tbl>
    <w:p>
      <w:pPr>
        <w:spacing w:before="160" w:after="80"/>
      </w:pPr>
      <w:r>
        <w:t xml:space="preserve"/>
      </w:r>
    </w:p>
    <w:p>
      <w:pPr>
        <w:pStyle w:val="Heading2"/>
        <w:pBdr>
          <w:bottom w:val="single" w:color="E8500A" w:sz="4" w:space="4"/>
        </w:pBdr>
        <w:spacing w:before="320" w:after="120"/>
      </w:pPr>
      <w:r>
        <w:rPr>
          <w:rFonts w:ascii="Arial" w:cs="Arial" w:eastAsia="Arial" w:hAnsi="Arial"/>
          <w:b/>
          <w:bCs/>
          <w:color w:val="1A1A1A"/>
          <w:sz w:val="28"/>
          <w:szCs w:val="28"/>
        </w:rPr>
        <w:t xml:space="preserve">The Economics of On-Lease Deployment in the Permian</w:t>
      </w:r>
    </w:p>
    <w:p>
      <w:pPr>
        <w:spacing w:before="100" w:after="140"/>
      </w:pPr>
      <w:r>
        <w:rPr>
          <w:rFonts w:ascii="Arial" w:cs="Arial" w:eastAsia="Arial" w:hAnsi="Arial"/>
          <w:color w:val="4A4A4A"/>
          <w:sz w:val="22"/>
          <w:szCs w:val="22"/>
        </w:rPr>
        <w:t xml:space="preserve">The Permian’s economics are attractive for on-lease deployment for two reasons: (1) the basin consistently produces associated gas with methane numbers high enough for standard genset operations, and (2) oil production revenues mean operators aren’t dependent on gas revenue—any positive netback from gas is genuinely incremental.</w:t>
      </w:r>
    </w:p>
    <w:p>
      <w:pPr>
        <w:pStyle w:val="Heading3"/>
        <w:spacing w:before="240" w:after="100"/>
      </w:pPr>
      <w:r>
        <w:rPr>
          <w:rFonts w:ascii="Arial" w:cs="Arial" w:eastAsia="Arial" w:hAnsi="Arial"/>
          <w:b/>
          <w:bCs/>
          <w:color w:val="E8500A"/>
          <w:sz w:val="24"/>
          <w:szCs w:val="24"/>
        </w:rPr>
        <w:t xml:space="preserve">Delaware Basin vs. Midland Basin: Key Differences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r>
              <w:rPr>
                <w:rFonts w:ascii="Arial" w:cs="Arial" w:eastAsia="Arial" w:hAnsi="Arial"/>
                <w:b/>
                <w:bCs/>
                <w:color w:val="FFFFFF"/>
                <w:sz w:val="20"/>
                <w:szCs w:val="20"/>
              </w:rPr>
              <w:t xml:space="preserve">Factor</w:t>
            </w:r>
          </w:p>
        </w:tc>
        <w:tc>
          <w:tcPr>
            <w:tcW w:type="dxa" w:w="736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r>
              <w:rPr>
                <w:rFonts w:ascii="Arial" w:cs="Arial" w:eastAsia="Arial" w:hAnsi="Arial"/>
                <w:b/>
                <w:bCs/>
                <w:color w:val="FFFFFF"/>
                <w:sz w:val="20"/>
                <w:szCs w:val="20"/>
              </w:rPr>
              <w:t xml:space="preserve">Delaware Basin vs. Midland Basin</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20"/>
                <w:szCs w:val="20"/>
              </w:rPr>
              <w:t xml:space="preserve">Gas Richness</w:t>
            </w:r>
          </w:p>
        </w:tc>
        <w:tc>
          <w:tcPr>
            <w:tcW w:type="dxa" w:w="7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Delaware: richer NGL content, more variability in methane number. Midland: leaner, more consistent gas quality.</w:t>
            </w:r>
          </w:p>
        </w:tc>
      </w:tr>
      <w:tr>
        <w:tc>
          <w:tcPr>
            <w:tcW w:type="dxa" w:w="20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1A1A1A"/>
                <w:sz w:val="20"/>
                <w:szCs w:val="20"/>
              </w:rPr>
              <w:t xml:space="preserve">Flaring Volumes</w:t>
            </w:r>
          </w:p>
        </w:tc>
        <w:tc>
          <w:tcPr>
            <w:tcW w:type="dxa" w:w="736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Delaware sees higher per-pad flaring volumes, especially in Eddy and Lea Counties (NM) and Reeves/Loving (TX).</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20"/>
                <w:szCs w:val="20"/>
              </w:rPr>
              <w:t xml:space="preserve">Pipeline Access</w:t>
            </w:r>
          </w:p>
        </w:tc>
        <w:tc>
          <w:tcPr>
            <w:tcW w:type="dxa" w:w="7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Both sub-basins have infrastructure gaps, but Delaware pads in remote Reeves County often wait longest for takeaway capacity.</w:t>
            </w:r>
          </w:p>
        </w:tc>
      </w:tr>
      <w:tr>
        <w:tc>
          <w:tcPr>
            <w:tcW w:type="dxa" w:w="20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1A1A1A"/>
                <w:sz w:val="20"/>
                <w:szCs w:val="20"/>
              </w:rPr>
              <w:t xml:space="preserve">Regulatory Jurisdiction</w:t>
            </w:r>
          </w:p>
        </w:tc>
        <w:tc>
          <w:tcPr>
            <w:tcW w:type="dxa" w:w="736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Texas operations: RRC + TCEQ. New Mexico operations: NMOCD + EPA directly, with NM’s own methane rules under NMOCD Rule 17.</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20"/>
                <w:szCs w:val="20"/>
              </w:rPr>
              <w:t xml:space="preserve">Genset Sizing</w:t>
            </w:r>
          </w:p>
        </w:tc>
        <w:tc>
          <w:tcPr>
            <w:tcW w:type="dxa" w:w="7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Delaware’s richer gas may require methane number testing before genset selection. Midland gas is typically plug-and-play.</w:t>
            </w:r>
          </w:p>
        </w:tc>
      </w:tr>
    </w:tbl>
    <w:p>
      <w:pPr>
        <w:spacing w:before="180" w:after="100"/>
      </w:pPr>
      <w:r>
        <w:t xml:space="preserve"/>
      </w:r>
    </w:p>
    <w:p>
      <w:pPr>
        <w:pStyle w:val="Heading3"/>
        <w:spacing w:before="240" w:after="100"/>
      </w:pPr>
      <w:r>
        <w:rPr>
          <w:rFonts w:ascii="Arial" w:cs="Arial" w:eastAsia="Arial" w:hAnsi="Arial"/>
          <w:b/>
          <w:bCs/>
          <w:color w:val="E8500A"/>
          <w:sz w:val="24"/>
          <w:szCs w:val="24"/>
        </w:rPr>
        <w:t xml:space="preserve">What the Numbers Look Like: A Pro Forma Comparison</w:t>
      </w:r>
    </w:p>
    <w:p>
      <w:pPr>
        <w:spacing w:before="100" w:after="140"/>
      </w:pPr>
      <w:r>
        <w:rPr>
          <w:rFonts w:ascii="Arial" w:cs="Arial" w:eastAsia="Arial" w:hAnsi="Arial"/>
          <w:color w:val="4A4A4A"/>
          <w:sz w:val="22"/>
          <w:szCs w:val="22"/>
        </w:rPr>
        <w:t xml:space="preserve">The following comparison uses a representative Permian pad flaring 150 Mcfd of associated gas with a current pipeline netback of $0.45/Mcf after gathering and deduction fees. These are illustrative figures; actual results depend on gas composition, Bitcoin price, and the deal structure selected.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rPr>
          <w:tblHeader/>
        </w:trPr>
        <w:tc>
          <w:tcPr>
            <w:tcW w:type="dxa" w:w="350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r>
              <w:rPr>
                <w:rFonts w:ascii="Arial" w:cs="Arial" w:eastAsia="Arial" w:hAnsi="Arial"/>
                <w:b/>
                <w:bCs/>
                <w:color w:val="FFFFFF"/>
                <w:sz w:val="20"/>
                <w:szCs w:val="20"/>
              </w:rPr>
              <w:t xml:space="preserve">Scenario</w:t>
            </w:r>
          </w:p>
        </w:tc>
        <w:tc>
          <w:tcPr>
            <w:tcW w:type="dxa" w:w="293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Monthly Revenue</w:t>
            </w:r>
          </w:p>
        </w:tc>
        <w:tc>
          <w:tcPr>
            <w:tcW w:type="dxa" w:w="293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Compliance Risk</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Continue flaring 150 Mcfd</w:t>
            </w:r>
          </w:p>
        </w:tc>
        <w:tc>
          <w:tcPr>
            <w:tcW w:type="dxa" w:w="293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4A4A4A"/>
                <w:sz w:val="20"/>
                <w:szCs w:val="20"/>
              </w:rPr>
              <w:t xml:space="preserve">~$2,025/mo (pipeline netback)</w:t>
            </w:r>
          </w:p>
        </w:tc>
        <w:tc>
          <w:tcPr>
            <w:tcW w:type="dxa" w:w="293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4A4A4A"/>
                <w:sz w:val="20"/>
                <w:szCs w:val="20"/>
              </w:rPr>
              <w:t xml:space="preserve">High — EPA fee exposure, TCEQ scrutiny</w:t>
            </w:r>
          </w:p>
        </w:tc>
      </w:tr>
      <w:tr>
        <w:tc>
          <w:tcPr>
            <w:tcW w:type="dxa" w:w="35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bCs/>
                <w:color w:val="1A1A1A"/>
                <w:sz w:val="20"/>
                <w:szCs w:val="20"/>
              </w:rPr>
              <w:t xml:space="preserve">On-lease hosting (operator earns power rate)</w:t>
            </w:r>
          </w:p>
        </w:tc>
        <w:tc>
          <w:tcPr>
            <w:tcW w:type="dxa" w:w="293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pPr>
              <w:jc w:val="center"/>
            </w:pPr>
            <w:r>
              <w:rPr>
                <w:rFonts w:ascii="Arial" w:cs="Arial" w:eastAsia="Arial" w:hAnsi="Arial"/>
                <w:color w:val="4A4A4A"/>
                <w:sz w:val="20"/>
                <w:szCs w:val="20"/>
              </w:rPr>
              <w:t xml:space="preserve">$4,500–$7,500/mo (est.)</w:t>
            </w:r>
          </w:p>
        </w:tc>
        <w:tc>
          <w:tcPr>
            <w:tcW w:type="dxa" w:w="293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pPr>
              <w:jc w:val="center"/>
            </w:pPr>
            <w:r>
              <w:rPr>
                <w:rFonts w:ascii="Arial" w:cs="Arial" w:eastAsia="Arial" w:hAnsi="Arial"/>
                <w:color w:val="4A4A4A"/>
                <w:sz w:val="20"/>
                <w:szCs w:val="20"/>
              </w:rPr>
              <w:t xml:space="preserve">Eliminated — no routine flaring</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On-lease revenue share (50/50 BTC split)</w:t>
            </w:r>
          </w:p>
        </w:tc>
        <w:tc>
          <w:tcPr>
            <w:tcW w:type="dxa" w:w="293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4A4A4A"/>
                <w:sz w:val="20"/>
                <w:szCs w:val="20"/>
              </w:rPr>
              <w:t xml:space="preserve">$6,000–$12,000/mo (est., BTC-linked)</w:t>
            </w:r>
          </w:p>
        </w:tc>
        <w:tc>
          <w:tcPr>
            <w:tcW w:type="dxa" w:w="293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4A4A4A"/>
                <w:sz w:val="20"/>
                <w:szCs w:val="20"/>
              </w:rPr>
              <w:t xml:space="preserve">Eliminated — no routine flaring</w:t>
            </w:r>
          </w:p>
        </w:tc>
      </w:tr>
    </w:tbl>
    <w:p>
      <w:pPr>
        <w:spacing w:before="120" w:after="80"/>
      </w:pPr>
      <w:r>
        <w:t xml:space="preserve"/>
      </w:r>
    </w:p>
    <w:p>
      <w:pPr>
        <w:spacing w:before="100" w:after="140"/>
      </w:pPr>
      <w:r>
        <w:rPr>
          <w:rFonts w:ascii="Arial" w:cs="Arial" w:eastAsia="Arial" w:hAnsi="Arial"/>
          <w:i/>
          <w:iCs/>
          <w:color w:val="999999"/>
          <w:sz w:val="22"/>
          <w:szCs w:val="22"/>
        </w:rPr>
        <w:t xml:space="preserve">Note: Revenue estimates assume current average hashprice and a 150 Mcfd gas stream powering approximately 300–500 kW of mining capacity. Actual output varies with gas composition, ambient temperature, altitude, and Bitcoin network conditions. Run your specific numbers at tools.mcf.digital.</w:t>
      </w:r>
    </w:p>
    <w:p>
      <w:pPr>
        <w:spacing w:before="80" w:after="80"/>
      </w:pPr>
      <w:r>
        <w:t xml:space="preserve"/>
      </w:r>
    </w:p>
    <w:p>
      <w:pPr>
        <w:pStyle w:val="Heading3"/>
        <w:spacing w:before="240" w:after="100"/>
      </w:pPr>
      <w:r>
        <w:rPr>
          <w:rFonts w:ascii="Arial" w:cs="Arial" w:eastAsia="Arial" w:hAnsi="Arial"/>
          <w:b/>
          <w:bCs/>
          <w:color w:val="E8500A"/>
          <w:sz w:val="24"/>
          <w:szCs w:val="24"/>
        </w:rPr>
        <w:t xml:space="preserve">Dealing with Bitcoin Price Volatility</w:t>
      </w:r>
    </w:p>
    <w:p>
      <w:pPr>
        <w:spacing w:before="100" w:after="140"/>
      </w:pPr>
      <w:r>
        <w:rPr>
          <w:rFonts w:ascii="Arial" w:cs="Arial" w:eastAsia="Arial" w:hAnsi="Arial"/>
          <w:color w:val="4A4A4A"/>
          <w:sz w:val="22"/>
          <w:szCs w:val="22"/>
        </w:rPr>
        <w:t xml:space="preserve">The most common objection from Permian operators is Bitcoin price risk. It’s a fair concern, and the deal structure is what manages it. Under a hosting arrangement, the operator earns a fixed power rate per kilowatt-hour consumed. The miner absorbs BTC price risk entirely. Under a revenue share, both parties participate in upside and downside.</w:t>
      </w:r>
    </w:p>
    <w:p>
      <w:pPr>
        <w:spacing w:before="100" w:after="140"/>
      </w:pPr>
      <w:r>
        <w:rPr>
          <w:rFonts w:ascii="Arial" w:cs="Arial" w:eastAsia="Arial" w:hAnsi="Arial"/>
          <w:color w:val="4A4A4A"/>
          <w:sz w:val="22"/>
          <w:szCs w:val="22"/>
        </w:rPr>
        <w:t xml:space="preserve">But here’s the piece that often gets missed: your gas has a floor value regardless of Bitcoin’s price. Even at severely depressed BTC prices, the on-lease system continues converting gas to electricity and value. The floor isn’t zero—it’s the value of the gas you’d otherwise be flaring or selling at a compressed pipeline netback.</w:t>
      </w:r>
    </w:p>
    <w:p>
      <w:pPr>
        <w:spacing w:before="80" w:after="80"/>
      </w:pPr>
      <w:r>
        <w:t xml:space="preserve"/>
      </w:r>
    </w:p>
    <w:p>
      <w:pPr>
        <w:pStyle w:val="Heading2"/>
        <w:pBdr>
          <w:bottom w:val="single" w:color="E8500A" w:sz="4" w:space="4"/>
        </w:pBdr>
        <w:spacing w:before="320" w:after="120"/>
      </w:pPr>
      <w:r>
        <w:rPr>
          <w:rFonts w:ascii="Arial" w:cs="Arial" w:eastAsia="Arial" w:hAnsi="Arial"/>
          <w:b/>
          <w:bCs/>
          <w:color w:val="1A1A1A"/>
          <w:sz w:val="28"/>
          <w:szCs w:val="28"/>
        </w:rPr>
        <w:t xml:space="preserve">Minimum Gas Volume Requirements</w:t>
      </w:r>
    </w:p>
    <w:p>
      <w:pPr>
        <w:spacing w:before="100" w:after="140"/>
      </w:pPr>
      <w:r>
        <w:rPr>
          <w:rFonts w:ascii="Arial" w:cs="Arial" w:eastAsia="Arial" w:hAnsi="Arial"/>
          <w:color w:val="4A4A4A"/>
          <w:sz w:val="22"/>
          <w:szCs w:val="22"/>
        </w:rPr>
        <w:t xml:space="preserve">On-lease deployment in the Permian is not right for every pad. The minimum viable gas volume is 100 Mcfd at a single location. Below that threshold, the economics of deploying and operating a generator set and mining containers don’t support the investment required.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r>
              <w:rPr>
                <w:rFonts w:ascii="Arial" w:cs="Arial" w:eastAsia="Arial" w:hAnsi="Arial"/>
                <w:b/>
                <w:bCs/>
                <w:color w:val="FFFFFF"/>
                <w:sz w:val="20"/>
                <w:szCs w:val="20"/>
              </w:rPr>
              <w:t xml:space="preserve">Gas Volume</w:t>
            </w:r>
          </w:p>
        </w:tc>
        <w:tc>
          <w:tcPr>
            <w:tcW w:type="dxa" w:w="736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r>
              <w:rPr>
                <w:rFonts w:ascii="Arial" w:cs="Arial" w:eastAsia="Arial" w:hAnsi="Arial"/>
                <w:b/>
                <w:bCs/>
                <w:color w:val="FFFFFF"/>
                <w:sz w:val="20"/>
                <w:szCs w:val="20"/>
              </w:rPr>
              <w:t xml:space="preserve">Deployment Feasibility</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20"/>
                <w:szCs w:val="20"/>
              </w:rPr>
              <w:t xml:space="preserve">Under 100 Mcfd</w:t>
            </w:r>
          </w:p>
        </w:tc>
        <w:tc>
          <w:tcPr>
            <w:tcW w:type="dxa" w:w="7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Below minimum threshold for standalone deployment. Consider pad aggregation if multiple sub-threshold pads are in proximity.</w:t>
            </w:r>
          </w:p>
        </w:tc>
      </w:tr>
      <w:tr>
        <w:tc>
          <w:tcPr>
            <w:tcW w:type="dxa" w:w="20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1A1A1A"/>
                <w:sz w:val="20"/>
                <w:szCs w:val="20"/>
              </w:rPr>
              <w:t xml:space="preserve">100–250 Mcfd</w:t>
            </w:r>
          </w:p>
        </w:tc>
        <w:tc>
          <w:tcPr>
            <w:tcW w:type="dxa" w:w="736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Viable. Supports a single genset and small container deployment. Typical entry-level Permian deployment.</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20"/>
                <w:szCs w:val="20"/>
              </w:rPr>
              <w:t xml:space="preserve">250–500 Mcfd</w:t>
            </w:r>
          </w:p>
        </w:tc>
        <w:tc>
          <w:tcPr>
            <w:tcW w:type="dxa" w:w="7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Strong economics. Supports 500–1,000 kW of mining capacity. Multi-genset configuration.</w:t>
            </w:r>
          </w:p>
        </w:tc>
      </w:tr>
      <w:tr>
        <w:tc>
          <w:tcPr>
            <w:tcW w:type="dxa" w:w="20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1A1A1A"/>
                <w:sz w:val="20"/>
                <w:szCs w:val="20"/>
              </w:rPr>
              <w:t xml:space="preserve">500 Mcfd+</w:t>
            </w:r>
          </w:p>
        </w:tc>
        <w:tc>
          <w:tcPr>
            <w:tcW w:type="dxa" w:w="736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High-value deployment. Multi-MW configuration with best unit economics. Priority placement.</w:t>
            </w:r>
          </w:p>
        </w:tc>
      </w:tr>
    </w:tbl>
    <w:p>
      <w:pPr>
        <w:spacing w:before="180" w:after="100"/>
      </w:pPr>
      <w:r>
        <w:t xml:space="preserve"/>
      </w:r>
    </w:p>
    <w:p>
      <w:pPr>
        <w:spacing w:before="100" w:after="140"/>
      </w:pPr>
      <w:r>
        <w:rPr>
          <w:rFonts w:ascii="Arial" w:cs="Arial" w:eastAsia="Arial" w:hAnsi="Arial"/>
          <w:color w:val="4A4A4A"/>
          <w:sz w:val="22"/>
          <w:szCs w:val="22"/>
        </w:rPr>
        <w:t xml:space="preserve">Gas quality is evaluated alongside volume. MCF.digital assesses methane number, hydrogen sulfide (H2S) content, CO2 levels, and BTU value before proposing a deployment. The majority of Permian gas streams are suitable without conditioning. Rich Delaware Basin gas occasionally requires derating adjustments to the genset selection.</w:t>
      </w:r>
    </w:p>
    <w:p>
      <w:pPr>
        <w:spacing w:before="80" w:after="80"/>
      </w:pPr>
      <w:r>
        <w:t xml:space="preserve"/>
      </w:r>
    </w:p>
    <w:p>
      <w:pPr>
        <w:pStyle w:val="Heading2"/>
        <w:pBdr>
          <w:bottom w:val="single" w:color="E8500A" w:sz="4" w:space="4"/>
        </w:pBdr>
        <w:spacing w:before="320" w:after="120"/>
      </w:pPr>
      <w:r>
        <w:rPr>
          <w:rFonts w:ascii="Arial" w:cs="Arial" w:eastAsia="Arial" w:hAnsi="Arial"/>
          <w:b/>
          <w:bCs/>
          <w:color w:val="1A1A1A"/>
          <w:sz w:val="28"/>
          <w:szCs w:val="28"/>
        </w:rPr>
        <w:t xml:space="preserve">Deal Structures Available to Permian Operators</w:t>
      </w:r>
    </w:p>
    <w:p>
      <w:pPr>
        <w:spacing w:before="100" w:after="140"/>
      </w:pPr>
      <w:r>
        <w:rPr>
          <w:rFonts w:ascii="Arial" w:cs="Arial" w:eastAsia="Arial" w:hAnsi="Arial"/>
          <w:color w:val="4A4A4A"/>
          <w:sz w:val="22"/>
          <w:szCs w:val="22"/>
        </w:rPr>
        <w:t xml:space="preserve">There is no single deal structure that fits every operator. MCF.digital offers four arrangements, each designed to match a different risk tolerance and revenue preference.</w:t>
      </w:r>
    </w:p>
    <w:p>
      <w:pPr>
        <w:pStyle w:val="Heading3"/>
        <w:spacing w:before="240" w:after="100"/>
      </w:pPr>
      <w:r>
        <w:rPr>
          <w:rFonts w:ascii="Arial" w:cs="Arial" w:eastAsia="Arial" w:hAnsi="Arial"/>
          <w:b/>
          <w:bCs/>
          <w:color w:val="E8500A"/>
          <w:sz w:val="24"/>
          <w:szCs w:val="24"/>
        </w:rPr>
        <w:t xml:space="preserve">1. Hosting (Fixed Power Rate)</w:t>
      </w:r>
    </w:p>
    <w:p>
      <w:pPr>
        <w:spacing w:before="100" w:after="140"/>
      </w:pPr>
      <w:r>
        <w:rPr>
          <w:rFonts w:ascii="Arial" w:cs="Arial" w:eastAsia="Arial" w:hAnsi="Arial"/>
          <w:color w:val="4A4A4A"/>
          <w:sz w:val="22"/>
          <w:szCs w:val="22"/>
        </w:rPr>
        <w:t xml:space="preserve">The operator earns a fixed rate per kilowatt-hour consumed by the mining equipment. MCF.digital handles all capital deployment, equipment operation, and Bitcoin management. The operator receives USD payment and has zero Bitcoin exposure. This is the most common structure for operators who are primarily solving a compliance problem.</w:t>
      </w:r>
    </w:p>
    <w:p>
      <w:pPr>
        <w:pStyle w:val="Heading3"/>
        <w:spacing w:before="240" w:after="100"/>
      </w:pPr>
      <w:r>
        <w:rPr>
          <w:rFonts w:ascii="Arial" w:cs="Arial" w:eastAsia="Arial" w:hAnsi="Arial"/>
          <w:b/>
          <w:bCs/>
          <w:color w:val="E8500A"/>
          <w:sz w:val="24"/>
          <w:szCs w:val="24"/>
        </w:rPr>
        <w:t xml:space="preserve">2. Revenue Share</w:t>
      </w:r>
    </w:p>
    <w:p>
      <w:pPr>
        <w:spacing w:before="100" w:after="140"/>
      </w:pPr>
      <w:r>
        <w:rPr>
          <w:rFonts w:ascii="Arial" w:cs="Arial" w:eastAsia="Arial" w:hAnsi="Arial"/>
          <w:color w:val="4A4A4A"/>
          <w:sz w:val="22"/>
          <w:szCs w:val="22"/>
        </w:rPr>
        <w:t xml:space="preserve">Both parties split Bitcoin revenue proportionally. The operator takes on some BTC price exposure in exchange for higher upside. Revenue can be structured as Bitcoin custody-first (operator receives BTC directly to a wallet) or USD-equivalent. Typical splits range from 30/70 to 50/50 depending on gas volume, site characteristics, and CapEx requirements.</w:t>
      </w:r>
    </w:p>
    <w:p>
      <w:pPr>
        <w:pStyle w:val="Heading3"/>
        <w:spacing w:before="240" w:after="100"/>
      </w:pPr>
      <w:r>
        <w:rPr>
          <w:rFonts w:ascii="Arial" w:cs="Arial" w:eastAsia="Arial" w:hAnsi="Arial"/>
          <w:b/>
          <w:bCs/>
          <w:color w:val="E8500A"/>
          <w:sz w:val="24"/>
          <w:szCs w:val="24"/>
        </w:rPr>
        <w:t xml:space="preserve">3. Operator Mines Directly</w:t>
      </w:r>
    </w:p>
    <w:p>
      <w:pPr>
        <w:spacing w:before="100" w:after="140"/>
      </w:pPr>
      <w:r>
        <w:rPr>
          <w:rFonts w:ascii="Arial" w:cs="Arial" w:eastAsia="Arial" w:hAnsi="Arial"/>
          <w:color w:val="4A4A4A"/>
          <w:sz w:val="22"/>
          <w:szCs w:val="22"/>
        </w:rPr>
        <w:t xml:space="preserve">For operators who want full Bitcoin exposure, MCF.digital deploys and operates the infrastructure while the operator owns the mining output entirely. The operator pays a service and operations fee. This structure requires the operator to have a Bitcoin custody solution in place.</w:t>
      </w:r>
    </w:p>
    <w:p>
      <w:pPr>
        <w:pStyle w:val="Heading3"/>
        <w:spacing w:before="240" w:after="100"/>
      </w:pPr>
      <w:r>
        <w:rPr>
          <w:rFonts w:ascii="Arial" w:cs="Arial" w:eastAsia="Arial" w:hAnsi="Arial"/>
          <w:b/>
          <w:bCs/>
          <w:color w:val="E8500A"/>
          <w:sz w:val="24"/>
          <w:szCs w:val="24"/>
        </w:rPr>
        <w:t xml:space="preserve">4. Capital Partner Structure</w:t>
      </w:r>
    </w:p>
    <w:p>
      <w:pPr>
        <w:spacing w:before="100" w:after="140"/>
      </w:pPr>
      <w:r>
        <w:rPr>
          <w:rFonts w:ascii="Arial" w:cs="Arial" w:eastAsia="Arial" w:hAnsi="Arial"/>
          <w:color w:val="4A4A4A"/>
          <w:sz w:val="22"/>
          <w:szCs w:val="22"/>
        </w:rPr>
        <w:t xml:space="preserve">A third-party capital partner (HNWI, family office, or investment group) provides deployment capital in exchange for a revenue share. The operator contributes the gas and site access; the capital partner funds the equipment and infrastructure. Both parties earn from operations without requiring the operator to deploy CapEx.</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00A" w:sz="8"/>
              <w:left w:val="single" w:color="E8500A" w:sz="8"/>
              <w:bottom w:val="single" w:color="DDDDDD" w:sz="1"/>
              <w:right w:val="single" w:color="DDDDDD" w:sz="1"/>
            </w:tcBorders>
            <w:shd w:fill="FFF6F2" w:val="clear"/>
            <w:tcMar>
              <w:top w:type="dxa" w:w="160"/>
              <w:left w:type="dxa" w:w="200"/>
              <w:bottom w:type="dxa" w:w="160"/>
              <w:right w:type="dxa" w:w="200"/>
            </w:tcMar>
          </w:tcPr>
          <w:p>
            <w:pPr>
              <w:spacing w:before="0" w:after="80"/>
            </w:pPr>
            <w:r>
              <w:rPr>
                <w:rFonts w:ascii="Arial" w:cs="Arial" w:eastAsia="Arial" w:hAnsi="Arial"/>
                <w:b/>
                <w:bCs/>
                <w:color w:val="E8500A"/>
                <w:sz w:val="22"/>
                <w:szCs w:val="22"/>
              </w:rPr>
              <w:t xml:space="preserve">NO BITCOIN ON YOUR BALANCE SHEET</w:t>
            </w:r>
          </w:p>
          <w:p>
            <w:pPr>
              <w:spacing w:before="0" w:after="0"/>
            </w:pPr>
            <w:r>
              <w:rPr>
                <w:rFonts w:ascii="Arial" w:cs="Arial" w:eastAsia="Arial" w:hAnsi="Arial"/>
                <w:color w:val="4A4A4A"/>
                <w:sz w:val="22"/>
                <w:szCs w:val="22"/>
              </w:rPr>
              <w:t xml:space="preserve">Under the hosting and capital partner structures, the operator never holds Bitcoin. Revenue is distributed as USD. If your CFO has concerns about crypto exposure on the books, the hosting structure is the cleanest solution—and still generates materially more monthly revenue than a compressed pipeline netback.</w:t>
            </w:r>
          </w:p>
        </w:tc>
      </w:tr>
    </w:tbl>
    <w:p>
      <w:pPr>
        <w:spacing w:before="160" w:after="80"/>
      </w:pPr>
      <w:r>
        <w:t xml:space="preserve"/>
      </w:r>
    </w:p>
    <w:p>
      <w:pPr>
        <w:pStyle w:val="Heading2"/>
        <w:pBdr>
          <w:bottom w:val="single" w:color="E8500A" w:sz="4" w:space="4"/>
        </w:pBdr>
        <w:spacing w:before="320" w:after="120"/>
      </w:pPr>
      <w:r>
        <w:rPr>
          <w:rFonts w:ascii="Arial" w:cs="Arial" w:eastAsia="Arial" w:hAnsi="Arial"/>
          <w:b/>
          <w:bCs/>
          <w:color w:val="1A1A1A"/>
          <w:sz w:val="28"/>
          <w:szCs w:val="28"/>
        </w:rPr>
        <w:t xml:space="preserve">Step-by-Step: How to Evaluate a Pad for On-Lease Deployment</w:t>
      </w:r>
    </w:p>
    <w:p>
      <w:pPr>
        <w:spacing w:before="100" w:after="140"/>
      </w:pPr>
      <w:r>
        <w:rPr>
          <w:rFonts w:ascii="Arial" w:cs="Arial" w:eastAsia="Arial" w:hAnsi="Arial"/>
          <w:color w:val="4A4A4A"/>
          <w:sz w:val="22"/>
          <w:szCs w:val="22"/>
        </w:rPr>
        <w:t xml:space="preserve">The evaluation process from first conversation to signed agreement typically runs three to six weeks. Here is what it looks like in practice.</w:t>
      </w:r>
    </w:p>
    <w:p>
      <w:pPr>
        <w:spacing w:before="80" w:after="80"/>
      </w:pPr>
      <w:r>
        <w:t xml:space="preserve"/>
      </w:r>
    </w:p>
    <w:p>
      <w:pPr>
        <w:pStyle w:val="ListParagraph"/>
        <w:numPr>
          <w:ilvl w:val="0"/>
          <w:numId w:val="2"/>
        </w:numPr>
        <w:spacing w:before="120" w:after="80"/>
      </w:pPr>
      <w:r>
        <w:rPr>
          <w:rFonts w:ascii="Arial" w:cs="Arial" w:eastAsia="Arial" w:hAnsi="Arial"/>
          <w:b/>
          <w:bCs/>
          <w:color w:val="1A1A1A"/>
          <w:sz w:val="22"/>
          <w:szCs w:val="22"/>
        </w:rPr>
        <w:t xml:space="preserve">Initial Gas Data Submission. </w:t>
      </w:r>
      <w:r>
        <w:rPr>
          <w:rFonts w:ascii="Arial" w:cs="Arial" w:eastAsia="Arial" w:hAnsi="Arial"/>
          <w:color w:val="4A4A4A"/>
          <w:sz w:val="22"/>
          <w:szCs w:val="22"/>
        </w:rPr>
        <w:t xml:space="preserve">Provide current gas analysis (BTU, methane content, H2S, CO2), wellhead pressure, and average daily volume. A 30-day production history is ideal. This takes 15 minutes to pull from your production system.</w:t>
      </w:r>
    </w:p>
    <w:p>
      <w:pPr>
        <w:pStyle w:val="ListParagraph"/>
        <w:numPr>
          <w:ilvl w:val="0"/>
          <w:numId w:val="2"/>
        </w:numPr>
        <w:spacing w:before="80" w:after="80"/>
      </w:pPr>
      <w:r>
        <w:rPr>
          <w:rFonts w:ascii="Arial" w:cs="Arial" w:eastAsia="Arial" w:hAnsi="Arial"/>
          <w:b/>
          <w:bCs/>
          <w:color w:val="1A1A1A"/>
          <w:sz w:val="22"/>
          <w:szCs w:val="22"/>
        </w:rPr>
        <w:t xml:space="preserve">Feasibility Review. </w:t>
      </w:r>
      <w:r>
        <w:rPr>
          <w:rFonts w:ascii="Arial" w:cs="Arial" w:eastAsia="Arial" w:hAnsi="Arial"/>
          <w:color w:val="4A4A4A"/>
          <w:sz w:val="22"/>
          <w:szCs w:val="22"/>
        </w:rPr>
        <w:t xml:space="preserve">MCF.digital reviews gas quality, volume stability, and site access conditions. We identify any gas conditioning requirements and propose a preliminary genset configuration. Turnaround is typically 48–72 hours.</w:t>
      </w:r>
    </w:p>
    <w:p>
      <w:pPr>
        <w:pStyle w:val="ListParagraph"/>
        <w:numPr>
          <w:ilvl w:val="0"/>
          <w:numId w:val="2"/>
        </w:numPr>
        <w:spacing w:before="80" w:after="80"/>
      </w:pPr>
      <w:r>
        <w:rPr>
          <w:rFonts w:ascii="Arial" w:cs="Arial" w:eastAsia="Arial" w:hAnsi="Arial"/>
          <w:b/>
          <w:bCs/>
          <w:color w:val="1A1A1A"/>
          <w:sz w:val="22"/>
          <w:szCs w:val="22"/>
        </w:rPr>
        <w:t xml:space="preserve">Pro Forma Economics. </w:t>
      </w:r>
      <w:r>
        <w:rPr>
          <w:rFonts w:ascii="Arial" w:cs="Arial" w:eastAsia="Arial" w:hAnsi="Arial"/>
          <w:color w:val="4A4A4A"/>
          <w:sz w:val="22"/>
          <w:szCs w:val="22"/>
        </w:rPr>
        <w:t xml:space="preserve">We run a site-specific financial model showing projected monthly revenue under each deal structure at current and stressed Bitcoin prices. You see exactly what your gas is worth under three scenarios before committing to anything.</w:t>
      </w:r>
    </w:p>
    <w:p>
      <w:pPr>
        <w:pStyle w:val="ListParagraph"/>
        <w:numPr>
          <w:ilvl w:val="0"/>
          <w:numId w:val="2"/>
        </w:numPr>
        <w:spacing w:before="80" w:after="80"/>
      </w:pPr>
      <w:r>
        <w:rPr>
          <w:rFonts w:ascii="Arial" w:cs="Arial" w:eastAsia="Arial" w:hAnsi="Arial"/>
          <w:b/>
          <w:bCs/>
          <w:color w:val="1A1A1A"/>
          <w:sz w:val="22"/>
          <w:szCs w:val="22"/>
        </w:rPr>
        <w:t xml:space="preserve">Site Visit and Permit Review. </w:t>
      </w:r>
      <w:r>
        <w:rPr>
          <w:rFonts w:ascii="Arial" w:cs="Arial" w:eastAsia="Arial" w:hAnsi="Arial"/>
          <w:color w:val="4A4A4A"/>
          <w:sz w:val="22"/>
          <w:szCs w:val="22"/>
        </w:rPr>
        <w:t xml:space="preserve">MCF.digital or a designated field representative visits the pad to confirm site access, security, power interconnect point, and container placement options. Existing flaring permits are reviewed to confirm the deployment satisfies TCEQ or NMOCD authorization requirements.</w:t>
      </w:r>
    </w:p>
    <w:p>
      <w:pPr>
        <w:pStyle w:val="ListParagraph"/>
        <w:numPr>
          <w:ilvl w:val="0"/>
          <w:numId w:val="2"/>
        </w:numPr>
        <w:spacing w:before="80" w:after="80"/>
      </w:pPr>
      <w:r>
        <w:rPr>
          <w:rFonts w:ascii="Arial" w:cs="Arial" w:eastAsia="Arial" w:hAnsi="Arial"/>
          <w:b/>
          <w:bCs/>
          <w:color w:val="1A1A1A"/>
          <w:sz w:val="22"/>
          <w:szCs w:val="22"/>
        </w:rPr>
        <w:t xml:space="preserve">Agreement and Deployment Timeline. </w:t>
      </w:r>
      <w:r>
        <w:rPr>
          <w:rFonts w:ascii="Arial" w:cs="Arial" w:eastAsia="Arial" w:hAnsi="Arial"/>
          <w:color w:val="4A4A4A"/>
          <w:sz w:val="22"/>
          <w:szCs w:val="22"/>
        </w:rPr>
        <w:t xml:space="preserve">Once terms are agreed, a signed deployment agreement triggers equipment procurement and logistics. Lead time from signed agreement to first hash varies from 4 to 8 weeks depending on equipment availability and site readiness.</w:t>
      </w:r>
    </w:p>
    <w:p>
      <w:pPr>
        <w:pStyle w:val="ListParagraph"/>
        <w:numPr>
          <w:ilvl w:val="0"/>
          <w:numId w:val="2"/>
        </w:numPr>
        <w:spacing w:before="80" w:after="80"/>
      </w:pPr>
      <w:r>
        <w:rPr>
          <w:rFonts w:ascii="Arial" w:cs="Arial" w:eastAsia="Arial" w:hAnsi="Arial"/>
          <w:b/>
          <w:bCs/>
          <w:color w:val="1A1A1A"/>
          <w:sz w:val="22"/>
          <w:szCs w:val="22"/>
        </w:rPr>
        <w:t xml:space="preserve">Operations and Reporting. </w:t>
      </w:r>
      <w:r>
        <w:rPr>
          <w:rFonts w:ascii="Arial" w:cs="Arial" w:eastAsia="Arial" w:hAnsi="Arial"/>
          <w:color w:val="4A4A4A"/>
          <w:sz w:val="22"/>
          <w:szCs w:val="22"/>
        </w:rPr>
        <w:t xml:space="preserve">Once online, MCF.digital handles all generator operations, ASIC maintenance, connectivity management, and performance monitoring. Operators receive a monthly report showing gas consumed, power generated, hash produced, and revenue distributed.</w:t>
      </w:r>
    </w:p>
    <w:p>
      <w:pPr>
        <w:spacing w:before="120" w:after="80"/>
      </w:pPr>
      <w:r>
        <w:t xml:space="preserve"/>
      </w:r>
    </w:p>
    <w:p>
      <w:pPr>
        <w:pStyle w:val="Heading2"/>
        <w:pBdr>
          <w:bottom w:val="single" w:color="E8500A" w:sz="4" w:space="4"/>
        </w:pBdr>
        <w:spacing w:before="320" w:after="120"/>
      </w:pPr>
      <w:r>
        <w:rPr>
          <w:rFonts w:ascii="Arial" w:cs="Arial" w:eastAsia="Arial" w:hAnsi="Arial"/>
          <w:b/>
          <w:bCs/>
          <w:color w:val="1A1A1A"/>
          <w:sz w:val="28"/>
          <w:szCs w:val="28"/>
        </w:rPr>
        <w:t xml:space="preserve">The Questions Permian Operators Ask Most</w:t>
      </w:r>
    </w:p>
    <w:p>
      <w:pPr>
        <w:pStyle w:val="Heading3"/>
        <w:spacing w:before="240" w:after="100"/>
      </w:pPr>
      <w:r>
        <w:rPr>
          <w:rFonts w:ascii="Arial" w:cs="Arial" w:eastAsia="Arial" w:hAnsi="Arial"/>
          <w:b/>
          <w:bCs/>
          <w:color w:val="E8500A"/>
          <w:sz w:val="24"/>
          <w:szCs w:val="24"/>
        </w:rPr>
        <w:t xml:space="preserve">What happens if my gas volume drops?</w:t>
      </w:r>
    </w:p>
    <w:p>
      <w:pPr>
        <w:spacing w:before="100" w:after="140"/>
      </w:pPr>
      <w:r>
        <w:rPr>
          <w:rFonts w:ascii="Arial" w:cs="Arial" w:eastAsia="Arial" w:hAnsi="Arial"/>
          <w:color w:val="4A4A4A"/>
          <w:sz w:val="22"/>
          <w:szCs w:val="22"/>
        </w:rPr>
        <w:t xml:space="preserve">Variable gas production is normal, and the system is sized conservatively to account for it. Gensets are selected to run efficiently at 70–80% of rated capacity, which provides headroom for production dips. If a sustained volume decrease takes the site below viable operating thresholds, there are provisions in the deployment agreement to address curtailment scenarios.</w:t>
      </w:r>
    </w:p>
    <w:p>
      <w:pPr>
        <w:pStyle w:val="Heading3"/>
        <w:spacing w:before="240" w:after="100"/>
      </w:pPr>
      <w:r>
        <w:rPr>
          <w:rFonts w:ascii="Arial" w:cs="Arial" w:eastAsia="Arial" w:hAnsi="Arial"/>
          <w:b/>
          <w:bCs/>
          <w:color w:val="E8500A"/>
          <w:sz w:val="24"/>
          <w:szCs w:val="24"/>
        </w:rPr>
        <w:t xml:space="preserve">Who handles operations when something breaks?</w:t>
      </w:r>
    </w:p>
    <w:p>
      <w:pPr>
        <w:spacing w:before="100" w:after="140"/>
      </w:pPr>
      <w:r>
        <w:rPr>
          <w:rFonts w:ascii="Arial" w:cs="Arial" w:eastAsia="Arial" w:hAnsi="Arial"/>
          <w:color w:val="4A4A4A"/>
          <w:sz w:val="22"/>
          <w:szCs w:val="22"/>
        </w:rPr>
        <w:t xml:space="preserve">MCF.digital handles all equipment maintenance, including generator service, ASIC replacement, and connectivity failures. Response time commitments are defined in the service agreement. For the Permian, our field service partners maintain coverage in the Midland and Delaware Basin corridors. This is not a remote-only operation.</w:t>
      </w:r>
    </w:p>
    <w:p>
      <w:pPr>
        <w:pStyle w:val="Heading3"/>
        <w:spacing w:before="240" w:after="100"/>
      </w:pPr>
      <w:r>
        <w:rPr>
          <w:rFonts w:ascii="Arial" w:cs="Arial" w:eastAsia="Arial" w:hAnsi="Arial"/>
          <w:b/>
          <w:bCs/>
          <w:color w:val="E8500A"/>
          <w:sz w:val="24"/>
          <w:szCs w:val="24"/>
        </w:rPr>
        <w:t xml:space="preserve">Does this create any new permit requirements?</w:t>
      </w:r>
    </w:p>
    <w:p>
      <w:pPr>
        <w:spacing w:before="100" w:after="140"/>
      </w:pPr>
      <w:r>
        <w:rPr>
          <w:rFonts w:ascii="Arial" w:cs="Arial" w:eastAsia="Arial" w:hAnsi="Arial"/>
          <w:color w:val="4A4A4A"/>
          <w:sz w:val="22"/>
          <w:szCs w:val="22"/>
        </w:rPr>
        <w:t xml:space="preserve">On-lease power generation for internal consumption generally does not trigger new major source permitting in Texas. The generator is classified as a stationary internal combustion engine, and emissions are typically authorized under TCEQ’s standard permit framework for engines below the major source threshold. Every site is reviewed individually—MCF.digital coordinates permit confirmation as part of the evaluation process.</w:t>
      </w:r>
    </w:p>
    <w:p>
      <w:pPr>
        <w:pStyle w:val="Heading3"/>
        <w:spacing w:before="240" w:after="100"/>
      </w:pPr>
      <w:r>
        <w:rPr>
          <w:rFonts w:ascii="Arial" w:cs="Arial" w:eastAsia="Arial" w:hAnsi="Arial"/>
          <w:b/>
          <w:bCs/>
          <w:color w:val="E8500A"/>
          <w:sz w:val="24"/>
          <w:szCs w:val="24"/>
        </w:rPr>
        <w:t xml:space="preserve">What’s the exit provision?</w:t>
      </w:r>
    </w:p>
    <w:p>
      <w:pPr>
        <w:spacing w:before="100" w:after="140"/>
      </w:pPr>
      <w:r>
        <w:rPr>
          <w:rFonts w:ascii="Arial" w:cs="Arial" w:eastAsia="Arial" w:hAnsi="Arial"/>
          <w:color w:val="4A4A4A"/>
          <w:sz w:val="22"/>
          <w:szCs w:val="22"/>
        </w:rPr>
        <w:t xml:space="preserve">Deployment agreements include defined exit terms that protect both parties. Operators are not locked into indefinite arrangements. Typical minimum terms run 12–24 months, with mutually agreed wind-down procedures and equipment removal responsibilities clearly defined.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00A" w:sz="16"/>
              <w:left w:val="none" w:color="FFFFFF" w:sz="0"/>
              <w:bottom w:val="single" w:color="E8500A" w:sz="16"/>
              <w:right w:val="none" w:color="FFFFFF" w:sz="0"/>
            </w:tcBorders>
            <w:shd w:fill="1A1A1A" w:val="clear"/>
            <w:tcMar>
              <w:top w:type="dxa" w:w="280"/>
              <w:left w:type="dxa" w:w="360"/>
              <w:bottom w:type="dxa" w:w="280"/>
              <w:right w:type="dxa" w:w="360"/>
            </w:tcMar>
          </w:tcPr>
          <w:p>
            <w:pPr>
              <w:spacing w:before="0" w:after="80"/>
              <w:jc w:val="center"/>
            </w:pPr>
            <w:r>
              <w:rPr>
                <w:rFonts w:ascii="Arial" w:cs="Arial" w:eastAsia="Arial" w:hAnsi="Arial"/>
                <w:b/>
                <w:bCs/>
                <w:color w:val="FFFFFF"/>
                <w:sz w:val="28"/>
                <w:szCs w:val="28"/>
              </w:rPr>
              <w:t xml:space="preserve">Ready to run the numbers on your pad?</w:t>
            </w:r>
          </w:p>
          <w:p>
            <w:pPr>
              <w:spacing w:before="0" w:after="120"/>
              <w:jc w:val="center"/>
            </w:pPr>
            <w:r>
              <w:rPr>
                <w:rFonts w:ascii="Arial" w:cs="Arial" w:eastAsia="Arial" w:hAnsi="Arial"/>
                <w:color w:val="CCCCCC"/>
                <w:sz w:val="22"/>
                <w:szCs w:val="22"/>
              </w:rPr>
              <w:t xml:space="preserve">Use MCF.digital’s site calculator to see a pro forma estimate based on your gas volume and current Bitcoin conditions.</w:t>
            </w:r>
          </w:p>
          <w:p>
            <w:pPr>
              <w:spacing w:before="0" w:after="0"/>
              <w:jc w:val="center"/>
            </w:pPr>
            <w:r>
              <w:rPr>
                <w:rFonts w:ascii="Arial" w:cs="Arial" w:eastAsia="Arial" w:hAnsi="Arial"/>
                <w:b/>
                <w:bCs/>
                <w:color w:val="E8500A"/>
                <w:sz w:val="24"/>
                <w:szCs w:val="24"/>
              </w:rPr>
              <w:t xml:space="preserve">tools.mcf.digital</w:t>
            </w:r>
            <w:r>
              <w:rPr>
                <w:rFonts w:ascii="Arial" w:cs="Arial" w:eastAsia="Arial" w:hAnsi="Arial"/>
                <w:color w:val="666666"/>
                <w:sz w:val="24"/>
                <w:szCs w:val="24"/>
              </w:rPr>
              <w:t xml:space="preserve">   ·   </w:t>
            </w:r>
            <w:r>
              <w:rPr>
                <w:rFonts w:ascii="Arial" w:cs="Arial" w:eastAsia="Arial" w:hAnsi="Arial"/>
                <w:b/>
                <w:bCs/>
                <w:color w:val="E8500A"/>
                <w:sz w:val="24"/>
                <w:szCs w:val="24"/>
              </w:rPr>
              <w:t xml:space="preserve">Book a 15-minute fit call</w:t>
            </w:r>
          </w:p>
        </w:tc>
      </w:tr>
    </w:tbl>
    <w:p>
      <w:pPr>
        <w:spacing w:before="240" w:after="120"/>
      </w:pPr>
      <w:r>
        <w:t xml:space="preserve"/>
      </w:r>
    </w:p>
    <w:p>
      <w:pPr>
        <w:pStyle w:val="Heading2"/>
        <w:pBdr>
          <w:bottom w:val="single" w:color="E8500A" w:sz="4" w:space="4"/>
        </w:pBdr>
        <w:spacing w:before="320" w:after="120"/>
      </w:pPr>
      <w:r>
        <w:rPr>
          <w:rFonts w:ascii="Arial" w:cs="Arial" w:eastAsia="Arial" w:hAnsi="Arial"/>
          <w:b/>
          <w:bCs/>
          <w:color w:val="1A1A1A"/>
          <w:sz w:val="28"/>
          <w:szCs w:val="28"/>
        </w:rPr>
        <w:t xml:space="preserve">Related Resources</w:t>
      </w:r>
    </w:p>
    <w:p>
      <w:pPr>
        <w:spacing w:before="100" w:after="140"/>
      </w:pPr>
      <w:r>
        <w:rPr>
          <w:rFonts w:ascii="Arial" w:cs="Arial" w:eastAsia="Arial" w:hAnsi="Arial"/>
          <w:color w:val="4A4A4A"/>
          <w:sz w:val="22"/>
          <w:szCs w:val="22"/>
        </w:rPr>
        <w:t xml:space="preserve">If this guide raised questions about specific aspects of gas-to-hash deployment, the following pages go deeper on each topic:</w:t>
      </w:r>
    </w:p>
    <w:p>
      <w:pPr>
        <w:spacing w:before="60" w:after="40"/>
      </w:pPr>
      <w:r>
        <w:t xml:space="preserve"/>
      </w:r>
    </w:p>
    <w:p>
      <w:pPr>
        <w:pStyle w:val="ListParagraph"/>
        <w:numPr>
          <w:ilvl w:val="0"/>
          <w:numId w:val="3"/>
        </w:numPr>
        <w:spacing w:before="60" w:after="60"/>
      </w:pPr>
      <w:r>
        <w:rPr>
          <w:rFonts w:ascii="Arial" w:cs="Arial" w:eastAsia="Arial" w:hAnsi="Arial"/>
          <w:color w:val="4A4A4A"/>
          <w:sz w:val="22"/>
          <w:szCs w:val="22"/>
        </w:rPr>
        <w:t xml:space="preserve">What Is Flare Gas? — mcf.digital/glossary/what-is-flare-gas</w:t>
      </w:r>
    </w:p>
    <w:p>
      <w:pPr>
        <w:pStyle w:val="ListParagraph"/>
        <w:numPr>
          <w:ilvl w:val="0"/>
          <w:numId w:val="3"/>
        </w:numPr>
        <w:spacing w:before="60" w:after="60"/>
      </w:pPr>
      <w:r>
        <w:rPr>
          <w:rFonts w:ascii="Arial" w:cs="Arial" w:eastAsia="Arial" w:hAnsi="Arial"/>
          <w:color w:val="4A4A4A"/>
          <w:sz w:val="22"/>
          <w:szCs w:val="22"/>
        </w:rPr>
        <w:t xml:space="preserve">What Is Gas Netback? The Complete Operator Definition — mcf.digital/glossary/what-is-gas-netback</w:t>
      </w:r>
    </w:p>
    <w:p>
      <w:pPr>
        <w:pStyle w:val="ListParagraph"/>
        <w:numPr>
          <w:ilvl w:val="0"/>
          <w:numId w:val="3"/>
        </w:numPr>
        <w:spacing w:before="60" w:after="60"/>
      </w:pPr>
      <w:r>
        <w:rPr>
          <w:rFonts w:ascii="Arial" w:cs="Arial" w:eastAsia="Arial" w:hAnsi="Arial"/>
          <w:color w:val="4A4A4A"/>
          <w:sz w:val="22"/>
          <w:szCs w:val="22"/>
        </w:rPr>
        <w:t xml:space="preserve">Gas-to-Hash: What It Means and How It Works — mcf.digital/glossary/gas-to-hash</w:t>
      </w:r>
    </w:p>
    <w:p>
      <w:pPr>
        <w:pStyle w:val="ListParagraph"/>
        <w:numPr>
          <w:ilvl w:val="0"/>
          <w:numId w:val="3"/>
        </w:numPr>
        <w:spacing w:before="60" w:after="60"/>
      </w:pPr>
      <w:r>
        <w:rPr>
          <w:rFonts w:ascii="Arial" w:cs="Arial" w:eastAsia="Arial" w:hAnsi="Arial"/>
          <w:color w:val="4A4A4A"/>
          <w:sz w:val="22"/>
          <w:szCs w:val="22"/>
        </w:rPr>
        <w:t xml:space="preserve">How to Improve Low Gas Netbacks Without Midstream — mcf.digital/operator-guides/low-gas-netbacks</w:t>
      </w:r>
    </w:p>
    <w:p>
      <w:pPr>
        <w:pStyle w:val="ListParagraph"/>
        <w:numPr>
          <w:ilvl w:val="0"/>
          <w:numId w:val="3"/>
        </w:numPr>
        <w:spacing w:before="60" w:after="60"/>
      </w:pPr>
      <w:r>
        <w:rPr>
          <w:rFonts w:ascii="Arial" w:cs="Arial" w:eastAsia="Arial" w:hAnsi="Arial"/>
          <w:color w:val="4A4A4A"/>
          <w:sz w:val="22"/>
          <w:szCs w:val="22"/>
        </w:rPr>
        <w:t xml:space="preserve">Stranded Gas Bitcoin Mining: When It Pencils and When It Doesn’t — mcf.digital/operator-guides/stranded-gas-bitcoin-mining</w:t>
      </w:r>
    </w:p>
    <w:p>
      <w:pPr>
        <w:pStyle w:val="ListParagraph"/>
        <w:numPr>
          <w:ilvl w:val="0"/>
          <w:numId w:val="3"/>
        </w:numPr>
        <w:spacing w:before="60" w:after="60"/>
      </w:pPr>
      <w:r>
        <w:rPr>
          <w:rFonts w:ascii="Arial" w:cs="Arial" w:eastAsia="Arial" w:hAnsi="Arial"/>
          <w:color w:val="4A4A4A"/>
          <w:sz w:val="22"/>
          <w:szCs w:val="22"/>
        </w:rPr>
        <w:t xml:space="preserve">Flare Site Operators Overview — mcf.digital/flare-site-operators</w:t>
      </w:r>
    </w:p>
    <w:p>
      <w:pPr>
        <w:spacing w:before="200" w:after="100"/>
      </w:pPr>
      <w:r>
        <w:t xml:space="preserve"/>
      </w:r>
    </w:p>
    <w:p>
      <w:pPr>
        <w:pBdr>
          <w:top w:val="single" w:color="DDDDDD" w:sz="4" w:space="4"/>
        </w:pBdr>
        <w:spacing w:before="0" w:after="0"/>
      </w:pPr>
      <w:r>
        <w:rPr>
          <w:sz w:val="20"/>
          <w:szCs w:val="20"/>
        </w:rPr>
        <w:t xml:space="preserve"/>
      </w:r>
    </w:p>
    <w:p>
      <w:pPr>
        <w:spacing w:before="120" w:after="0"/>
      </w:pPr>
      <w:r>
        <w:rPr>
          <w:rFonts w:ascii="Arial" w:cs="Arial" w:eastAsia="Arial" w:hAnsi="Arial"/>
          <w:b/>
          <w:bCs/>
          <w:color w:val="1A1A1A"/>
          <w:sz w:val="20"/>
          <w:szCs w:val="20"/>
        </w:rPr>
        <w:t xml:space="preserve">MCF.digital</w:t>
      </w:r>
      <w:r>
        <w:rPr>
          <w:rFonts w:ascii="Arial" w:cs="Arial" w:eastAsia="Arial" w:hAnsi="Arial"/>
          <w:color w:val="999999"/>
          <w:sz w:val="18"/>
          <w:szCs w:val="18"/>
        </w:rPr>
        <w:t xml:space="preserve">  ·  On-Lease Bitcoin Mining  ·  Flare Gas Monetization  ·  Gas-to-Hash Operator</w:t>
      </w:r>
    </w:p>
    <w:p>
      <w:pPr>
        <w:spacing w:before="60" w:after="0"/>
      </w:pPr>
      <w:r>
        <w:rPr>
          <w:rFonts w:ascii="Arial" w:cs="Arial" w:eastAsia="Arial" w:hAnsi="Arial"/>
          <w:color w:val="BBBBBB"/>
          <w:sz w:val="16"/>
          <w:szCs w:val="16"/>
        </w:rPr>
        <w:t xml:space="preserve">Audience: Permian Basin O&amp;G Operators  ·  Category: Operator Guide  ·  mcf.digital/operator-guides/permian-flare-gas-monetization</w:t>
      </w:r>
    </w:p>
    <w:sectPr>
      <w:headerReference w:type="default" r:id="rId6"/>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500A" w:sz="4" w:space="2"/>
      </w:pBdr>
      <w:tabs>
        <w:tab w:val="right" w:pos="9360"/>
      </w:tabs>
      <w:spacing w:before="120" w:after="0"/>
    </w:pPr>
    <w:r>
      <w:rPr>
        <w:rFonts w:ascii="Arial" w:cs="Arial" w:eastAsia="Arial" w:hAnsi="Arial"/>
        <w:color w:val="999999"/>
        <w:sz w:val="18"/>
        <w:szCs w:val="18"/>
      </w:rPr>
      <w:t xml:space="preserve">mcf.digital</w:t>
    </w:r>
    <w:r>
      <w:rPr>
        <w:sz w:val="18"/>
        <w:szCs w:val="18"/>
      </w:rPr>
      <w:t xml:space="preserve">	</w:t>
    </w:r>
    <w:r>
      <w:rPr>
        <w:rFonts w:ascii="Arial" w:cs="Arial" w:eastAsia="Arial" w:hAnsi="Arial"/>
        <w:color w:val="999999"/>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00A" w:sz="6" w:space="2"/>
      </w:pBdr>
      <w:spacing w:before="0" w:after="160"/>
    </w:pPr>
    <w:r>
      <w:rPr>
        <w:rFonts w:ascii="Arial" w:cs="Arial" w:eastAsia="Arial" w:hAnsi="Arial"/>
        <w:b/>
        <w:bCs/>
        <w:color w:val="E8500A"/>
        <w:sz w:val="22"/>
        <w:szCs w:val="22"/>
      </w:rPr>
      <w:t xml:space="preserve">MCF</w:t>
    </w:r>
    <w:r>
      <w:rPr>
        <w:rFonts w:ascii="Arial" w:cs="Arial" w:eastAsia="Arial" w:hAnsi="Arial"/>
        <w:b/>
        <w:bCs/>
        <w:color w:val="1A1A1A"/>
        <w:sz w:val="22"/>
        <w:szCs w:val="22"/>
      </w:rPr>
      <w:t xml:space="preserve">.DIGITAL</w:t>
    </w:r>
    <w:r>
      <w:rPr>
        <w:rFonts w:ascii="Arial" w:cs="Arial" w:eastAsia="Arial" w:hAnsi="Arial"/>
        <w:color w:val="999999"/>
        <w:sz w:val="18"/>
        <w:szCs w:val="18"/>
      </w:rPr>
      <w:t xml:space="preserve">   OPERATOR GUIDE  |  Permian Flare Gas Monetization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1A"/>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A1A1A"/>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E8500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2026-02-26T18:23:41.640Z</dcterms:created>
  <dcterms:modified xsi:type="dcterms:W3CDTF">2026-02-26T18:23:41.641Z</dcterms:modified>
</cp:coreProperties>
</file>

<file path=docProps/custom.xml><?xml version="1.0" encoding="utf-8"?>
<Properties xmlns="http://schemas.openxmlformats.org/officeDocument/2006/custom-properties" xmlns:vt="http://schemas.openxmlformats.org/officeDocument/2006/docPropsVTypes"/>
</file>