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240" w:after="80"/>
      </w:pPr>
      <w:r>
        <w:rPr>
          <w:rFonts w:ascii="Arial" w:cs="Arial" w:eastAsia="Arial" w:hAnsi="Arial"/>
          <w:caps/>
          <w:color w:val="999999"/>
          <w:sz w:val="18"/>
          <w:szCs w:val="18"/>
        </w:rPr>
        <w:t xml:space="preserve">OPERATOR GUIDE  //  GAS MONETIZATION</w:t>
      </w:r>
    </w:p>
    <w:p>
      <w:pPr>
        <w:spacing w:before="0" w:after="80"/>
      </w:pPr>
      <w:r>
        <w:rPr>
          <w:rFonts w:ascii="Arial" w:cs="Arial" w:eastAsia="Arial" w:hAnsi="Arial"/>
          <w:b/>
          <w:bCs/>
          <w:color w:val="1A1A1A"/>
          <w:sz w:val="52"/>
          <w:szCs w:val="52"/>
        </w:rPr>
        <w:t xml:space="preserve">How to Improve Low Gas Netbacks</w:t>
      </w:r>
    </w:p>
    <w:p>
      <w:pPr>
        <w:spacing w:before="0" w:after="200"/>
      </w:pPr>
      <w:r>
        <w:rPr>
          <w:rFonts w:ascii="Arial" w:cs="Arial" w:eastAsia="Arial" w:hAnsi="Arial"/>
          <w:b/>
          <w:bCs/>
          <w:color w:val="E8500A"/>
          <w:sz w:val="52"/>
          <w:szCs w:val="52"/>
        </w:rPr>
        <w:t xml:space="preserve">Without Midstream</w:t>
      </w:r>
    </w:p>
    <w:p>
      <w:pPr>
        <w:pBdr>
          <w:bottom w:val="single" w:color="E8D5CC" w:sz="6" w:space="4"/>
        </w:pBdr>
        <w:spacing w:before="0" w:after="320"/>
      </w:pPr>
      <w:r>
        <w:rPr>
          <w:rFonts w:ascii="Arial" w:cs="Arial" w:eastAsia="Arial" w:hAnsi="Arial"/>
          <w:color w:val="4A4A4A"/>
          <w:sz w:val="24"/>
          <w:szCs w:val="24"/>
        </w:rPr>
        <w:t xml:space="preserve">Gathering fees. Fuel deductions. Minimum volume commitments. Here’s why your midstream contract is structurally designed to compress your gas netback—and what you can do about it.</w:t>
      </w:r>
    </w:p>
    <w:p>
      <w:pPr>
        <w:spacing w:before="200" w:after="10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rPr>
          <w:tblHeader/>
        </w:trPr>
        <w:tc>
          <w:tcPr>
            <w:tcW w:type="dxa" w:w="3120"/>
            <w:tcBorders>
              <w:top w:val="single" w:color="DDDDDD" w:sz="1"/>
              <w:left w:val="single" w:color="DDDDDD" w:sz="1"/>
              <w:bottom w:val="single" w:color="DDDDDD" w:sz="1"/>
              <w:right w:val="single" w:color="DDDDDD" w:sz="1"/>
            </w:tcBorders>
            <w:shd w:fill="1A1A1A" w:val="clear"/>
            <w:tcMar>
              <w:top w:type="dxa" w:w="100"/>
              <w:left w:type="dxa" w:w="150"/>
              <w:bottom w:type="dxa" w:w="100"/>
              <w:right w:type="dxa" w:w="150"/>
            </w:tcMar>
          </w:tcPr>
          <w:p>
            <w:pPr>
              <w:jc w:val="center"/>
            </w:pPr>
            <w:r>
              <w:rPr>
                <w:rFonts w:ascii="Arial" w:cs="Arial" w:eastAsia="Arial" w:hAnsi="Arial"/>
                <w:b/>
                <w:bCs/>
                <w:color w:val="FFFFFF"/>
                <w:sz w:val="20"/>
                <w:szCs w:val="20"/>
              </w:rPr>
              <w:t xml:space="preserve">Typical Netback Loss</w:t>
            </w:r>
          </w:p>
        </w:tc>
        <w:tc>
          <w:tcPr>
            <w:tcW w:type="dxa" w:w="3120"/>
            <w:tcBorders>
              <w:top w:val="single" w:color="DDDDDD" w:sz="1"/>
              <w:left w:val="single" w:color="DDDDDD" w:sz="1"/>
              <w:bottom w:val="single" w:color="DDDDDD" w:sz="1"/>
              <w:right w:val="single" w:color="DDDDDD" w:sz="1"/>
            </w:tcBorders>
            <w:shd w:fill="1A1A1A" w:val="clear"/>
            <w:tcMar>
              <w:top w:type="dxa" w:w="100"/>
              <w:left w:type="dxa" w:w="150"/>
              <w:bottom w:type="dxa" w:w="100"/>
              <w:right w:type="dxa" w:w="150"/>
            </w:tcMar>
          </w:tcPr>
          <w:p>
            <w:pPr>
              <w:jc w:val="center"/>
            </w:pPr>
            <w:r>
              <w:rPr>
                <w:rFonts w:ascii="Arial" w:cs="Arial" w:eastAsia="Arial" w:hAnsi="Arial"/>
                <w:b/>
                <w:bCs/>
                <w:color w:val="FFFFFF"/>
                <w:sz w:val="20"/>
                <w:szCs w:val="20"/>
              </w:rPr>
              <w:t xml:space="preserve">MVC Penalty Exposure</w:t>
            </w:r>
          </w:p>
        </w:tc>
        <w:tc>
          <w:tcPr>
            <w:tcW w:type="dxa" w:w="3120"/>
            <w:tcBorders>
              <w:top w:val="single" w:color="DDDDDD" w:sz="1"/>
              <w:left w:val="single" w:color="DDDDDD" w:sz="1"/>
              <w:bottom w:val="single" w:color="DDDDDD" w:sz="1"/>
              <w:right w:val="single" w:color="DDDDDD" w:sz="1"/>
            </w:tcBorders>
            <w:shd w:fill="1A1A1A" w:val="clear"/>
            <w:tcMar>
              <w:top w:type="dxa" w:w="100"/>
              <w:left w:type="dxa" w:w="150"/>
              <w:bottom w:type="dxa" w:w="100"/>
              <w:right w:type="dxa" w:w="150"/>
            </w:tcMar>
          </w:tcPr>
          <w:p>
            <w:pPr>
              <w:jc w:val="center"/>
            </w:pPr>
            <w:r>
              <w:rPr>
                <w:rFonts w:ascii="Arial" w:cs="Arial" w:eastAsia="Arial" w:hAnsi="Arial"/>
                <w:b/>
                <w:bCs/>
                <w:color w:val="FFFFFF"/>
                <w:sz w:val="20"/>
                <w:szCs w:val="20"/>
              </w:rPr>
              <w:t xml:space="preserve">On-Lease Alternative</w:t>
            </w:r>
          </w:p>
        </w:tc>
      </w:tr>
      <w:tr>
        <w:tc>
          <w:tcPr>
            <w:tcW w:type="dxa" w:w="312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pPr>
              <w:jc w:val="left"/>
            </w:pPr>
            <w:r>
              <w:rPr>
                <w:rFonts w:ascii="Arial" w:cs="Arial" w:eastAsia="Arial" w:hAnsi="Arial"/>
                <w:b/>
                <w:bCs/>
                <w:color w:val="1A1A1A"/>
                <w:sz w:val="20"/>
                <w:szCs w:val="20"/>
              </w:rPr>
              <w:t xml:space="preserve">20201340% of wellhead value taken by midstream fees</w:t>
            </w:r>
          </w:p>
        </w:tc>
        <w:tc>
          <w:tcPr>
            <w:tcW w:type="dxa" w:w="312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pPr>
              <w:jc w:val="left"/>
            </w:pPr>
            <w:r>
              <w:rPr>
                <w:rFonts w:ascii="Arial" w:cs="Arial" w:eastAsia="Arial" w:hAnsi="Arial"/>
                <w:b w:val="false"/>
                <w:bCs w:val="false"/>
                <w:color w:val="4A4A4A"/>
                <w:sz w:val="20"/>
                <w:szCs w:val="20"/>
              </w:rPr>
              <w:t xml:space="preserve">$0.152013$0.60/Mcf or more in MVC shortfall charges</w:t>
            </w:r>
          </w:p>
        </w:tc>
        <w:tc>
          <w:tcPr>
            <w:tcW w:type="dxa" w:w="312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pPr>
              <w:jc w:val="left"/>
            </w:pPr>
            <w:r>
              <w:rPr>
                <w:rFonts w:ascii="Arial" w:cs="Arial" w:eastAsia="Arial" w:hAnsi="Arial"/>
                <w:b w:val="false"/>
                <w:bCs w:val="false"/>
                <w:color w:val="4A4A4A"/>
                <w:sz w:val="20"/>
                <w:szCs w:val="20"/>
              </w:rPr>
              <w:t xml:space="preserve">100 Mcfd minimum, no pipeline required</w:t>
            </w:r>
          </w:p>
        </w:tc>
      </w:tr>
    </w:tbl>
    <w:p>
      <w:pPr>
        <w:spacing w:before="240" w:after="120"/>
      </w:pPr>
      <w:r>
        <w:t xml:space="preserve"/>
      </w:r>
    </w:p>
    <w:p>
      <w:pPr>
        <w:pStyle w:val="Heading2"/>
        <w:pBdr>
          <w:bottom w:val="single" w:color="E8500A" w:sz="4" w:space="4"/>
        </w:pBdr>
        <w:spacing w:before="320" w:after="120"/>
      </w:pPr>
      <w:r>
        <w:rPr>
          <w:rFonts w:ascii="Arial" w:cs="Arial" w:eastAsia="Arial" w:hAnsi="Arial"/>
          <w:b/>
          <w:bCs/>
          <w:color w:val="1A1A1A"/>
          <w:sz w:val="28"/>
          <w:szCs w:val="28"/>
        </w:rPr>
        <w:t xml:space="preserve">Why Midstream Contracts Compress Your Netback</w:t>
      </w:r>
    </w:p>
    <w:p>
      <w:pPr>
        <w:spacing w:before="100" w:after="140"/>
      </w:pPr>
      <w:r>
        <w:rPr>
          <w:rFonts w:ascii="Arial" w:cs="Arial" w:eastAsia="Arial" w:hAnsi="Arial"/>
          <w:color w:val="4A4A4A"/>
          <w:sz w:val="22"/>
          <w:szCs w:val="22"/>
        </w:rPr>
        <w:t xml:space="preserve">Gas netback is what you actually receive at the wellhead after all costs between your pad and the sales point have been subtracted. In a functioning midstream relationship, those costs are a reasonable exchange for access to market. In practice, for a significant portion of Permian, DJ Basin, and Bakken operators, they’ve become a structural compression mechanism.</w:t>
      </w:r>
    </w:p>
    <w:p>
      <w:pPr>
        <w:spacing w:before="100" w:after="140"/>
      </w:pPr>
      <w:r>
        <w:rPr>
          <w:rFonts w:ascii="Arial" w:cs="Arial" w:eastAsia="Arial" w:hAnsi="Arial"/>
          <w:color w:val="4A4A4A"/>
          <w:sz w:val="22"/>
          <w:szCs w:val="22"/>
        </w:rPr>
        <w:t xml:space="preserve">There are three primary drivers, and understanding each one matters because the fix is different depending on which is hurting you most.</w:t>
      </w:r>
    </w:p>
    <w:p>
      <w:pPr>
        <w:spacing w:before="80" w:after="60"/>
      </w:pPr>
      <w:r>
        <w:t xml:space="preserve"/>
      </w:r>
    </w:p>
    <w:p>
      <w:pPr>
        <w:pStyle w:val="Heading3"/>
        <w:spacing w:before="240" w:after="100"/>
      </w:pPr>
      <w:r>
        <w:rPr>
          <w:rFonts w:ascii="Arial" w:cs="Arial" w:eastAsia="Arial" w:hAnsi="Arial"/>
          <w:b/>
          <w:bCs/>
          <w:color w:val="E8500A"/>
          <w:sz w:val="24"/>
          <w:szCs w:val="24"/>
        </w:rPr>
        <w:t xml:space="preserve">1. Gathering and Processing Fees</w:t>
      </w:r>
    </w:p>
    <w:p>
      <w:pPr>
        <w:spacing w:before="100" w:after="140"/>
      </w:pPr>
      <w:r>
        <w:rPr>
          <w:rFonts w:ascii="Arial" w:cs="Arial" w:eastAsia="Arial" w:hAnsi="Arial"/>
          <w:color w:val="4A4A4A"/>
          <w:sz w:val="22"/>
          <w:szCs w:val="22"/>
        </w:rPr>
        <w:t xml:space="preserve">Gathering fees cover the cost of moving your gas from the wellhead to a processing plant or mainline interconnect. Processing fees cover the separation of NGLs from the dry gas stream. Together, they typically run $0.40–$1.20/MMBtu depending on the basin, the gathering system vintage, and your contract terms.</w:t>
      </w:r>
    </w:p>
    <w:p>
      <w:pPr>
        <w:spacing w:before="100" w:after="140"/>
      </w:pPr>
      <w:r>
        <w:rPr>
          <w:rFonts w:ascii="Arial" w:cs="Arial" w:eastAsia="Arial" w:hAnsi="Arial"/>
          <w:color w:val="4A4A4A"/>
          <w:sz w:val="22"/>
          <w:szCs w:val="22"/>
        </w:rPr>
        <w:t xml:space="preserve">The problem isn’t the fee in isolation—it’s that the fee is fixed regardless of the gas price. When Henry Hub is at $2.00/MMBtu and your gathering and processing fee is $0.80/MMBtu, you’re surrendering 40% of gross value before you’ve paid a dollar of royalty or operating cost. At $1.50/MMBtu spot, some operators are delivering gas to the pipeline at a loss.</w:t>
      </w:r>
    </w:p>
    <w:p>
      <w:pPr>
        <w:pStyle w:val="Heading3"/>
        <w:spacing w:before="240" w:after="100"/>
      </w:pPr>
      <w:r>
        <w:rPr>
          <w:rFonts w:ascii="Arial" w:cs="Arial" w:eastAsia="Arial" w:hAnsi="Arial"/>
          <w:b/>
          <w:bCs/>
          <w:color w:val="E8500A"/>
          <w:sz w:val="24"/>
          <w:szCs w:val="24"/>
        </w:rPr>
        <w:t xml:space="preserve">2. NGL Deductions and Keep-Whole Risk</w:t>
      </w:r>
    </w:p>
    <w:p>
      <w:pPr>
        <w:spacing w:before="100" w:after="140"/>
      </w:pPr>
      <w:r>
        <w:rPr>
          <w:rFonts w:ascii="Arial" w:cs="Arial" w:eastAsia="Arial" w:hAnsi="Arial"/>
          <w:color w:val="4A4A4A"/>
          <w:sz w:val="22"/>
          <w:szCs w:val="22"/>
        </w:rPr>
        <w:t xml:space="preserve">Keep-whole contracts require the midstream operator to return to you the BTU value of the NGLs extracted during processing. Percent-of-proceeds (POP) contracts pay you a share of what the NGLs actually sold for. In a low NGL price environment, POP contracts can result in deductions that meaningfully reduce your dry gas netback—sometimes turning it negative on rich gas streams.</w:t>
      </w:r>
    </w:p>
    <w:p>
      <w:pPr>
        <w:spacing w:before="100" w:after="140"/>
      </w:pPr>
      <w:r>
        <w:rPr>
          <w:rFonts w:ascii="Arial" w:cs="Arial" w:eastAsia="Arial" w:hAnsi="Arial"/>
          <w:color w:val="4A4A4A"/>
          <w:sz w:val="22"/>
          <w:szCs w:val="22"/>
        </w:rPr>
        <w:t xml:space="preserve">Fee-based contracts eliminate keep-whole risk but replace it with fixed fee exposure regardless of market conditions. Neither structure gives you full wellhead economics on a lean-margin stream.</w:t>
      </w:r>
    </w:p>
    <w:p>
      <w:pPr>
        <w:pStyle w:val="Heading3"/>
        <w:spacing w:before="240" w:after="100"/>
      </w:pPr>
      <w:r>
        <w:rPr>
          <w:rFonts w:ascii="Arial" w:cs="Arial" w:eastAsia="Arial" w:hAnsi="Arial"/>
          <w:b/>
          <w:bCs/>
          <w:color w:val="E8500A"/>
          <w:sz w:val="24"/>
          <w:szCs w:val="24"/>
        </w:rPr>
        <w:t xml:space="preserve">3. Minimum Volume Commitments (MVCs)</w:t>
      </w:r>
    </w:p>
    <w:p>
      <w:pPr>
        <w:spacing w:before="100" w:after="140"/>
      </w:pPr>
      <w:r>
        <w:rPr>
          <w:rFonts w:ascii="Arial" w:cs="Arial" w:eastAsia="Arial" w:hAnsi="Arial"/>
          <w:color w:val="4A4A4A"/>
          <w:sz w:val="22"/>
          <w:szCs w:val="22"/>
        </w:rPr>
        <w:t xml:space="preserve">MVCs are the most underappreciated netback killer in the upstream market. If your gathering agreement requires you to deliver a minimum volume per month and your production falls short—due to natural decline, downtime, or curtailment—you owe a deficiency payment to the midstream company for the shortfall. These payments can run $0.15–$0.60/Mcf on undelivered volumes, assessed whether or not you produced the gas.</w:t>
      </w:r>
    </w:p>
    <w:p>
      <w:pPr>
        <w:spacing w:before="100" w:after="140"/>
      </w:pPr>
      <w:r>
        <w:rPr>
          <w:rFonts w:ascii="Arial" w:cs="Arial" w:eastAsia="Arial" w:hAnsi="Arial"/>
          <w:color w:val="4A4A4A"/>
          <w:sz w:val="22"/>
          <w:szCs w:val="22"/>
        </w:rPr>
        <w:t xml:space="preserve">For operators managing late-life or naturally declining wells, MVCs can effectively eliminate positive netback entirely on the affected volumes. The contract was structured around production volumes that no longer match your current output.</w:t>
      </w:r>
    </w:p>
    <w:p>
      <w:pPr>
        <w:spacing w:before="80"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E8500A" w:sz="8"/>
              <w:left w:val="single" w:color="E8500A" w:sz="8"/>
              <w:bottom w:val="single" w:color="DDDDDD" w:sz="1"/>
              <w:right w:val="single" w:color="DDDDDD" w:sz="1"/>
            </w:tcBorders>
            <w:shd w:fill="FFF6F2" w:val="clear"/>
            <w:tcMar>
              <w:top w:type="dxa" w:w="160"/>
              <w:left w:type="dxa" w:w="200"/>
              <w:bottom w:type="dxa" w:w="160"/>
              <w:right w:type="dxa" w:w="200"/>
            </w:tcMar>
          </w:tcPr>
          <w:p>
            <w:pPr>
              <w:spacing w:before="0" w:after="80"/>
            </w:pPr>
            <w:r>
              <w:rPr>
                <w:rFonts w:ascii="Arial" w:cs="Arial" w:eastAsia="Arial" w:hAnsi="Arial"/>
                <w:b/>
                <w:bCs/>
                <w:color w:val="E8500A"/>
                <w:sz w:val="22"/>
                <w:szCs w:val="22"/>
              </w:rPr>
              <w:t xml:space="preserve">THE STRUCTURAL PROBLEM</w:t>
            </w:r>
          </w:p>
          <w:p>
            <w:pPr>
              <w:spacing w:before="0" w:after="0"/>
            </w:pPr>
            <w:r>
              <w:rPr>
                <w:rFonts w:ascii="Arial" w:cs="Arial" w:eastAsia="Arial" w:hAnsi="Arial"/>
                <w:color w:val="4A4A4A"/>
                <w:sz w:val="22"/>
                <w:szCs w:val="22"/>
              </w:rPr>
              <w:t xml:space="preserve">Midstream contracts are written to protect the midstream company’s infrastructure investment. They were not designed to maximize your netback—they were designed to guarantee the gatherer’s throughput. When your production profile no longer matches the contract, the compression worsens. You can negotiate at contract renewal, but you cannot renegotiate the structural misalignment.</w:t>
            </w:r>
          </w:p>
        </w:tc>
      </w:tr>
    </w:tbl>
    <w:p>
      <w:pPr>
        <w:spacing w:before="200" w:after="120"/>
      </w:pPr>
      <w:r>
        <w:t xml:space="preserve"/>
      </w:r>
    </w:p>
    <w:p>
      <w:pPr>
        <w:pStyle w:val="Heading2"/>
        <w:pBdr>
          <w:bottom w:val="single" w:color="E8500A" w:sz="4" w:space="4"/>
        </w:pBdr>
        <w:spacing w:before="320" w:after="120"/>
      </w:pPr>
      <w:r>
        <w:rPr>
          <w:rFonts w:ascii="Arial" w:cs="Arial" w:eastAsia="Arial" w:hAnsi="Arial"/>
          <w:b/>
          <w:bCs/>
          <w:color w:val="1A1A1A"/>
          <w:sz w:val="28"/>
          <w:szCs w:val="28"/>
        </w:rPr>
        <w:t xml:space="preserve">The On-Lease Carve-Out: A Structural Alternative</w:t>
      </w:r>
    </w:p>
    <w:p>
      <w:pPr>
        <w:spacing w:before="100" w:after="140"/>
      </w:pPr>
      <w:r>
        <w:rPr>
          <w:rFonts w:ascii="Arial" w:cs="Arial" w:eastAsia="Arial" w:hAnsi="Arial"/>
          <w:color w:val="4A4A4A"/>
          <w:sz w:val="22"/>
          <w:szCs w:val="22"/>
        </w:rPr>
        <w:t xml:space="preserve">An on-lease carve-out is exactly what it sounds like: a defined volume of your gas—typically the marginal volumes that are underperforming on the pipeline or the volumes triggering MVC deficiency payments—that you divert to an on-site use rather than delivering to the gathering system.</w:t>
      </w:r>
    </w:p>
    <w:p>
      <w:pPr>
        <w:spacing w:before="100" w:after="140"/>
      </w:pPr>
      <w:r>
        <w:rPr>
          <w:rFonts w:ascii="Arial" w:cs="Arial" w:eastAsia="Arial" w:hAnsi="Arial"/>
          <w:color w:val="4A4A4A"/>
          <w:sz w:val="22"/>
          <w:szCs w:val="22"/>
        </w:rPr>
        <w:t xml:space="preserve">In the gas-to-hash model, that on-site use is electricity generation and Bitcoin mining. A generator set is installed at the pad, powered by your gas, and the electrical output runs ASIC mining computers housed in equipment containers on location. Bitcoin is mined continuously and revenue is distributed to you under one of several payout structures.</w:t>
      </w:r>
    </w:p>
    <w:p>
      <w:pPr>
        <w:spacing w:before="100" w:after="140"/>
      </w:pPr>
      <w:r>
        <w:rPr>
          <w:rFonts w:ascii="Arial" w:cs="Arial" w:eastAsia="Arial" w:hAnsi="Arial"/>
          <w:color w:val="4A4A4A"/>
          <w:sz w:val="22"/>
          <w:szCs w:val="22"/>
        </w:rPr>
        <w:t xml:space="preserve">No new pipeline. No gathering fee. No processing deduction. No MVC exposure on the carved-out volume. The gas is consumed at the wellhead, converted to power, and the power is converted to Bitcoin revenue.</w:t>
      </w:r>
    </w:p>
    <w:p>
      <w:pPr>
        <w:pStyle w:val="Heading3"/>
        <w:spacing w:before="240" w:after="100"/>
      </w:pPr>
      <w:r>
        <w:rPr>
          <w:rFonts w:ascii="Arial" w:cs="Arial" w:eastAsia="Arial" w:hAnsi="Arial"/>
          <w:b/>
          <w:bCs/>
          <w:color w:val="E8500A"/>
          <w:sz w:val="24"/>
          <w:szCs w:val="24"/>
        </w:rPr>
        <w:t xml:space="preserve">Does an On-Lease Carve-Out Require Breaking Your Midstream Contract?</w:t>
      </w:r>
    </w:p>
    <w:p>
      <w:pPr>
        <w:spacing w:before="100" w:after="140"/>
      </w:pPr>
      <w:r>
        <w:rPr>
          <w:rFonts w:ascii="Arial" w:cs="Arial" w:eastAsia="Arial" w:hAnsi="Arial"/>
          <w:color w:val="4A4A4A"/>
          <w:sz w:val="22"/>
          <w:szCs w:val="22"/>
        </w:rPr>
        <w:t xml:space="preserve">Almost never. Most gathering agreements contain provisions for on-lease fuel use, operational use, or flare gas disposal that carve out volumes consumed at the pad from the delivered volume calculation. The specific language varies by contract, but the concept is standard in upstream O&amp;G agreements.</w:t>
      </w:r>
    </w:p>
    <w:p>
      <w:pPr>
        <w:spacing w:before="100" w:after="140"/>
      </w:pPr>
      <w:r>
        <w:rPr>
          <w:rFonts w:ascii="Arial" w:cs="Arial" w:eastAsia="Arial" w:hAnsi="Arial"/>
          <w:color w:val="4A4A4A"/>
          <w:sz w:val="22"/>
          <w:szCs w:val="22"/>
        </w:rPr>
        <w:t xml:space="preserve">Before pursuing an on-lease deployment, MCF.digital reviews the relevant sections of your gathering agreement to confirm the carve-out is permissible and to identify any notice or consent requirements. This review is part of the standard evaluation process. You are not being asked to walk away from your pipeline relationship—you are being asked to optimize the volumes that relationship isn’t working for.</w:t>
      </w:r>
    </w:p>
    <w:p>
      <w:pPr>
        <w:pStyle w:val="Heading3"/>
        <w:spacing w:before="240" w:after="100"/>
      </w:pPr>
      <w:r>
        <w:rPr>
          <w:rFonts w:ascii="Arial" w:cs="Arial" w:eastAsia="Arial" w:hAnsi="Arial"/>
          <w:b/>
          <w:bCs/>
          <w:color w:val="E8500A"/>
          <w:sz w:val="24"/>
          <w:szCs w:val="24"/>
        </w:rPr>
        <w:t xml:space="preserve">Which Volumes Should Be Carved Out?</w:t>
      </w:r>
    </w:p>
    <w:p>
      <w:pPr>
        <w:spacing w:before="100" w:after="140"/>
      </w:pPr>
      <w:r>
        <w:rPr>
          <w:rFonts w:ascii="Arial" w:cs="Arial" w:eastAsia="Arial" w:hAnsi="Arial"/>
          <w:color w:val="4A4A4A"/>
          <w:sz w:val="22"/>
          <w:szCs w:val="22"/>
        </w:rPr>
        <w:t xml:space="preserve">The highest-value carve-out candidates are:</w:t>
      </w:r>
    </w:p>
    <w:p>
      <w:pPr>
        <w:spacing w:before="40" w:after="20"/>
      </w:pPr>
      <w:r>
        <w:t xml:space="preserve"/>
      </w:r>
    </w:p>
    <w:p>
      <w:pPr>
        <w:pStyle w:val="ListParagraph"/>
        <w:numPr>
          <w:ilvl w:val="0"/>
          <w:numId w:val="2"/>
        </w:numPr>
        <w:spacing w:before="60" w:after="60"/>
      </w:pPr>
      <w:r>
        <w:rPr>
          <w:rFonts w:ascii="Arial" w:cs="Arial" w:eastAsia="Arial" w:hAnsi="Arial"/>
          <w:b/>
          <w:bCs/>
          <w:color w:val="1A1A1A"/>
          <w:sz w:val="22"/>
          <w:szCs w:val="22"/>
        </w:rPr>
        <w:t xml:space="preserve">Volumes triggering MVC deficiency payments.</w:t>
      </w:r>
      <w:r>
        <w:rPr>
          <w:rFonts w:ascii="Arial" w:cs="Arial" w:eastAsia="Arial" w:hAnsi="Arial"/>
          <w:color w:val="4A4A4A"/>
          <w:sz w:val="22"/>
          <w:szCs w:val="22"/>
        </w:rPr>
        <w:t xml:space="preserve"> Gas you’re paying for but not delivering. Diverting these volumes to on-lease use eliminates the deficiency payment and replaces it with a positive revenue stream.</w:t>
      </w:r>
    </w:p>
    <w:p>
      <w:pPr>
        <w:pStyle w:val="ListParagraph"/>
        <w:numPr>
          <w:ilvl w:val="0"/>
          <w:numId w:val="2"/>
        </w:numPr>
        <w:spacing w:before="60" w:after="60"/>
      </w:pPr>
      <w:r>
        <w:rPr>
          <w:rFonts w:ascii="Arial" w:cs="Arial" w:eastAsia="Arial" w:hAnsi="Arial"/>
          <w:b/>
          <w:bCs/>
          <w:color w:val="1A1A1A"/>
          <w:sz w:val="22"/>
          <w:szCs w:val="22"/>
        </w:rPr>
        <w:t xml:space="preserve">Volumes below your pipeline’s minimum delivery pressure.</w:t>
      </w:r>
      <w:r>
        <w:rPr>
          <w:rFonts w:ascii="Arial" w:cs="Arial" w:eastAsia="Arial" w:hAnsi="Arial"/>
          <w:color w:val="4A4A4A"/>
          <w:sz w:val="22"/>
          <w:szCs w:val="22"/>
        </w:rPr>
        <w:t xml:space="preserve"> Gas that can’t move to the gathering system without compression investment. On-lease use requires only enough pressure to fuel the generator.</w:t>
      </w:r>
    </w:p>
    <w:p>
      <w:pPr>
        <w:pStyle w:val="ListParagraph"/>
        <w:numPr>
          <w:ilvl w:val="0"/>
          <w:numId w:val="2"/>
        </w:numPr>
        <w:spacing w:before="60" w:after="60"/>
      </w:pPr>
      <w:r>
        <w:rPr>
          <w:rFonts w:ascii="Arial" w:cs="Arial" w:eastAsia="Arial" w:hAnsi="Arial"/>
          <w:b/>
          <w:bCs/>
          <w:color w:val="1A1A1A"/>
          <w:sz w:val="22"/>
          <w:szCs w:val="22"/>
        </w:rPr>
        <w:t xml:space="preserve">Flare volumes.</w:t>
      </w:r>
      <w:r>
        <w:rPr>
          <w:rFonts w:ascii="Arial" w:cs="Arial" w:eastAsia="Arial" w:hAnsi="Arial"/>
          <w:color w:val="4A4A4A"/>
          <w:sz w:val="22"/>
          <w:szCs w:val="22"/>
        </w:rPr>
        <w:t xml:space="preserve"> Associated gas currently being burned without revenue. Any volume currently flared has a netback of zero—on-lease deployment makes it positive.</w:t>
      </w:r>
    </w:p>
    <w:p>
      <w:pPr>
        <w:pStyle w:val="ListParagraph"/>
        <w:numPr>
          <w:ilvl w:val="0"/>
          <w:numId w:val="2"/>
        </w:numPr>
        <w:spacing w:before="60" w:after="60"/>
      </w:pPr>
      <w:r>
        <w:rPr>
          <w:rFonts w:ascii="Arial" w:cs="Arial" w:eastAsia="Arial" w:hAnsi="Arial"/>
          <w:b/>
          <w:bCs/>
          <w:color w:val="1A1A1A"/>
          <w:sz w:val="22"/>
          <w:szCs w:val="22"/>
        </w:rPr>
        <w:t xml:space="preserve">Low-netback marginal volumes.</w:t>
      </w:r>
      <w:r>
        <w:rPr>
          <w:rFonts w:ascii="Arial" w:cs="Arial" w:eastAsia="Arial" w:hAnsi="Arial"/>
          <w:color w:val="4A4A4A"/>
          <w:sz w:val="22"/>
          <w:szCs w:val="22"/>
        </w:rPr>
        <w:t xml:space="preserve"> If your gathering fee structure means the last 100–200 Mcfd you deliver produces near-zero or negative netback, those volumes are better candidates for on-lease use than pipeline delivery.</w:t>
      </w:r>
    </w:p>
    <w:p>
      <w:pPr>
        <w:spacing w:before="120" w:after="80"/>
      </w:pPr>
      <w:r>
        <w:t xml:space="preserve"/>
      </w:r>
    </w:p>
    <w:p>
      <w:pPr>
        <w:pStyle w:val="Heading2"/>
        <w:pBdr>
          <w:bottom w:val="single" w:color="E8500A" w:sz="4" w:space="4"/>
        </w:pBdr>
        <w:spacing w:before="320" w:after="120"/>
      </w:pPr>
      <w:r>
        <w:rPr>
          <w:rFonts w:ascii="Arial" w:cs="Arial" w:eastAsia="Arial" w:hAnsi="Arial"/>
          <w:b/>
          <w:bCs/>
          <w:color w:val="1A1A1A"/>
          <w:sz w:val="28"/>
          <w:szCs w:val="28"/>
        </w:rPr>
        <w:t xml:space="preserve">Pro Forma Comparison: Pipeline vs. On-Lease</w:t>
      </w:r>
    </w:p>
    <w:p>
      <w:pPr>
        <w:spacing w:before="100" w:after="140"/>
      </w:pPr>
      <w:r>
        <w:rPr>
          <w:rFonts w:ascii="Arial" w:cs="Arial" w:eastAsia="Arial" w:hAnsi="Arial"/>
          <w:color w:val="4A4A4A"/>
          <w:sz w:val="22"/>
          <w:szCs w:val="22"/>
        </w:rPr>
        <w:t xml:space="preserve">The following comparison uses a representative 200 Mcfd gas stream in a basin with moderate gathering and processing fees. Assumptions are conservative and illustrative—your actual results depend on your specific contract terms, gas composition, and the deal structure you select.</w:t>
      </w:r>
    </w:p>
    <w:p>
      <w:pPr>
        <w:spacing w:before="100" w:after="60"/>
      </w:pPr>
      <w:r>
        <w:t xml:space="preserve"/>
      </w:r>
    </w:p>
    <w:p>
      <w:pPr>
        <w:pStyle w:val="Heading3"/>
        <w:spacing w:before="240" w:after="100"/>
      </w:pPr>
      <w:r>
        <w:rPr>
          <w:rFonts w:ascii="Arial" w:cs="Arial" w:eastAsia="Arial" w:hAnsi="Arial"/>
          <w:b/>
          <w:bCs/>
          <w:color w:val="E8500A"/>
          <w:sz w:val="24"/>
          <w:szCs w:val="24"/>
        </w:rPr>
        <w:t xml:space="preserve">Scenario A: Full Pipeline Delivery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rPr>
          <w:tblHeader/>
        </w:trPr>
        <w:tc>
          <w:tcPr>
            <w:tcW w:type="dxa" w:w="4680"/>
            <w:tcBorders>
              <w:top w:val="single" w:color="DDDDDD" w:sz="1"/>
              <w:left w:val="single" w:color="DDDDDD" w:sz="1"/>
              <w:bottom w:val="single" w:color="DDDDDD" w:sz="1"/>
              <w:right w:val="single" w:color="DDDDDD" w:sz="1"/>
            </w:tcBorders>
            <w:shd w:fill="1A1A1A" w:val="clear"/>
            <w:tcMar>
              <w:top w:type="dxa" w:w="100"/>
              <w:left w:type="dxa" w:w="150"/>
              <w:bottom w:type="dxa" w:w="100"/>
              <w:right w:type="dxa" w:w="150"/>
            </w:tcMar>
          </w:tcPr>
          <w:p>
            <w:pPr>
              <w:jc w:val="center"/>
            </w:pPr>
            <w:r>
              <w:rPr>
                <w:rFonts w:ascii="Arial" w:cs="Arial" w:eastAsia="Arial" w:hAnsi="Arial"/>
                <w:b/>
                <w:bCs/>
                <w:color w:val="FFFFFF"/>
                <w:sz w:val="20"/>
                <w:szCs w:val="20"/>
              </w:rPr>
              <w:t xml:space="preserve">Line Item</w:t>
            </w:r>
          </w:p>
        </w:tc>
        <w:tc>
          <w:tcPr>
            <w:tcW w:type="dxa" w:w="4680"/>
            <w:tcBorders>
              <w:top w:val="single" w:color="DDDDDD" w:sz="1"/>
              <w:left w:val="single" w:color="DDDDDD" w:sz="1"/>
              <w:bottom w:val="single" w:color="DDDDDD" w:sz="1"/>
              <w:right w:val="single" w:color="DDDDDD" w:sz="1"/>
            </w:tcBorders>
            <w:shd w:fill="1A1A1A" w:val="clear"/>
            <w:tcMar>
              <w:top w:type="dxa" w:w="100"/>
              <w:left w:type="dxa" w:w="150"/>
              <w:bottom w:type="dxa" w:w="100"/>
              <w:right w:type="dxa" w:w="150"/>
            </w:tcMar>
          </w:tcPr>
          <w:p>
            <w:pPr>
              <w:jc w:val="center"/>
            </w:pPr>
            <w:r>
              <w:rPr>
                <w:rFonts w:ascii="Arial" w:cs="Arial" w:eastAsia="Arial" w:hAnsi="Arial"/>
                <w:b/>
                <w:bCs/>
                <w:color w:val="FFFFFF"/>
                <w:sz w:val="20"/>
                <w:szCs w:val="20"/>
              </w:rPr>
              <w:t xml:space="preserve">Value (200 Mcfd, $2.50/MMBtu spot)</w:t>
            </w:r>
          </w:p>
        </w:tc>
      </w:tr>
      <w:tr>
        <w:tc>
          <w:tcPr>
            <w:tcW w:type="dxa" w:w="468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pPr>
              <w:jc w:val="left"/>
            </w:pPr>
            <w:r>
              <w:rPr>
                <w:rFonts w:ascii="Arial" w:cs="Arial" w:eastAsia="Arial" w:hAnsi="Arial"/>
                <w:b/>
                <w:bCs/>
                <w:color w:val="1A1A1A"/>
                <w:sz w:val="20"/>
                <w:szCs w:val="20"/>
              </w:rPr>
              <w:t xml:space="preserve">Gross wellhead value</w:t>
            </w:r>
          </w:p>
        </w:tc>
        <w:tc>
          <w:tcPr>
            <w:tcW w:type="dxa" w:w="468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pPr>
              <w:jc w:val="center"/>
            </w:pPr>
            <w:r>
              <w:rPr>
                <w:rFonts w:ascii="Arial" w:cs="Arial" w:eastAsia="Arial" w:hAnsi="Arial"/>
                <w:b w:val="false"/>
                <w:bCs w:val="false"/>
                <w:color w:val="4A4A4A"/>
                <w:sz w:val="20"/>
                <w:szCs w:val="20"/>
              </w:rPr>
              <w:t xml:space="preserve">~$15,000/month</w:t>
            </w:r>
          </w:p>
        </w:tc>
      </w:tr>
      <w:tr>
        <w:tc>
          <w:tcPr>
            <w:tcW w:type="dxa" w:w="4680"/>
            <w:tcBorders>
              <w:top w:val="single" w:color="DDDDDD" w:sz="1"/>
              <w:left w:val="single" w:color="DDDDDD" w:sz="1"/>
              <w:bottom w:val="single" w:color="DDDDDD" w:sz="1"/>
              <w:right w:val="single" w:color="DDDDDD" w:sz="1"/>
            </w:tcBorders>
            <w:shd w:fill="F9F9F9" w:val="clear"/>
            <w:tcMar>
              <w:top w:type="dxa" w:w="100"/>
              <w:left w:type="dxa" w:w="150"/>
              <w:bottom w:type="dxa" w:w="100"/>
              <w:right w:type="dxa" w:w="150"/>
            </w:tcMar>
          </w:tcPr>
          <w:p>
            <w:pPr>
              <w:jc w:val="left"/>
            </w:pPr>
            <w:r>
              <w:rPr>
                <w:rFonts w:ascii="Arial" w:cs="Arial" w:eastAsia="Arial" w:hAnsi="Arial"/>
                <w:b/>
                <w:bCs/>
                <w:color w:val="1A1A1A"/>
                <w:sz w:val="20"/>
                <w:szCs w:val="20"/>
              </w:rPr>
              <w:t xml:space="preserve">Less: Gathering fee ($0.55/MMBtu)</w:t>
            </w:r>
          </w:p>
        </w:tc>
        <w:tc>
          <w:tcPr>
            <w:tcW w:type="dxa" w:w="4680"/>
            <w:tcBorders>
              <w:top w:val="single" w:color="DDDDDD" w:sz="1"/>
              <w:left w:val="single" w:color="DDDDDD" w:sz="1"/>
              <w:bottom w:val="single" w:color="DDDDDD" w:sz="1"/>
              <w:right w:val="single" w:color="DDDDDD" w:sz="1"/>
            </w:tcBorders>
            <w:shd w:fill="F9F9F9" w:val="clear"/>
            <w:tcMar>
              <w:top w:type="dxa" w:w="100"/>
              <w:left w:type="dxa" w:w="150"/>
              <w:bottom w:type="dxa" w:w="100"/>
              <w:right w:type="dxa" w:w="150"/>
            </w:tcMar>
          </w:tcPr>
          <w:p>
            <w:pPr>
              <w:jc w:val="center"/>
            </w:pPr>
            <w:r>
              <w:rPr>
                <w:rFonts w:ascii="Arial" w:cs="Arial" w:eastAsia="Arial" w:hAnsi="Arial"/>
                <w:b w:val="false"/>
                <w:bCs w:val="false"/>
                <w:color w:val="4A4A4A"/>
                <w:sz w:val="20"/>
                <w:szCs w:val="20"/>
              </w:rPr>
              <w:t xml:space="preserve">−$3,300/month</w:t>
            </w:r>
          </w:p>
        </w:tc>
      </w:tr>
      <w:tr>
        <w:tc>
          <w:tcPr>
            <w:tcW w:type="dxa" w:w="468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pPr>
              <w:jc w:val="left"/>
            </w:pPr>
            <w:r>
              <w:rPr>
                <w:rFonts w:ascii="Arial" w:cs="Arial" w:eastAsia="Arial" w:hAnsi="Arial"/>
                <w:b/>
                <w:bCs/>
                <w:color w:val="1A1A1A"/>
                <w:sz w:val="20"/>
                <w:szCs w:val="20"/>
              </w:rPr>
              <w:t xml:space="preserve">Less: Processing / fuel deduct ($0.25/MMBtu)</w:t>
            </w:r>
          </w:p>
        </w:tc>
        <w:tc>
          <w:tcPr>
            <w:tcW w:type="dxa" w:w="468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pPr>
              <w:jc w:val="center"/>
            </w:pPr>
            <w:r>
              <w:rPr>
                <w:rFonts w:ascii="Arial" w:cs="Arial" w:eastAsia="Arial" w:hAnsi="Arial"/>
                <w:b w:val="false"/>
                <w:bCs w:val="false"/>
                <w:color w:val="4A4A4A"/>
                <w:sz w:val="20"/>
                <w:szCs w:val="20"/>
              </w:rPr>
              <w:t xml:space="preserve">−$1,500/month</w:t>
            </w:r>
          </w:p>
        </w:tc>
      </w:tr>
      <w:tr>
        <w:tc>
          <w:tcPr>
            <w:tcW w:type="dxa" w:w="4680"/>
            <w:tcBorders>
              <w:top w:val="single" w:color="DDDDDD" w:sz="1"/>
              <w:left w:val="single" w:color="DDDDDD" w:sz="1"/>
              <w:bottom w:val="single" w:color="DDDDDD" w:sz="1"/>
              <w:right w:val="single" w:color="DDDDDD" w:sz="1"/>
            </w:tcBorders>
            <w:shd w:fill="F9F9F9" w:val="clear"/>
            <w:tcMar>
              <w:top w:type="dxa" w:w="100"/>
              <w:left w:type="dxa" w:w="150"/>
              <w:bottom w:type="dxa" w:w="100"/>
              <w:right w:type="dxa" w:w="150"/>
            </w:tcMar>
          </w:tcPr>
          <w:p>
            <w:pPr>
              <w:jc w:val="left"/>
            </w:pPr>
            <w:r>
              <w:rPr>
                <w:rFonts w:ascii="Arial" w:cs="Arial" w:eastAsia="Arial" w:hAnsi="Arial"/>
                <w:b/>
                <w:bCs/>
                <w:color w:val="1A1A1A"/>
                <w:sz w:val="20"/>
                <w:szCs w:val="20"/>
              </w:rPr>
              <w:t xml:space="preserve">Less: MVC deficiency (50 Mcfd shortfall @ $0.35/Mcf)</w:t>
            </w:r>
          </w:p>
        </w:tc>
        <w:tc>
          <w:tcPr>
            <w:tcW w:type="dxa" w:w="4680"/>
            <w:tcBorders>
              <w:top w:val="single" w:color="DDDDDD" w:sz="1"/>
              <w:left w:val="single" w:color="DDDDDD" w:sz="1"/>
              <w:bottom w:val="single" w:color="DDDDDD" w:sz="1"/>
              <w:right w:val="single" w:color="DDDDDD" w:sz="1"/>
            </w:tcBorders>
            <w:shd w:fill="F9F9F9" w:val="clear"/>
            <w:tcMar>
              <w:top w:type="dxa" w:w="100"/>
              <w:left w:type="dxa" w:w="150"/>
              <w:bottom w:type="dxa" w:w="100"/>
              <w:right w:type="dxa" w:w="150"/>
            </w:tcMar>
          </w:tcPr>
          <w:p>
            <w:pPr>
              <w:jc w:val="center"/>
            </w:pPr>
            <w:r>
              <w:rPr>
                <w:rFonts w:ascii="Arial" w:cs="Arial" w:eastAsia="Arial" w:hAnsi="Arial"/>
                <w:b w:val="false"/>
                <w:bCs w:val="false"/>
                <w:color w:val="4A4A4A"/>
                <w:sz w:val="20"/>
                <w:szCs w:val="20"/>
              </w:rPr>
              <w:t xml:space="preserve">−$525/month</w:t>
            </w:r>
          </w:p>
        </w:tc>
      </w:tr>
      <w:tr>
        <w:tc>
          <w:tcPr>
            <w:tcW w:type="dxa" w:w="468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pPr>
              <w:jc w:val="left"/>
            </w:pPr>
            <w:r>
              <w:rPr>
                <w:rFonts w:ascii="Arial" w:cs="Arial" w:eastAsia="Arial" w:hAnsi="Arial"/>
                <w:b/>
                <w:bCs/>
                <w:color w:val="1A1A1A"/>
                <w:sz w:val="20"/>
                <w:szCs w:val="20"/>
              </w:rPr>
              <w:t xml:space="preserve">Net pipeline netback</w:t>
            </w:r>
          </w:p>
        </w:tc>
        <w:tc>
          <w:tcPr>
            <w:tcW w:type="dxa" w:w="468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pPr>
              <w:jc w:val="center"/>
            </w:pPr>
            <w:r>
              <w:rPr>
                <w:rFonts w:ascii="Arial" w:cs="Arial" w:eastAsia="Arial" w:hAnsi="Arial"/>
                <w:b w:val="false"/>
                <w:bCs w:val="false"/>
                <w:color w:val="4A4A4A"/>
                <w:sz w:val="20"/>
                <w:szCs w:val="20"/>
              </w:rPr>
              <w:t xml:space="preserve">~$9,675/month (~$1.61/Mcf)</w:t>
            </w:r>
          </w:p>
        </w:tc>
      </w:tr>
    </w:tbl>
    <w:p>
      <w:pPr>
        <w:spacing w:before="160" w:after="100"/>
      </w:pPr>
      <w:r>
        <w:t xml:space="preserve"/>
      </w:r>
    </w:p>
    <w:p>
      <w:pPr>
        <w:pStyle w:val="Heading3"/>
        <w:spacing w:before="240" w:after="100"/>
      </w:pPr>
      <w:r>
        <w:rPr>
          <w:rFonts w:ascii="Arial" w:cs="Arial" w:eastAsia="Arial" w:hAnsi="Arial"/>
          <w:b/>
          <w:bCs/>
          <w:color w:val="E8500A"/>
          <w:sz w:val="24"/>
          <w:szCs w:val="24"/>
        </w:rPr>
        <w:t xml:space="preserve">Scenario B: On-Lease Carve-Out (100 Mcfd Diverted)</w:t>
      </w:r>
    </w:p>
    <w:p>
      <w:pPr>
        <w:spacing w:before="100" w:after="140"/>
      </w:pPr>
      <w:r>
        <w:rPr>
          <w:rFonts w:ascii="Arial" w:cs="Arial" w:eastAsia="Arial" w:hAnsi="Arial"/>
          <w:color w:val="4A4A4A"/>
          <w:sz w:val="22"/>
          <w:szCs w:val="22"/>
        </w:rPr>
        <w:t xml:space="preserve">In this scenario, 100 Mcfd is diverted from pipeline delivery to an on-lease generator powering a Bitcoin mining deployment. The remaining 100 Mcfd continues to the pipeline.</w:t>
      </w:r>
    </w:p>
    <w:p>
      <w:pPr>
        <w:spacing w:before="60" w:after="4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rPr>
          <w:tblHeader/>
        </w:trPr>
        <w:tc>
          <w:tcPr>
            <w:tcW w:type="dxa" w:w="4680"/>
            <w:tcBorders>
              <w:top w:val="single" w:color="DDDDDD" w:sz="1"/>
              <w:left w:val="single" w:color="DDDDDD" w:sz="1"/>
              <w:bottom w:val="single" w:color="DDDDDD" w:sz="1"/>
              <w:right w:val="single" w:color="DDDDDD" w:sz="1"/>
            </w:tcBorders>
            <w:shd w:fill="1A1A1A" w:val="clear"/>
            <w:tcMar>
              <w:top w:type="dxa" w:w="100"/>
              <w:left w:type="dxa" w:w="150"/>
              <w:bottom w:type="dxa" w:w="100"/>
              <w:right w:type="dxa" w:w="150"/>
            </w:tcMar>
          </w:tcPr>
          <w:p>
            <w:pPr>
              <w:jc w:val="center"/>
            </w:pPr>
            <w:r>
              <w:rPr>
                <w:rFonts w:ascii="Arial" w:cs="Arial" w:eastAsia="Arial" w:hAnsi="Arial"/>
                <w:b/>
                <w:bCs/>
                <w:color w:val="FFFFFF"/>
                <w:sz w:val="20"/>
                <w:szCs w:val="20"/>
              </w:rPr>
              <w:t xml:space="preserve">Line Item</w:t>
            </w:r>
          </w:p>
        </w:tc>
        <w:tc>
          <w:tcPr>
            <w:tcW w:type="dxa" w:w="4680"/>
            <w:tcBorders>
              <w:top w:val="single" w:color="DDDDDD" w:sz="1"/>
              <w:left w:val="single" w:color="DDDDDD" w:sz="1"/>
              <w:bottom w:val="single" w:color="DDDDDD" w:sz="1"/>
              <w:right w:val="single" w:color="DDDDDD" w:sz="1"/>
            </w:tcBorders>
            <w:shd w:fill="1A1A1A" w:val="clear"/>
            <w:tcMar>
              <w:top w:type="dxa" w:w="100"/>
              <w:left w:type="dxa" w:w="150"/>
              <w:bottom w:type="dxa" w:w="100"/>
              <w:right w:type="dxa" w:w="150"/>
            </w:tcMar>
          </w:tcPr>
          <w:p>
            <w:pPr>
              <w:jc w:val="center"/>
            </w:pPr>
            <w:r>
              <w:rPr>
                <w:rFonts w:ascii="Arial" w:cs="Arial" w:eastAsia="Arial" w:hAnsi="Arial"/>
                <w:b/>
                <w:bCs/>
                <w:color w:val="FFFFFF"/>
                <w:sz w:val="20"/>
                <w:szCs w:val="20"/>
              </w:rPr>
              <w:t xml:space="preserve">Value</w:t>
            </w:r>
          </w:p>
        </w:tc>
      </w:tr>
      <w:tr>
        <w:tc>
          <w:tcPr>
            <w:tcW w:type="dxa" w:w="468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pPr>
              <w:jc w:val="left"/>
            </w:pPr>
            <w:r>
              <w:rPr>
                <w:rFonts w:ascii="Arial" w:cs="Arial" w:eastAsia="Arial" w:hAnsi="Arial"/>
                <w:b/>
                <w:bCs/>
                <w:color w:val="1A1A1A"/>
                <w:sz w:val="20"/>
                <w:szCs w:val="20"/>
              </w:rPr>
              <w:t xml:space="preserve">Pipeline netback on remaining 100 Mcfd</w:t>
            </w:r>
          </w:p>
        </w:tc>
        <w:tc>
          <w:tcPr>
            <w:tcW w:type="dxa" w:w="468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pPr>
              <w:jc w:val="center"/>
            </w:pPr>
            <w:r>
              <w:rPr>
                <w:rFonts w:ascii="Arial" w:cs="Arial" w:eastAsia="Arial" w:hAnsi="Arial"/>
                <w:b w:val="false"/>
                <w:bCs w:val="false"/>
                <w:color w:val="4A4A4A"/>
                <w:sz w:val="20"/>
                <w:szCs w:val="20"/>
              </w:rPr>
              <w:t xml:space="preserve">~$4,838/month (~$1.61/Mcf)</w:t>
            </w:r>
          </w:p>
        </w:tc>
      </w:tr>
      <w:tr>
        <w:tc>
          <w:tcPr>
            <w:tcW w:type="dxa" w:w="4680"/>
            <w:tcBorders>
              <w:top w:val="single" w:color="DDDDDD" w:sz="1"/>
              <w:left w:val="single" w:color="DDDDDD" w:sz="1"/>
              <w:bottom w:val="single" w:color="DDDDDD" w:sz="1"/>
              <w:right w:val="single" w:color="DDDDDD" w:sz="1"/>
            </w:tcBorders>
            <w:shd w:fill="F9F9F9" w:val="clear"/>
            <w:tcMar>
              <w:top w:type="dxa" w:w="100"/>
              <w:left w:type="dxa" w:w="150"/>
              <w:bottom w:type="dxa" w:w="100"/>
              <w:right w:type="dxa" w:w="150"/>
            </w:tcMar>
          </w:tcPr>
          <w:p>
            <w:pPr>
              <w:jc w:val="left"/>
            </w:pPr>
            <w:r>
              <w:rPr>
                <w:rFonts w:ascii="Arial" w:cs="Arial" w:eastAsia="Arial" w:hAnsi="Arial"/>
                <w:b/>
                <w:bCs/>
                <w:color w:val="1A1A1A"/>
                <w:sz w:val="20"/>
                <w:szCs w:val="20"/>
              </w:rPr>
              <w:t xml:space="preserve">On-lease hosting revenue (100 Mcfd @ est. $0.06/kWh)</w:t>
            </w:r>
          </w:p>
        </w:tc>
        <w:tc>
          <w:tcPr>
            <w:tcW w:type="dxa" w:w="4680"/>
            <w:tcBorders>
              <w:top w:val="single" w:color="DDDDDD" w:sz="1"/>
              <w:left w:val="single" w:color="DDDDDD" w:sz="1"/>
              <w:bottom w:val="single" w:color="DDDDDD" w:sz="1"/>
              <w:right w:val="single" w:color="DDDDDD" w:sz="1"/>
            </w:tcBorders>
            <w:shd w:fill="F9F9F9" w:val="clear"/>
            <w:tcMar>
              <w:top w:type="dxa" w:w="100"/>
              <w:left w:type="dxa" w:w="150"/>
              <w:bottom w:type="dxa" w:w="100"/>
              <w:right w:type="dxa" w:w="150"/>
            </w:tcMar>
          </w:tcPr>
          <w:p>
            <w:pPr>
              <w:jc w:val="center"/>
            </w:pPr>
            <w:r>
              <w:rPr>
                <w:rFonts w:ascii="Arial" w:cs="Arial" w:eastAsia="Arial" w:hAnsi="Arial"/>
                <w:b w:val="false"/>
                <w:bCs w:val="false"/>
                <w:color w:val="4A4A4A"/>
                <w:sz w:val="20"/>
                <w:szCs w:val="20"/>
              </w:rPr>
              <w:t xml:space="preserve">~$5,400–$7,200/month</w:t>
            </w:r>
          </w:p>
        </w:tc>
      </w:tr>
      <w:tr>
        <w:tc>
          <w:tcPr>
            <w:tcW w:type="dxa" w:w="468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pPr>
              <w:jc w:val="left"/>
            </w:pPr>
            <w:r>
              <w:rPr>
                <w:rFonts w:ascii="Arial" w:cs="Arial" w:eastAsia="Arial" w:hAnsi="Arial"/>
                <w:b/>
                <w:bCs/>
                <w:color w:val="1A1A1A"/>
                <w:sz w:val="20"/>
                <w:szCs w:val="20"/>
              </w:rPr>
              <w:t xml:space="preserve">MVC deficiency eliminated (shortfall resolved)</w:t>
            </w:r>
          </w:p>
        </w:tc>
        <w:tc>
          <w:tcPr>
            <w:tcW w:type="dxa" w:w="468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pPr>
              <w:jc w:val="center"/>
            </w:pPr>
            <w:r>
              <w:rPr>
                <w:rFonts w:ascii="Arial" w:cs="Arial" w:eastAsia="Arial" w:hAnsi="Arial"/>
                <w:b w:val="false"/>
                <w:bCs w:val="false"/>
                <w:color w:val="4A4A4A"/>
                <w:sz w:val="20"/>
                <w:szCs w:val="20"/>
              </w:rPr>
              <w:t xml:space="preserve">+$525/month saved</w:t>
            </w:r>
          </w:p>
        </w:tc>
      </w:tr>
      <w:tr>
        <w:tc>
          <w:tcPr>
            <w:tcW w:type="dxa" w:w="4680"/>
            <w:tcBorders>
              <w:top w:val="single" w:color="DDDDDD" w:sz="1"/>
              <w:left w:val="single" w:color="DDDDDD" w:sz="1"/>
              <w:bottom w:val="single" w:color="DDDDDD" w:sz="1"/>
              <w:right w:val="single" w:color="DDDDDD" w:sz="1"/>
            </w:tcBorders>
            <w:shd w:fill="F9F9F9" w:val="clear"/>
            <w:tcMar>
              <w:top w:type="dxa" w:w="100"/>
              <w:left w:type="dxa" w:w="150"/>
              <w:bottom w:type="dxa" w:w="100"/>
              <w:right w:type="dxa" w:w="150"/>
            </w:tcMar>
          </w:tcPr>
          <w:p>
            <w:pPr>
              <w:jc w:val="left"/>
            </w:pPr>
            <w:r>
              <w:rPr>
                <w:rFonts w:ascii="Arial" w:cs="Arial" w:eastAsia="Arial" w:hAnsi="Arial"/>
                <w:b/>
                <w:bCs/>
                <w:color w:val="1A1A1A"/>
                <w:sz w:val="20"/>
                <w:szCs w:val="20"/>
              </w:rPr>
              <w:t xml:space="preserve">Combined monthly revenue</w:t>
            </w:r>
          </w:p>
        </w:tc>
        <w:tc>
          <w:tcPr>
            <w:tcW w:type="dxa" w:w="4680"/>
            <w:tcBorders>
              <w:top w:val="single" w:color="DDDDDD" w:sz="1"/>
              <w:left w:val="single" w:color="DDDDDD" w:sz="1"/>
              <w:bottom w:val="single" w:color="DDDDDD" w:sz="1"/>
              <w:right w:val="single" w:color="DDDDDD" w:sz="1"/>
            </w:tcBorders>
            <w:shd w:fill="F9F9F9" w:val="clear"/>
            <w:tcMar>
              <w:top w:type="dxa" w:w="100"/>
              <w:left w:type="dxa" w:w="150"/>
              <w:bottom w:type="dxa" w:w="100"/>
              <w:right w:type="dxa" w:w="150"/>
            </w:tcMar>
          </w:tcPr>
          <w:p>
            <w:pPr>
              <w:jc w:val="center"/>
            </w:pPr>
            <w:r>
              <w:rPr>
                <w:rFonts w:ascii="Arial" w:cs="Arial" w:eastAsia="Arial" w:hAnsi="Arial"/>
                <w:b w:val="false"/>
                <w:bCs w:val="false"/>
                <w:color w:val="4A4A4A"/>
                <w:sz w:val="20"/>
                <w:szCs w:val="20"/>
              </w:rPr>
              <w:t xml:space="preserve">~$10,763–$12,563/month</w:t>
            </w:r>
          </w:p>
        </w:tc>
      </w:tr>
      <w:tr>
        <w:tc>
          <w:tcPr>
            <w:tcW w:type="dxa" w:w="468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pPr>
              <w:jc w:val="left"/>
            </w:pPr>
            <w:r>
              <w:rPr>
                <w:rFonts w:ascii="Arial" w:cs="Arial" w:eastAsia="Arial" w:hAnsi="Arial"/>
                <w:b/>
                <w:bCs/>
                <w:color w:val="1A1A1A"/>
                <w:sz w:val="20"/>
                <w:szCs w:val="20"/>
              </w:rPr>
              <w:t xml:space="preserve">Improvement over full pipeline delivery</w:t>
            </w:r>
          </w:p>
        </w:tc>
        <w:tc>
          <w:tcPr>
            <w:tcW w:type="dxa" w:w="468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pPr>
              <w:jc w:val="center"/>
            </w:pPr>
            <w:r>
              <w:rPr>
                <w:rFonts w:ascii="Arial" w:cs="Arial" w:eastAsia="Arial" w:hAnsi="Arial"/>
                <w:b w:val="false"/>
                <w:bCs w:val="false"/>
                <w:color w:val="4A4A4A"/>
                <w:sz w:val="20"/>
                <w:szCs w:val="20"/>
              </w:rPr>
              <w:t xml:space="preserve">+$1,088–$2,888/month</w:t>
            </w:r>
          </w:p>
        </w:tc>
      </w:tr>
    </w:tbl>
    <w:p>
      <w:pPr>
        <w:spacing w:before="120" w:after="80"/>
      </w:pPr>
      <w:r>
        <w:t xml:space="preserve"/>
      </w:r>
    </w:p>
    <w:p>
      <w:pPr>
        <w:spacing w:before="100" w:after="140"/>
      </w:pPr>
      <w:r>
        <w:rPr>
          <w:rFonts w:ascii="Arial" w:cs="Arial" w:eastAsia="Arial" w:hAnsi="Arial"/>
          <w:i/>
          <w:iCs/>
          <w:color w:val="999999"/>
          <w:sz w:val="22"/>
          <w:szCs w:val="22"/>
        </w:rPr>
        <w:t xml:space="preserve">Note: On-lease hosting revenue estimate assumes 100 Mcfd powering approximately 200–250 kW of mining capacity at current hashprice. Actual output varies with gas BTU content, generator efficiency, ambient conditions, and Bitcoin network difficulty. Run your site-specific numbers at tools.mcf.digital.</w:t>
      </w:r>
    </w:p>
    <w:p>
      <w:pPr>
        <w:spacing w:before="80" w:after="80"/>
      </w:pPr>
      <w:r>
        <w:t xml:space="preserve"/>
      </w:r>
    </w:p>
    <w:p>
      <w:pPr>
        <w:pStyle w:val="Heading3"/>
        <w:spacing w:before="240" w:after="100"/>
      </w:pPr>
      <w:r>
        <w:rPr>
          <w:rFonts w:ascii="Arial" w:cs="Arial" w:eastAsia="Arial" w:hAnsi="Arial"/>
          <w:b/>
          <w:bCs/>
          <w:color w:val="E8500A"/>
          <w:sz w:val="24"/>
          <w:szCs w:val="24"/>
        </w:rPr>
        <w:t xml:space="preserve">Scenario C: On-Lease Revenue Share</w:t>
      </w:r>
    </w:p>
    <w:p>
      <w:pPr>
        <w:spacing w:before="100" w:after="140"/>
      </w:pPr>
      <w:r>
        <w:rPr>
          <w:rFonts w:ascii="Arial" w:cs="Arial" w:eastAsia="Arial" w:hAnsi="Arial"/>
          <w:color w:val="4A4A4A"/>
          <w:sz w:val="22"/>
          <w:szCs w:val="22"/>
        </w:rPr>
        <w:t xml:space="preserve">If the operator prefers Bitcoin revenue participation over a fixed power rate, a revenue share structure increases the upside (and the exposure to Bitcoin price movement). Under a 40/60 split at current hashprice with 100 Mcfd deployed, the operator’s share of monthly Bitcoin revenue typically runs $6,000–$10,000—materially above the pipeline netback on equivalent gas volumes.</w:t>
      </w:r>
    </w:p>
    <w:p>
      <w:pPr>
        <w:spacing w:before="100" w:after="140"/>
      </w:pPr>
      <w:r>
        <w:rPr>
          <w:rFonts w:ascii="Arial" w:cs="Arial" w:eastAsia="Arial" w:hAnsi="Arial"/>
          <w:color w:val="4A4A4A"/>
          <w:sz w:val="22"/>
          <w:szCs w:val="22"/>
        </w:rPr>
        <w:t xml:space="preserve">The key difference from hosting: the operator’s revenue is denominated in Bitcoin and linked to hashprice, not a fixed rate. For operators who want direct Bitcoin exposure, this is the structure. For operators who want predictable USD cash flow, hosting is cleaner.</w:t>
      </w:r>
    </w:p>
    <w:p>
      <w:pPr>
        <w:spacing w:before="80" w:after="80"/>
      </w:pPr>
      <w:r>
        <w:t xml:space="preserve"/>
      </w:r>
    </w:p>
    <w:p>
      <w:pPr>
        <w:pStyle w:val="Heading2"/>
        <w:pBdr>
          <w:bottom w:val="single" w:color="E8500A" w:sz="4" w:space="4"/>
        </w:pBdr>
        <w:spacing w:before="320" w:after="120"/>
      </w:pPr>
      <w:r>
        <w:rPr>
          <w:rFonts w:ascii="Arial" w:cs="Arial" w:eastAsia="Arial" w:hAnsi="Arial"/>
          <w:b/>
          <w:bCs/>
          <w:color w:val="1A1A1A"/>
          <w:sz w:val="28"/>
          <w:szCs w:val="28"/>
        </w:rPr>
        <w:t xml:space="preserve">The Four Payout Structures Available to Low-Netback Operators</w:t>
      </w:r>
    </w:p>
    <w:p>
      <w:pPr>
        <w:spacing w:before="60" w:after="4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3580"/>
        <w:gridCol w:w="3580"/>
      </w:tblGrid>
      <w:tr>
        <w:trPr>
          <w:tblHeader/>
        </w:trPr>
        <w:tc>
          <w:tcPr>
            <w:tcW w:type="dxa" w:w="2200"/>
            <w:tcBorders>
              <w:top w:val="single" w:color="DDDDDD" w:sz="1"/>
              <w:left w:val="single" w:color="DDDDDD" w:sz="1"/>
              <w:bottom w:val="single" w:color="DDDDDD" w:sz="1"/>
              <w:right w:val="single" w:color="DDDDDD" w:sz="1"/>
            </w:tcBorders>
            <w:shd w:fill="1A1A1A" w:val="clear"/>
            <w:tcMar>
              <w:top w:type="dxa" w:w="100"/>
              <w:left w:type="dxa" w:w="150"/>
              <w:bottom w:type="dxa" w:w="100"/>
              <w:right w:type="dxa" w:w="150"/>
            </w:tcMar>
          </w:tcPr>
          <w:p>
            <w:pPr>
              <w:jc w:val="center"/>
            </w:pPr>
            <w:r>
              <w:rPr>
                <w:rFonts w:ascii="Arial" w:cs="Arial" w:eastAsia="Arial" w:hAnsi="Arial"/>
                <w:b/>
                <w:bCs/>
                <w:color w:val="FFFFFF"/>
                <w:sz w:val="20"/>
                <w:szCs w:val="20"/>
              </w:rPr>
              <w:t xml:space="preserve">Structure</w:t>
            </w:r>
          </w:p>
        </w:tc>
        <w:tc>
          <w:tcPr>
            <w:tcW w:type="dxa" w:w="3580"/>
            <w:tcBorders>
              <w:top w:val="single" w:color="DDDDDD" w:sz="1"/>
              <w:left w:val="single" w:color="DDDDDD" w:sz="1"/>
              <w:bottom w:val="single" w:color="DDDDDD" w:sz="1"/>
              <w:right w:val="single" w:color="DDDDDD" w:sz="1"/>
            </w:tcBorders>
            <w:shd w:fill="1A1A1A" w:val="clear"/>
            <w:tcMar>
              <w:top w:type="dxa" w:w="100"/>
              <w:left w:type="dxa" w:w="150"/>
              <w:bottom w:type="dxa" w:w="100"/>
              <w:right w:type="dxa" w:w="150"/>
            </w:tcMar>
          </w:tcPr>
          <w:p>
            <w:pPr>
              <w:jc w:val="center"/>
            </w:pPr>
            <w:r>
              <w:rPr>
                <w:rFonts w:ascii="Arial" w:cs="Arial" w:eastAsia="Arial" w:hAnsi="Arial"/>
                <w:b/>
                <w:bCs/>
                <w:color w:val="FFFFFF"/>
                <w:sz w:val="20"/>
                <w:szCs w:val="20"/>
              </w:rPr>
              <w:t xml:space="preserve">What the Operator Earns</w:t>
            </w:r>
          </w:p>
        </w:tc>
        <w:tc>
          <w:tcPr>
            <w:tcW w:type="dxa" w:w="3580"/>
            <w:tcBorders>
              <w:top w:val="single" w:color="DDDDDD" w:sz="1"/>
              <w:left w:val="single" w:color="DDDDDD" w:sz="1"/>
              <w:bottom w:val="single" w:color="DDDDDD" w:sz="1"/>
              <w:right w:val="single" w:color="DDDDDD" w:sz="1"/>
            </w:tcBorders>
            <w:shd w:fill="1A1A1A" w:val="clear"/>
            <w:tcMar>
              <w:top w:type="dxa" w:w="100"/>
              <w:left w:type="dxa" w:w="150"/>
              <w:bottom w:type="dxa" w:w="100"/>
              <w:right w:type="dxa" w:w="150"/>
            </w:tcMar>
          </w:tcPr>
          <w:p>
            <w:pPr>
              <w:jc w:val="center"/>
            </w:pPr>
            <w:r>
              <w:rPr>
                <w:rFonts w:ascii="Arial" w:cs="Arial" w:eastAsia="Arial" w:hAnsi="Arial"/>
                <w:b/>
                <w:bCs/>
                <w:color w:val="FFFFFF"/>
                <w:sz w:val="20"/>
                <w:szCs w:val="20"/>
              </w:rPr>
              <w:t xml:space="preserve">Best Fit For</w:t>
            </w:r>
          </w:p>
        </w:tc>
      </w:tr>
      <w:tr>
        <w:tc>
          <w:tcPr>
            <w:tcW w:type="dxa" w:w="220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pPr>
              <w:jc w:val="left"/>
            </w:pPr>
            <w:r>
              <w:rPr>
                <w:rFonts w:ascii="Arial" w:cs="Arial" w:eastAsia="Arial" w:hAnsi="Arial"/>
                <w:b/>
                <w:bCs/>
                <w:color w:val="1A1A1A"/>
                <w:sz w:val="20"/>
                <w:szCs w:val="20"/>
              </w:rPr>
              <w:t xml:space="preserve">Hosting</w:t>
            </w:r>
          </w:p>
        </w:tc>
        <w:tc>
          <w:tcPr>
            <w:tcW w:type="dxa" w:w="358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pPr>
              <w:jc w:val="left"/>
            </w:pPr>
            <w:r>
              <w:rPr>
                <w:rFonts w:ascii="Arial" w:cs="Arial" w:eastAsia="Arial" w:hAnsi="Arial"/>
                <w:b w:val="false"/>
                <w:bCs w:val="false"/>
                <w:color w:val="4A4A4A"/>
                <w:sz w:val="20"/>
                <w:szCs w:val="20"/>
              </w:rPr>
              <w:t xml:space="preserve">Fixed USD rate per kWh consumed. No BTC exposure.</w:t>
            </w:r>
          </w:p>
        </w:tc>
        <w:tc>
          <w:tcPr>
            <w:tcW w:type="dxa" w:w="358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pPr>
              <w:jc w:val="left"/>
            </w:pPr>
            <w:r>
              <w:rPr>
                <w:rFonts w:ascii="Arial" w:cs="Arial" w:eastAsia="Arial" w:hAnsi="Arial"/>
                <w:b w:val="false"/>
                <w:bCs w:val="false"/>
                <w:color w:val="4A4A4A"/>
                <w:sz w:val="20"/>
                <w:szCs w:val="20"/>
              </w:rPr>
              <w:t xml:space="preserve">Operators who want USD revenue and zero crypto exposure on the books.</w:t>
            </w:r>
          </w:p>
        </w:tc>
      </w:tr>
      <w:tr>
        <w:tc>
          <w:tcPr>
            <w:tcW w:type="dxa" w:w="2200"/>
            <w:tcBorders>
              <w:top w:val="single" w:color="DDDDDD" w:sz="1"/>
              <w:left w:val="single" w:color="DDDDDD" w:sz="1"/>
              <w:bottom w:val="single" w:color="DDDDDD" w:sz="1"/>
              <w:right w:val="single" w:color="DDDDDD" w:sz="1"/>
            </w:tcBorders>
            <w:shd w:fill="F9F9F9" w:val="clear"/>
            <w:tcMar>
              <w:top w:type="dxa" w:w="100"/>
              <w:left w:type="dxa" w:w="150"/>
              <w:bottom w:type="dxa" w:w="100"/>
              <w:right w:type="dxa" w:w="150"/>
            </w:tcMar>
          </w:tcPr>
          <w:p>
            <w:pPr>
              <w:jc w:val="left"/>
            </w:pPr>
            <w:r>
              <w:rPr>
                <w:rFonts w:ascii="Arial" w:cs="Arial" w:eastAsia="Arial" w:hAnsi="Arial"/>
                <w:b/>
                <w:bCs/>
                <w:color w:val="1A1A1A"/>
                <w:sz w:val="20"/>
                <w:szCs w:val="20"/>
              </w:rPr>
              <w:t xml:space="preserve">Revenue Share</w:t>
            </w:r>
          </w:p>
        </w:tc>
        <w:tc>
          <w:tcPr>
            <w:tcW w:type="dxa" w:w="3580"/>
            <w:tcBorders>
              <w:top w:val="single" w:color="DDDDDD" w:sz="1"/>
              <w:left w:val="single" w:color="DDDDDD" w:sz="1"/>
              <w:bottom w:val="single" w:color="DDDDDD" w:sz="1"/>
              <w:right w:val="single" w:color="DDDDDD" w:sz="1"/>
            </w:tcBorders>
            <w:shd w:fill="F9F9F9" w:val="clear"/>
            <w:tcMar>
              <w:top w:type="dxa" w:w="100"/>
              <w:left w:type="dxa" w:w="150"/>
              <w:bottom w:type="dxa" w:w="100"/>
              <w:right w:type="dxa" w:w="150"/>
            </w:tcMar>
          </w:tcPr>
          <w:p>
            <w:pPr>
              <w:jc w:val="left"/>
            </w:pPr>
            <w:r>
              <w:rPr>
                <w:rFonts w:ascii="Arial" w:cs="Arial" w:eastAsia="Arial" w:hAnsi="Arial"/>
                <w:b w:val="false"/>
                <w:bCs w:val="false"/>
                <w:color w:val="4A4A4A"/>
                <w:sz w:val="20"/>
                <w:szCs w:val="20"/>
              </w:rPr>
              <w:t xml:space="preserve">Proportional share of Bitcoin mined, paid in BTC or USD equivalent.</w:t>
            </w:r>
          </w:p>
        </w:tc>
        <w:tc>
          <w:tcPr>
            <w:tcW w:type="dxa" w:w="3580"/>
            <w:tcBorders>
              <w:top w:val="single" w:color="DDDDDD" w:sz="1"/>
              <w:left w:val="single" w:color="DDDDDD" w:sz="1"/>
              <w:bottom w:val="single" w:color="DDDDDD" w:sz="1"/>
              <w:right w:val="single" w:color="DDDDDD" w:sz="1"/>
            </w:tcBorders>
            <w:shd w:fill="F9F9F9" w:val="clear"/>
            <w:tcMar>
              <w:top w:type="dxa" w:w="100"/>
              <w:left w:type="dxa" w:w="150"/>
              <w:bottom w:type="dxa" w:w="100"/>
              <w:right w:type="dxa" w:w="150"/>
            </w:tcMar>
          </w:tcPr>
          <w:p>
            <w:pPr>
              <w:jc w:val="left"/>
            </w:pPr>
            <w:r>
              <w:rPr>
                <w:rFonts w:ascii="Arial" w:cs="Arial" w:eastAsia="Arial" w:hAnsi="Arial"/>
                <w:b w:val="false"/>
                <w:bCs w:val="false"/>
                <w:color w:val="4A4A4A"/>
                <w:sz w:val="20"/>
                <w:szCs w:val="20"/>
              </w:rPr>
              <w:t xml:space="preserve">Operators who want upside participation in Bitcoin without operating miners directly.</w:t>
            </w:r>
          </w:p>
        </w:tc>
      </w:tr>
      <w:tr>
        <w:tc>
          <w:tcPr>
            <w:tcW w:type="dxa" w:w="220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pPr>
              <w:jc w:val="left"/>
            </w:pPr>
            <w:r>
              <w:rPr>
                <w:rFonts w:ascii="Arial" w:cs="Arial" w:eastAsia="Arial" w:hAnsi="Arial"/>
                <w:b/>
                <w:bCs/>
                <w:color w:val="1A1A1A"/>
                <w:sz w:val="20"/>
                <w:szCs w:val="20"/>
              </w:rPr>
              <w:t xml:space="preserve">Direct Mining</w:t>
            </w:r>
          </w:p>
        </w:tc>
        <w:tc>
          <w:tcPr>
            <w:tcW w:type="dxa" w:w="358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pPr>
              <w:jc w:val="left"/>
            </w:pPr>
            <w:r>
              <w:rPr>
                <w:rFonts w:ascii="Arial" w:cs="Arial" w:eastAsia="Arial" w:hAnsi="Arial"/>
                <w:b w:val="false"/>
                <w:bCs w:val="false"/>
                <w:color w:val="4A4A4A"/>
                <w:sz w:val="20"/>
                <w:szCs w:val="20"/>
              </w:rPr>
              <w:t xml:space="preserve">All Bitcoin mined from operator’s gas. Operator owns full output.</w:t>
            </w:r>
          </w:p>
        </w:tc>
        <w:tc>
          <w:tcPr>
            <w:tcW w:type="dxa" w:w="358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pPr>
              <w:jc w:val="left"/>
            </w:pPr>
            <w:r>
              <w:rPr>
                <w:rFonts w:ascii="Arial" w:cs="Arial" w:eastAsia="Arial" w:hAnsi="Arial"/>
                <w:b w:val="false"/>
                <w:bCs w:val="false"/>
                <w:color w:val="4A4A4A"/>
                <w:sz w:val="20"/>
                <w:szCs w:val="20"/>
              </w:rPr>
              <w:t xml:space="preserve">Operators with Bitcoin custody infrastructure who want full economics.</w:t>
            </w:r>
          </w:p>
        </w:tc>
      </w:tr>
      <w:tr>
        <w:tc>
          <w:tcPr>
            <w:tcW w:type="dxa" w:w="2200"/>
            <w:tcBorders>
              <w:top w:val="single" w:color="DDDDDD" w:sz="1"/>
              <w:left w:val="single" w:color="DDDDDD" w:sz="1"/>
              <w:bottom w:val="single" w:color="DDDDDD" w:sz="1"/>
              <w:right w:val="single" w:color="DDDDDD" w:sz="1"/>
            </w:tcBorders>
            <w:shd w:fill="F9F9F9" w:val="clear"/>
            <w:tcMar>
              <w:top w:type="dxa" w:w="100"/>
              <w:left w:type="dxa" w:w="150"/>
              <w:bottom w:type="dxa" w:w="100"/>
              <w:right w:type="dxa" w:w="150"/>
            </w:tcMar>
          </w:tcPr>
          <w:p>
            <w:pPr>
              <w:jc w:val="left"/>
            </w:pPr>
            <w:r>
              <w:rPr>
                <w:rFonts w:ascii="Arial" w:cs="Arial" w:eastAsia="Arial" w:hAnsi="Arial"/>
                <w:b/>
                <w:bCs/>
                <w:color w:val="1A1A1A"/>
                <w:sz w:val="20"/>
                <w:szCs w:val="20"/>
              </w:rPr>
              <w:t xml:space="preserve">Capital Partner</w:t>
            </w:r>
          </w:p>
        </w:tc>
        <w:tc>
          <w:tcPr>
            <w:tcW w:type="dxa" w:w="3580"/>
            <w:tcBorders>
              <w:top w:val="single" w:color="DDDDDD" w:sz="1"/>
              <w:left w:val="single" w:color="DDDDDD" w:sz="1"/>
              <w:bottom w:val="single" w:color="DDDDDD" w:sz="1"/>
              <w:right w:val="single" w:color="DDDDDD" w:sz="1"/>
            </w:tcBorders>
            <w:shd w:fill="F9F9F9" w:val="clear"/>
            <w:tcMar>
              <w:top w:type="dxa" w:w="100"/>
              <w:left w:type="dxa" w:w="150"/>
              <w:bottom w:type="dxa" w:w="100"/>
              <w:right w:type="dxa" w:w="150"/>
            </w:tcMar>
          </w:tcPr>
          <w:p>
            <w:pPr>
              <w:jc w:val="left"/>
            </w:pPr>
            <w:r>
              <w:rPr>
                <w:rFonts w:ascii="Arial" w:cs="Arial" w:eastAsia="Arial" w:hAnsi="Arial"/>
                <w:b w:val="false"/>
                <w:bCs w:val="false"/>
                <w:color w:val="4A4A4A"/>
                <w:sz w:val="20"/>
                <w:szCs w:val="20"/>
              </w:rPr>
              <w:t xml:space="preserve">Operator provides gas + site. Capital partner provides CapEx. Both share revenue.</w:t>
            </w:r>
          </w:p>
        </w:tc>
        <w:tc>
          <w:tcPr>
            <w:tcW w:type="dxa" w:w="3580"/>
            <w:tcBorders>
              <w:top w:val="single" w:color="DDDDDD" w:sz="1"/>
              <w:left w:val="single" w:color="DDDDDD" w:sz="1"/>
              <w:bottom w:val="single" w:color="DDDDDD" w:sz="1"/>
              <w:right w:val="single" w:color="DDDDDD" w:sz="1"/>
            </w:tcBorders>
            <w:shd w:fill="F9F9F9" w:val="clear"/>
            <w:tcMar>
              <w:top w:type="dxa" w:w="100"/>
              <w:left w:type="dxa" w:w="150"/>
              <w:bottom w:type="dxa" w:w="100"/>
              <w:right w:type="dxa" w:w="150"/>
            </w:tcMar>
          </w:tcPr>
          <w:p>
            <w:pPr>
              <w:jc w:val="left"/>
            </w:pPr>
            <w:r>
              <w:rPr>
                <w:rFonts w:ascii="Arial" w:cs="Arial" w:eastAsia="Arial" w:hAnsi="Arial"/>
                <w:b w:val="false"/>
                <w:bCs w:val="false"/>
                <w:color w:val="4A4A4A"/>
                <w:sz w:val="20"/>
                <w:szCs w:val="20"/>
              </w:rPr>
              <w:t xml:space="preserve">Operators who want on-lease deployment without contributing capital.</w:t>
            </w:r>
          </w:p>
        </w:tc>
      </w:tr>
    </w:tbl>
    <w:p>
      <w:pPr>
        <w:spacing w:before="180" w:after="10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E8500A" w:sz="8"/>
              <w:left w:val="single" w:color="E8500A" w:sz="8"/>
              <w:bottom w:val="single" w:color="DDDDDD" w:sz="1"/>
              <w:right w:val="single" w:color="DDDDDD" w:sz="1"/>
            </w:tcBorders>
            <w:shd w:fill="FFF6F2" w:val="clear"/>
            <w:tcMar>
              <w:top w:type="dxa" w:w="160"/>
              <w:left w:type="dxa" w:w="200"/>
              <w:bottom w:type="dxa" w:w="160"/>
              <w:right w:type="dxa" w:w="200"/>
            </w:tcMar>
          </w:tcPr>
          <w:p>
            <w:pPr>
              <w:spacing w:before="0" w:after="80"/>
            </w:pPr>
            <w:r>
              <w:rPr>
                <w:rFonts w:ascii="Arial" w:cs="Arial" w:eastAsia="Arial" w:hAnsi="Arial"/>
                <w:b/>
                <w:bCs/>
                <w:color w:val="E8500A"/>
                <w:sz w:val="22"/>
                <w:szCs w:val="22"/>
              </w:rPr>
              <w:t xml:space="preserve">NO BITCOIN ON YOUR BALANCE SHEET</w:t>
            </w:r>
          </w:p>
          <w:p>
            <w:pPr>
              <w:spacing w:before="0" w:after="0"/>
            </w:pPr>
            <w:r>
              <w:rPr>
                <w:rFonts w:ascii="Arial" w:cs="Arial" w:eastAsia="Arial" w:hAnsi="Arial"/>
                <w:color w:val="4A4A4A"/>
                <w:sz w:val="22"/>
                <w:szCs w:val="22"/>
              </w:rPr>
              <w:t xml:space="preserve">Under the hosting structure, you receive USD payments and hold no Bitcoin. Revenue is classified as power or service income—not mining income. If your CFO’s objection is crypto accounting exposure, hosting is the answer. You still generate meaningfully more monthly revenue than your compressed pipeline netback.</w:t>
            </w:r>
          </w:p>
        </w:tc>
      </w:tr>
    </w:tbl>
    <w:p>
      <w:pPr>
        <w:spacing w:before="200" w:after="120"/>
      </w:pPr>
      <w:r>
        <w:t xml:space="preserve"/>
      </w:r>
    </w:p>
    <w:p>
      <w:pPr>
        <w:pStyle w:val="Heading2"/>
        <w:pBdr>
          <w:bottom w:val="single" w:color="E8500A" w:sz="4" w:space="4"/>
        </w:pBdr>
        <w:spacing w:before="320" w:after="120"/>
      </w:pPr>
      <w:r>
        <w:rPr>
          <w:rFonts w:ascii="Arial" w:cs="Arial" w:eastAsia="Arial" w:hAnsi="Arial"/>
          <w:b/>
          <w:bCs/>
          <w:color w:val="1A1A1A"/>
          <w:sz w:val="28"/>
          <w:szCs w:val="28"/>
        </w:rPr>
        <w:t xml:space="preserve">How to Evaluate Whether a Carve-Out Pencils for Your Site</w:t>
      </w:r>
    </w:p>
    <w:p>
      <w:pPr>
        <w:spacing w:before="100" w:after="140"/>
      </w:pPr>
      <w:r>
        <w:rPr>
          <w:rFonts w:ascii="Arial" w:cs="Arial" w:eastAsia="Arial" w:hAnsi="Arial"/>
          <w:color w:val="4A4A4A"/>
          <w:sz w:val="22"/>
          <w:szCs w:val="22"/>
        </w:rPr>
        <w:t xml:space="preserve">Three questions determine whether an on-lease carve-out makes sense for a specific pad. If all three answers are yes, the economics almost certainly work.</w:t>
      </w:r>
    </w:p>
    <w:p>
      <w:pPr>
        <w:spacing w:before="80" w:after="60"/>
      </w:pPr>
      <w:r>
        <w:t xml:space="preserve"/>
      </w:r>
    </w:p>
    <w:p>
      <w:pPr>
        <w:pStyle w:val="ListParagraph"/>
        <w:numPr>
          <w:ilvl w:val="0"/>
          <w:numId w:val="3"/>
        </w:numPr>
        <w:spacing w:before="80" w:after="80"/>
      </w:pPr>
      <w:r>
        <w:rPr>
          <w:rFonts w:ascii="Arial" w:cs="Arial" w:eastAsia="Arial" w:hAnsi="Arial"/>
          <w:b/>
          <w:bCs/>
          <w:color w:val="1A1A1A"/>
          <w:sz w:val="22"/>
          <w:szCs w:val="22"/>
        </w:rPr>
        <w:t xml:space="preserve">Is there a volume with a netback below $1.50/Mcf? </w:t>
      </w:r>
      <w:r>
        <w:rPr>
          <w:rFonts w:ascii="Arial" w:cs="Arial" w:eastAsia="Arial" w:hAnsi="Arial"/>
          <w:color w:val="4A4A4A"/>
          <w:sz w:val="22"/>
          <w:szCs w:val="22"/>
        </w:rPr>
        <w:t xml:space="preserve">That’s the threshold where on-lease deployment becomes clearly competitive with pipeline delivery. Below $1.00/Mcf—or negative—the case is unambiguous.</w:t>
      </w:r>
    </w:p>
    <w:p>
      <w:pPr>
        <w:pStyle w:val="ListParagraph"/>
        <w:numPr>
          <w:ilvl w:val="0"/>
          <w:numId w:val="3"/>
        </w:numPr>
        <w:spacing w:before="80" w:after="80"/>
      </w:pPr>
      <w:r>
        <w:rPr>
          <w:rFonts w:ascii="Arial" w:cs="Arial" w:eastAsia="Arial" w:hAnsi="Arial"/>
          <w:b/>
          <w:bCs/>
          <w:color w:val="1A1A1A"/>
          <w:sz w:val="22"/>
          <w:szCs w:val="22"/>
        </w:rPr>
        <w:t xml:space="preserve">Is there a volume currently being flared or subject to MVC deficiency payments? </w:t>
      </w:r>
      <w:r>
        <w:rPr>
          <w:rFonts w:ascii="Arial" w:cs="Arial" w:eastAsia="Arial" w:hAnsi="Arial"/>
          <w:color w:val="4A4A4A"/>
          <w:sz w:val="22"/>
          <w:szCs w:val="22"/>
        </w:rPr>
        <w:t xml:space="preserve">These are zero-netback or negative-netback volumes. Any on-lease revenue is a direct improvement. No comparison required.</w:t>
      </w:r>
    </w:p>
    <w:p>
      <w:pPr>
        <w:pStyle w:val="ListParagraph"/>
        <w:numPr>
          <w:ilvl w:val="0"/>
          <w:numId w:val="3"/>
        </w:numPr>
        <w:spacing w:before="80" w:after="80"/>
      </w:pPr>
      <w:r>
        <w:rPr>
          <w:rFonts w:ascii="Arial" w:cs="Arial" w:eastAsia="Arial" w:hAnsi="Arial"/>
          <w:b/>
          <w:bCs/>
          <w:color w:val="1A1A1A"/>
          <w:sz w:val="22"/>
          <w:szCs w:val="22"/>
        </w:rPr>
        <w:t xml:space="preserve">Is there at least 100 Mcfd available for carve-out at a single pad location? </w:t>
      </w:r>
      <w:r>
        <w:rPr>
          <w:rFonts w:ascii="Arial" w:cs="Arial" w:eastAsia="Arial" w:hAnsi="Arial"/>
          <w:color w:val="4A4A4A"/>
          <w:sz w:val="22"/>
          <w:szCs w:val="22"/>
        </w:rPr>
        <w:t xml:space="preserve">That’s the minimum viable volume for a standalone deployment. Multiple sub-threshold pads in proximity can sometimes be aggregated.</w:t>
      </w:r>
    </w:p>
    <w:p>
      <w:pPr>
        <w:spacing w:before="140" w:after="100"/>
      </w:pPr>
      <w:r>
        <w:t xml:space="preserve"/>
      </w:r>
    </w:p>
    <w:p>
      <w:pPr>
        <w:pStyle w:val="Heading3"/>
        <w:spacing w:before="240" w:after="100"/>
      </w:pPr>
      <w:r>
        <w:rPr>
          <w:rFonts w:ascii="Arial" w:cs="Arial" w:eastAsia="Arial" w:hAnsi="Arial"/>
          <w:b/>
          <w:bCs/>
          <w:color w:val="E8500A"/>
          <w:sz w:val="24"/>
          <w:szCs w:val="24"/>
        </w:rPr>
        <w:t xml:space="preserve">What the Evaluation Process Looks Like</w:t>
      </w:r>
    </w:p>
    <w:p>
      <w:pPr>
        <w:spacing w:before="100" w:after="140"/>
      </w:pPr>
      <w:r>
        <w:rPr>
          <w:rFonts w:ascii="Arial" w:cs="Arial" w:eastAsia="Arial" w:hAnsi="Arial"/>
          <w:color w:val="4A4A4A"/>
          <w:sz w:val="22"/>
          <w:szCs w:val="22"/>
        </w:rPr>
        <w:t xml:space="preserve">MCF.digital’s evaluation process is designed to answer these three questions quickly, with your specific gas data, before asking you to commit to anything.</w:t>
      </w:r>
    </w:p>
    <w:p>
      <w:pPr>
        <w:spacing w:before="60" w:after="40"/>
      </w:pPr>
      <w:r>
        <w:t xml:space="preserve"/>
      </w:r>
    </w:p>
    <w:p>
      <w:pPr>
        <w:pStyle w:val="ListParagraph"/>
        <w:numPr>
          <w:ilvl w:val="0"/>
          <w:numId w:val="2"/>
        </w:numPr>
        <w:spacing w:before="60" w:after="60"/>
      </w:pPr>
      <w:r>
        <w:rPr>
          <w:rFonts w:ascii="Arial" w:cs="Arial" w:eastAsia="Arial" w:hAnsi="Arial"/>
          <w:b/>
          <w:bCs/>
          <w:color w:val="1A1A1A"/>
          <w:sz w:val="22"/>
          <w:szCs w:val="22"/>
        </w:rPr>
        <w:t xml:space="preserve">Step 1: </w:t>
      </w:r>
      <w:r>
        <w:rPr>
          <w:rFonts w:ascii="Arial" w:cs="Arial" w:eastAsia="Arial" w:hAnsi="Arial"/>
          <w:color w:val="4A4A4A"/>
          <w:sz w:val="22"/>
          <w:szCs w:val="22"/>
        </w:rPr>
        <w:t xml:space="preserve">Submit your gas analysis (BTU content, methane number, H2S, CO2), daily volume, and wellhead pressure. This takes 15 minutes to pull from your production system.</w:t>
      </w:r>
    </w:p>
    <w:p>
      <w:pPr>
        <w:pStyle w:val="ListParagraph"/>
        <w:numPr>
          <w:ilvl w:val="0"/>
          <w:numId w:val="2"/>
        </w:numPr>
        <w:spacing w:before="60" w:after="60"/>
      </w:pPr>
      <w:r>
        <w:rPr>
          <w:rFonts w:ascii="Arial" w:cs="Arial" w:eastAsia="Arial" w:hAnsi="Arial"/>
          <w:b/>
          <w:bCs/>
          <w:color w:val="1A1A1A"/>
          <w:sz w:val="22"/>
          <w:szCs w:val="22"/>
        </w:rPr>
        <w:t xml:space="preserve">Step 2: </w:t>
      </w:r>
      <w:r>
        <w:rPr>
          <w:rFonts w:ascii="Arial" w:cs="Arial" w:eastAsia="Arial" w:hAnsi="Arial"/>
          <w:color w:val="4A4A4A"/>
          <w:sz w:val="22"/>
          <w:szCs w:val="22"/>
        </w:rPr>
        <w:t xml:space="preserve">MCF.digital reviews gas quality and volume, identifies carve-out candidates, and runs a preliminary site feasibility in 48–72 hours.</w:t>
      </w:r>
    </w:p>
    <w:p>
      <w:pPr>
        <w:pStyle w:val="ListParagraph"/>
        <w:numPr>
          <w:ilvl w:val="0"/>
          <w:numId w:val="2"/>
        </w:numPr>
        <w:spacing w:before="60" w:after="60"/>
      </w:pPr>
      <w:r>
        <w:rPr>
          <w:rFonts w:ascii="Arial" w:cs="Arial" w:eastAsia="Arial" w:hAnsi="Arial"/>
          <w:b/>
          <w:bCs/>
          <w:color w:val="1A1A1A"/>
          <w:sz w:val="22"/>
          <w:szCs w:val="22"/>
        </w:rPr>
        <w:t xml:space="preserve">Step 3: </w:t>
      </w:r>
      <w:r>
        <w:rPr>
          <w:rFonts w:ascii="Arial" w:cs="Arial" w:eastAsia="Arial" w:hAnsi="Arial"/>
          <w:color w:val="4A4A4A"/>
          <w:sz w:val="22"/>
          <w:szCs w:val="22"/>
        </w:rPr>
        <w:t xml:space="preserve">We produce a site-specific pro forma showing your current pipeline netback vs. on-lease revenue under each deal structure at current and stressed Bitcoin prices.</w:t>
      </w:r>
    </w:p>
    <w:p>
      <w:pPr>
        <w:pStyle w:val="ListParagraph"/>
        <w:numPr>
          <w:ilvl w:val="0"/>
          <w:numId w:val="2"/>
        </w:numPr>
        <w:spacing w:before="60" w:after="60"/>
      </w:pPr>
      <w:r>
        <w:rPr>
          <w:rFonts w:ascii="Arial" w:cs="Arial" w:eastAsia="Arial" w:hAnsi="Arial"/>
          <w:b/>
          <w:bCs/>
          <w:color w:val="1A1A1A"/>
          <w:sz w:val="22"/>
          <w:szCs w:val="22"/>
        </w:rPr>
        <w:t xml:space="preserve">Step 4: </w:t>
      </w:r>
      <w:r>
        <w:rPr>
          <w:rFonts w:ascii="Arial" w:cs="Arial" w:eastAsia="Arial" w:hAnsi="Arial"/>
          <w:color w:val="4A4A4A"/>
          <w:sz w:val="22"/>
          <w:szCs w:val="22"/>
        </w:rPr>
        <w:t xml:space="preserve">If the numbers work, we review your gathering agreement for carve-out provisions and move to a site visit and deployment discussion.</w:t>
      </w:r>
    </w:p>
    <w:p>
      <w:pPr>
        <w:spacing w:before="120" w:after="80"/>
      </w:pPr>
      <w:r>
        <w:t xml:space="preserve"/>
      </w:r>
    </w:p>
    <w:p>
      <w:pPr>
        <w:spacing w:before="100" w:after="140"/>
      </w:pPr>
      <w:r>
        <w:rPr>
          <w:rFonts w:ascii="Arial" w:cs="Arial" w:eastAsia="Arial" w:hAnsi="Arial"/>
          <w:color w:val="4A4A4A"/>
          <w:sz w:val="22"/>
          <w:szCs w:val="22"/>
        </w:rPr>
        <w:t xml:space="preserve">There is no obligation at any point before a signed deployment agreement. The pro forma is yours to keep regardless of what you decide.</w:t>
      </w:r>
    </w:p>
    <w:p>
      <w:pPr>
        <w:spacing w:before="120" w:after="80"/>
      </w:pPr>
      <w:r>
        <w:t xml:space="preserve"/>
      </w:r>
    </w:p>
    <w:p>
      <w:pPr>
        <w:pStyle w:val="Heading2"/>
        <w:pBdr>
          <w:bottom w:val="single" w:color="E8500A" w:sz="4" w:space="4"/>
        </w:pBdr>
        <w:spacing w:before="320" w:after="120"/>
      </w:pPr>
      <w:r>
        <w:rPr>
          <w:rFonts w:ascii="Arial" w:cs="Arial" w:eastAsia="Arial" w:hAnsi="Arial"/>
          <w:b/>
          <w:bCs/>
          <w:color w:val="1A1A1A"/>
          <w:sz w:val="28"/>
          <w:szCs w:val="28"/>
        </w:rPr>
        <w:t xml:space="preserve">Questions Low-Netback Operators Ask</w:t>
      </w:r>
    </w:p>
    <w:p>
      <w:pPr>
        <w:pStyle w:val="Heading3"/>
        <w:spacing w:before="240" w:after="100"/>
      </w:pPr>
      <w:r>
        <w:rPr>
          <w:rFonts w:ascii="Arial" w:cs="Arial" w:eastAsia="Arial" w:hAnsi="Arial"/>
          <w:b/>
          <w:bCs/>
          <w:color w:val="E8500A"/>
          <w:sz w:val="24"/>
          <w:szCs w:val="24"/>
        </w:rPr>
        <w:t xml:space="preserve">What gas netback is required for on-lease deployment to make economic sense?</w:t>
      </w:r>
    </w:p>
    <w:p>
      <w:pPr>
        <w:spacing w:before="100" w:after="140"/>
      </w:pPr>
      <w:r>
        <w:rPr>
          <w:rFonts w:ascii="Arial" w:cs="Arial" w:eastAsia="Arial" w:hAnsi="Arial"/>
          <w:color w:val="4A4A4A"/>
          <w:sz w:val="22"/>
          <w:szCs w:val="22"/>
        </w:rPr>
        <w:t xml:space="preserve">If your netback is below $1.50/Mcf after all midstream deductions, on-lease deployment is almost always competitive. If you’re below $1.00/Mcf, or if you’re paying MVC deficiency charges on any volume, the case is straightforward. Above $2.00/Mcf on a healthy, stable stream with no MVC exposure, the pipeline may still be the better option for those volumes—but the carve-out may still work for a sub-set of your production.</w:t>
      </w:r>
    </w:p>
    <w:p>
      <w:pPr>
        <w:pStyle w:val="Heading3"/>
        <w:spacing w:before="240" w:after="100"/>
      </w:pPr>
      <w:r>
        <w:rPr>
          <w:rFonts w:ascii="Arial" w:cs="Arial" w:eastAsia="Arial" w:hAnsi="Arial"/>
          <w:b/>
          <w:bCs/>
          <w:color w:val="E8500A"/>
          <w:sz w:val="24"/>
          <w:szCs w:val="24"/>
        </w:rPr>
        <w:t xml:space="preserve">Do I need to break my existing midstream contract?</w:t>
      </w:r>
    </w:p>
    <w:p>
      <w:pPr>
        <w:spacing w:before="100" w:after="140"/>
      </w:pPr>
      <w:r>
        <w:rPr>
          <w:rFonts w:ascii="Arial" w:cs="Arial" w:eastAsia="Arial" w:hAnsi="Arial"/>
          <w:color w:val="4A4A4A"/>
          <w:sz w:val="22"/>
          <w:szCs w:val="22"/>
        </w:rPr>
        <w:t xml:space="preserve">No. On-lease carve-outs are typically permitted under existing gathering agreements as on-lease fuel or operational use. MCF.digital reviews your contract language as part of the evaluation process. In most cases, the carve-out requires only written notice to the midstream company—not a contract renegotiation.</w:t>
      </w:r>
    </w:p>
    <w:p>
      <w:pPr>
        <w:pStyle w:val="Heading3"/>
        <w:spacing w:before="240" w:after="100"/>
      </w:pPr>
      <w:r>
        <w:rPr>
          <w:rFonts w:ascii="Arial" w:cs="Arial" w:eastAsia="Arial" w:hAnsi="Arial"/>
          <w:b/>
          <w:bCs/>
          <w:color w:val="E8500A"/>
          <w:sz w:val="24"/>
          <w:szCs w:val="24"/>
        </w:rPr>
        <w:t xml:space="preserve">How is my gas priced in a hosting structure?</w:t>
      </w:r>
    </w:p>
    <w:p>
      <w:pPr>
        <w:spacing w:before="100" w:after="140"/>
      </w:pPr>
      <w:r>
        <w:rPr>
          <w:rFonts w:ascii="Arial" w:cs="Arial" w:eastAsia="Arial" w:hAnsi="Arial"/>
          <w:color w:val="4A4A4A"/>
          <w:sz w:val="22"/>
          <w:szCs w:val="22"/>
        </w:rPr>
        <w:t xml:space="preserve">In a hosting arrangement, the operator is compensated based on the electrical output of the generator, not the gas input. You receive a rate per kilowatt-hour consumed by the mining equipment. The gas is valued indirectly through the power it produces—which eliminates the BTU deduction and processing fee layer entirely. You are effectively selling electricity, not gas.</w:t>
      </w:r>
    </w:p>
    <w:p>
      <w:pPr>
        <w:pStyle w:val="Heading3"/>
        <w:spacing w:before="240" w:after="100"/>
      </w:pPr>
      <w:r>
        <w:rPr>
          <w:rFonts w:ascii="Arial" w:cs="Arial" w:eastAsia="Arial" w:hAnsi="Arial"/>
          <w:b/>
          <w:bCs/>
          <w:color w:val="E8500A"/>
          <w:sz w:val="24"/>
          <w:szCs w:val="24"/>
        </w:rPr>
        <w:t xml:space="preserve">What is the minimum daily gas volume for a viable deployment?</w:t>
      </w:r>
    </w:p>
    <w:p>
      <w:pPr>
        <w:spacing w:before="100" w:after="140"/>
      </w:pPr>
      <w:r>
        <w:rPr>
          <w:rFonts w:ascii="Arial" w:cs="Arial" w:eastAsia="Arial" w:hAnsi="Arial"/>
          <w:color w:val="4A4A4A"/>
          <w:sz w:val="22"/>
          <w:szCs w:val="22"/>
        </w:rPr>
        <w:t xml:space="preserve">100 Mcfd at a single pad is the practical minimum for a standalone deployment. Below that, the unit economics of deploying and operating a generator and mining containers don’t support the investment. If you have multiple pads in close proximity each producing 50–80 Mcfd, pad aggregation may be possible depending on site access and infrastructure.</w:t>
      </w:r>
    </w:p>
    <w:p>
      <w:pPr>
        <w:spacing w:before="80"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E8500A" w:sz="16"/>
              <w:left w:val="none" w:color="FFFFFF" w:sz="0"/>
              <w:bottom w:val="single" w:color="E8500A" w:sz="16"/>
              <w:right w:val="none" w:color="FFFFFF" w:sz="0"/>
            </w:tcBorders>
            <w:shd w:fill="1A1A1A" w:val="clear"/>
            <w:tcMar>
              <w:top w:type="dxa" w:w="280"/>
              <w:left w:type="dxa" w:w="360"/>
              <w:bottom w:type="dxa" w:w="280"/>
              <w:right w:type="dxa" w:w="360"/>
            </w:tcMar>
          </w:tcPr>
          <w:p>
            <w:pPr>
              <w:spacing w:before="0" w:after="80"/>
              <w:jc w:val="center"/>
            </w:pPr>
            <w:r>
              <w:rPr>
                <w:rFonts w:ascii="Arial" w:cs="Arial" w:eastAsia="Arial" w:hAnsi="Arial"/>
                <w:b/>
                <w:bCs/>
                <w:color w:val="FFFFFF"/>
                <w:sz w:val="28"/>
                <w:szCs w:val="28"/>
              </w:rPr>
              <w:t xml:space="preserve">Find out what your gas is actually worth.</w:t>
            </w:r>
          </w:p>
          <w:p>
            <w:pPr>
              <w:spacing w:before="0" w:after="120"/>
              <w:jc w:val="center"/>
            </w:pPr>
            <w:r>
              <w:rPr>
                <w:rFonts w:ascii="Arial" w:cs="Arial" w:eastAsia="Arial" w:hAnsi="Arial"/>
                <w:color w:val="CCCCCC"/>
                <w:sz w:val="22"/>
                <w:szCs w:val="22"/>
              </w:rPr>
              <w:t xml:space="preserve">Run a side-by-side comparison of your current pipeline netback vs. on-lease revenue using your actual gas volume and current Bitcoin conditions.</w:t>
            </w:r>
          </w:p>
          <w:p>
            <w:pPr>
              <w:spacing w:before="0" w:after="0"/>
              <w:jc w:val="center"/>
            </w:pPr>
            <w:r>
              <w:rPr>
                <w:rFonts w:ascii="Arial" w:cs="Arial" w:eastAsia="Arial" w:hAnsi="Arial"/>
                <w:b/>
                <w:bCs/>
                <w:color w:val="E8500A"/>
                <w:sz w:val="24"/>
                <w:szCs w:val="24"/>
              </w:rPr>
              <w:t xml:space="preserve">tools.mcf.digital</w:t>
            </w:r>
            <w:r>
              <w:rPr>
                <w:rFonts w:ascii="Arial" w:cs="Arial" w:eastAsia="Arial" w:hAnsi="Arial"/>
                <w:color w:val="666666"/>
                <w:sz w:val="24"/>
                <w:szCs w:val="24"/>
              </w:rPr>
              <w:t xml:space="preserve">   ·   </w:t>
            </w:r>
            <w:r>
              <w:rPr>
                <w:rFonts w:ascii="Arial" w:cs="Arial" w:eastAsia="Arial" w:hAnsi="Arial"/>
                <w:b/>
                <w:bCs/>
                <w:color w:val="E8500A"/>
                <w:sz w:val="24"/>
                <w:szCs w:val="24"/>
              </w:rPr>
              <w:t xml:space="preserve">Book a 15-minute fit call</w:t>
            </w:r>
          </w:p>
        </w:tc>
      </w:tr>
    </w:tbl>
    <w:p>
      <w:pPr>
        <w:spacing w:before="240" w:after="120"/>
      </w:pPr>
      <w:r>
        <w:t xml:space="preserve"/>
      </w:r>
    </w:p>
    <w:p>
      <w:pPr>
        <w:pStyle w:val="Heading2"/>
        <w:pBdr>
          <w:bottom w:val="single" w:color="E8500A" w:sz="4" w:space="4"/>
        </w:pBdr>
        <w:spacing w:before="320" w:after="120"/>
      </w:pPr>
      <w:r>
        <w:rPr>
          <w:rFonts w:ascii="Arial" w:cs="Arial" w:eastAsia="Arial" w:hAnsi="Arial"/>
          <w:b/>
          <w:bCs/>
          <w:color w:val="1A1A1A"/>
          <w:sz w:val="28"/>
          <w:szCs w:val="28"/>
        </w:rPr>
        <w:t xml:space="preserve">Related Resources</w:t>
      </w:r>
    </w:p>
    <w:p>
      <w:pPr>
        <w:spacing w:before="100" w:after="140"/>
      </w:pPr>
      <w:r>
        <w:rPr>
          <w:rFonts w:ascii="Arial" w:cs="Arial" w:eastAsia="Arial" w:hAnsi="Arial"/>
          <w:color w:val="4A4A4A"/>
          <w:sz w:val="22"/>
          <w:szCs w:val="22"/>
        </w:rPr>
        <w:t xml:space="preserve">Go deeper on the specific concepts covered in this guide:</w:t>
      </w:r>
    </w:p>
    <w:p>
      <w:pPr>
        <w:spacing w:before="60" w:after="40"/>
      </w:pPr>
      <w:r>
        <w:t xml:space="preserve"/>
      </w:r>
    </w:p>
    <w:p>
      <w:pPr>
        <w:pStyle w:val="ListParagraph"/>
        <w:numPr>
          <w:ilvl w:val="0"/>
          <w:numId w:val="2"/>
        </w:numPr>
        <w:spacing w:before="60" w:after="60"/>
      </w:pPr>
      <w:r>
        <w:rPr>
          <w:rFonts w:ascii="Arial" w:cs="Arial" w:eastAsia="Arial" w:hAnsi="Arial"/>
          <w:b/>
          <w:bCs/>
          <w:color w:val="1A1A1A"/>
          <w:sz w:val="22"/>
          <w:szCs w:val="22"/>
        </w:rPr>
        <w:t xml:space="preserve">What Is Gas Netback? The Complete Operator Definition — </w:t>
      </w:r>
      <w:r>
        <w:rPr>
          <w:rFonts w:ascii="Arial" w:cs="Arial" w:eastAsia="Arial" w:hAnsi="Arial"/>
          <w:color w:val="4A4A4A"/>
          <w:sz w:val="22"/>
          <w:szCs w:val="22"/>
        </w:rPr>
        <w:t xml:space="preserve">mcf.digital/glossary/what-is-gas-netback</w:t>
      </w:r>
    </w:p>
    <w:p>
      <w:pPr>
        <w:pStyle w:val="ListParagraph"/>
        <w:numPr>
          <w:ilvl w:val="0"/>
          <w:numId w:val="2"/>
        </w:numPr>
        <w:spacing w:before="60" w:after="60"/>
      </w:pPr>
      <w:r>
        <w:rPr>
          <w:rFonts w:ascii="Arial" w:cs="Arial" w:eastAsia="Arial" w:hAnsi="Arial"/>
          <w:b/>
          <w:bCs/>
          <w:color w:val="1A1A1A"/>
          <w:sz w:val="22"/>
          <w:szCs w:val="22"/>
        </w:rPr>
        <w:t xml:space="preserve">What Is On-Lease Bitcoin Mining? — </w:t>
      </w:r>
      <w:r>
        <w:rPr>
          <w:rFonts w:ascii="Arial" w:cs="Arial" w:eastAsia="Arial" w:hAnsi="Arial"/>
          <w:color w:val="4A4A4A"/>
          <w:sz w:val="22"/>
          <w:szCs w:val="22"/>
        </w:rPr>
        <w:t xml:space="preserve">mcf.digital/glossary/what-is-on-lease-bitcoin-mining</w:t>
      </w:r>
    </w:p>
    <w:p>
      <w:pPr>
        <w:pStyle w:val="ListParagraph"/>
        <w:numPr>
          <w:ilvl w:val="0"/>
          <w:numId w:val="2"/>
        </w:numPr>
        <w:spacing w:before="60" w:after="60"/>
      </w:pPr>
      <w:r>
        <w:rPr>
          <w:rFonts w:ascii="Arial" w:cs="Arial" w:eastAsia="Arial" w:hAnsi="Arial"/>
          <w:b/>
          <w:bCs/>
          <w:color w:val="1A1A1A"/>
          <w:sz w:val="22"/>
          <w:szCs w:val="22"/>
        </w:rPr>
        <w:t xml:space="preserve">Gas-to-Hash: What It Means and How It Works — </w:t>
      </w:r>
      <w:r>
        <w:rPr>
          <w:rFonts w:ascii="Arial" w:cs="Arial" w:eastAsia="Arial" w:hAnsi="Arial"/>
          <w:color w:val="4A4A4A"/>
          <w:sz w:val="22"/>
          <w:szCs w:val="22"/>
        </w:rPr>
        <w:t xml:space="preserve">mcf.digital/glossary/gas-to-hash</w:t>
      </w:r>
    </w:p>
    <w:p>
      <w:pPr>
        <w:pStyle w:val="ListParagraph"/>
        <w:numPr>
          <w:ilvl w:val="0"/>
          <w:numId w:val="2"/>
        </w:numPr>
        <w:spacing w:before="60" w:after="60"/>
      </w:pPr>
      <w:r>
        <w:rPr>
          <w:rFonts w:ascii="Arial" w:cs="Arial" w:eastAsia="Arial" w:hAnsi="Arial"/>
          <w:b/>
          <w:bCs/>
          <w:color w:val="1A1A1A"/>
          <w:sz w:val="22"/>
          <w:szCs w:val="22"/>
        </w:rPr>
        <w:t xml:space="preserve">Should You Bypass Midstream? — </w:t>
      </w:r>
      <w:r>
        <w:rPr>
          <w:rFonts w:ascii="Arial" w:cs="Arial" w:eastAsia="Arial" w:hAnsi="Arial"/>
          <w:color w:val="4A4A4A"/>
          <w:sz w:val="22"/>
          <w:szCs w:val="22"/>
        </w:rPr>
        <w:t xml:space="preserve">mcf.digital/operator-guides/should-you-bypass-midstream</w:t>
      </w:r>
    </w:p>
    <w:p>
      <w:pPr>
        <w:pStyle w:val="ListParagraph"/>
        <w:numPr>
          <w:ilvl w:val="0"/>
          <w:numId w:val="2"/>
        </w:numPr>
        <w:spacing w:before="60" w:after="60"/>
      </w:pPr>
      <w:r>
        <w:rPr>
          <w:rFonts w:ascii="Arial" w:cs="Arial" w:eastAsia="Arial" w:hAnsi="Arial"/>
          <w:b/>
          <w:bCs/>
          <w:color w:val="1A1A1A"/>
          <w:sz w:val="22"/>
          <w:szCs w:val="22"/>
        </w:rPr>
        <w:t xml:space="preserve">Stranded Gas Bitcoin Mining: When It Pencils and When It Doesn’t — </w:t>
      </w:r>
      <w:r>
        <w:rPr>
          <w:rFonts w:ascii="Arial" w:cs="Arial" w:eastAsia="Arial" w:hAnsi="Arial"/>
          <w:color w:val="4A4A4A"/>
          <w:sz w:val="22"/>
          <w:szCs w:val="22"/>
        </w:rPr>
        <w:t xml:space="preserve">mcf.digital/operator-guides/stranded-gas-bitcoin-mining</w:t>
      </w:r>
    </w:p>
    <w:p>
      <w:pPr>
        <w:pStyle w:val="ListParagraph"/>
        <w:numPr>
          <w:ilvl w:val="0"/>
          <w:numId w:val="2"/>
        </w:numPr>
        <w:spacing w:before="60" w:after="60"/>
      </w:pPr>
      <w:r>
        <w:rPr>
          <w:rFonts w:ascii="Arial" w:cs="Arial" w:eastAsia="Arial" w:hAnsi="Arial"/>
          <w:b/>
          <w:bCs/>
          <w:color w:val="1A1A1A"/>
          <w:sz w:val="22"/>
          <w:szCs w:val="22"/>
        </w:rPr>
        <w:t xml:space="preserve">Low Netback Sites — </w:t>
      </w:r>
      <w:r>
        <w:rPr>
          <w:rFonts w:ascii="Arial" w:cs="Arial" w:eastAsia="Arial" w:hAnsi="Arial"/>
          <w:color w:val="4A4A4A"/>
          <w:sz w:val="22"/>
          <w:szCs w:val="22"/>
        </w:rPr>
        <w:t xml:space="preserve">mcf.digital/low-netback</w:t>
      </w:r>
    </w:p>
    <w:p>
      <w:pPr>
        <w:spacing w:before="200" w:after="100"/>
      </w:pPr>
      <w:r>
        <w:t xml:space="preserve"/>
      </w:r>
    </w:p>
    <w:p>
      <w:pPr>
        <w:pBdr>
          <w:top w:val="single" w:color="DDDDDD" w:sz="4" w:space="4"/>
        </w:pBdr>
        <w:spacing w:before="0" w:after="0"/>
      </w:pPr>
      <w:r>
        <w:rPr>
          <w:sz w:val="20"/>
          <w:szCs w:val="20"/>
        </w:rPr>
        <w:t xml:space="preserve"/>
      </w:r>
    </w:p>
    <w:p>
      <w:pPr>
        <w:spacing w:before="120" w:after="0"/>
      </w:pPr>
      <w:r>
        <w:rPr>
          <w:rFonts w:ascii="Arial" w:cs="Arial" w:eastAsia="Arial" w:hAnsi="Arial"/>
          <w:b/>
          <w:bCs/>
          <w:color w:val="1A1A1A"/>
          <w:sz w:val="20"/>
          <w:szCs w:val="20"/>
        </w:rPr>
        <w:t xml:space="preserve">MCF.digital</w:t>
      </w:r>
      <w:r>
        <w:rPr>
          <w:rFonts w:ascii="Arial" w:cs="Arial" w:eastAsia="Arial" w:hAnsi="Arial"/>
          <w:color w:val="999999"/>
          <w:sz w:val="18"/>
          <w:szCs w:val="18"/>
        </w:rPr>
        <w:t xml:space="preserve">  ·  On-Lease Bitcoin Mining  ·  Flare Gas Monetization  ·  Gas-to-Hash Operator</w:t>
      </w:r>
    </w:p>
    <w:p>
      <w:pPr>
        <w:spacing w:before="60" w:after="0"/>
      </w:pPr>
      <w:r>
        <w:rPr>
          <w:rFonts w:ascii="Arial" w:cs="Arial" w:eastAsia="Arial" w:hAnsi="Arial"/>
          <w:color w:val="BBBBBB"/>
          <w:sz w:val="16"/>
          <w:szCs w:val="16"/>
        </w:rPr>
        <w:t xml:space="preserve">Audience: O&amp;G Operators  ·  Category: Operator Guide  ·  mcf.digital/operator-guides/low-gas-netbacks</w:t>
      </w:r>
    </w:p>
    <w:sectPr>
      <w:headerReference w:type="default" r:id="rId6"/>
      <w:footerReference w:type="default" r:id="rId7"/>
      <w:pgSz w:w="12240" w:h="15840" w:orient="portrait"/>
      <w:pgMar w:top="1080" w:right="1440" w:bottom="108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E8500A" w:sz="4" w:space="2"/>
      </w:pBdr>
      <w:tabs>
        <w:tab w:val="right" w:pos="9360"/>
      </w:tabs>
      <w:spacing w:before="120" w:after="0"/>
    </w:pPr>
    <w:r>
      <w:rPr>
        <w:rFonts w:ascii="Arial" w:cs="Arial" w:eastAsia="Arial" w:hAnsi="Arial"/>
        <w:color w:val="999999"/>
        <w:sz w:val="18"/>
        <w:szCs w:val="18"/>
      </w:rPr>
      <w:t xml:space="preserve">mcf.digital</w:t>
    </w:r>
    <w:r>
      <w:rPr>
        <w:rFonts w:ascii="Arial" w:cs="Arial" w:eastAsia="Arial" w:hAnsi="Arial"/>
        <w:color w:val="BBBBBB"/>
        <w:sz w:val="18"/>
        <w:szCs w:val="18"/>
      </w:rPr>
      <w:t xml:space="preserve">	mcf.digital/operator-guides/low-gas-netbacks</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E8500A" w:sz="6" w:space="2"/>
      </w:pBdr>
      <w:spacing w:before="0" w:after="160"/>
    </w:pPr>
    <w:r>
      <w:rPr>
        <w:rFonts w:ascii="Arial" w:cs="Arial" w:eastAsia="Arial" w:hAnsi="Arial"/>
        <w:b/>
        <w:bCs/>
        <w:color w:val="E8500A"/>
        <w:sz w:val="22"/>
        <w:szCs w:val="22"/>
      </w:rPr>
      <w:t xml:space="preserve">MCF</w:t>
    </w:r>
    <w:r>
      <w:rPr>
        <w:rFonts w:ascii="Arial" w:cs="Arial" w:eastAsia="Arial" w:hAnsi="Arial"/>
        <w:b/>
        <w:bCs/>
        <w:color w:val="1A1A1A"/>
        <w:sz w:val="22"/>
        <w:szCs w:val="22"/>
      </w:rPr>
      <w:t xml:space="preserve">.DIGITAL</w:t>
    </w:r>
    <w:r>
      <w:rPr>
        <w:rFonts w:ascii="Arial" w:cs="Arial" w:eastAsia="Arial" w:hAnsi="Arial"/>
        <w:color w:val="999999"/>
        <w:sz w:val="18"/>
        <w:szCs w:val="18"/>
      </w:rPr>
      <w:t xml:space="preserve">   OPERATOR GUIDE  |  Low Gas Netbacks</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color w:val="4A4A4A"/>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360" w:after="160"/>
      <w:outlineLvl w:val="0"/>
    </w:pPr>
    <w:rPr>
      <w:rFonts w:ascii="Arial" w:cs="Arial" w:eastAsia="Arial" w:hAnsi="Arial"/>
      <w:b/>
      <w:bCs/>
      <w:color w:val="1A1A1A"/>
      <w:sz w:val="36"/>
      <w:szCs w:val="36"/>
    </w:rPr>
  </w:style>
  <w:style w:type="paragraph" w:styleId="Heading2">
    <w:name w:val="Heading 2"/>
    <w:basedOn w:val="Normal"/>
    <w:next w:val="Normal"/>
    <w:qFormat/>
    <w:pPr>
      <w:spacing w:before="320" w:after="120"/>
      <w:outlineLvl w:val="1"/>
    </w:pPr>
    <w:rPr>
      <w:rFonts w:ascii="Arial" w:cs="Arial" w:eastAsia="Arial" w:hAnsi="Arial"/>
      <w:b/>
      <w:bCs/>
      <w:color w:val="1A1A1A"/>
      <w:sz w:val="28"/>
      <w:szCs w:val="28"/>
    </w:rPr>
  </w:style>
  <w:style w:type="paragraph" w:styleId="Heading3">
    <w:name w:val="Heading 3"/>
    <w:basedOn w:val="Normal"/>
    <w:next w:val="Normal"/>
    <w:qFormat/>
    <w:pPr>
      <w:spacing w:before="240" w:after="100"/>
      <w:outlineLvl w:val="2"/>
    </w:pPr>
    <w:rPr>
      <w:rFonts w:ascii="Arial" w:cs="Arial" w:eastAsia="Arial" w:hAnsi="Arial"/>
      <w:b/>
      <w:bCs/>
      <w:color w:val="E8500A"/>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fontTable" Target="fontTable.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2026-02-26T18:29:07.420Z</dcterms:created>
  <dcterms:modified xsi:type="dcterms:W3CDTF">2026-02-26T18:29:07.421Z</dcterms:modified>
</cp:coreProperties>
</file>

<file path=docProps/custom.xml><?xml version="1.0" encoding="utf-8"?>
<Properties xmlns="http://schemas.openxmlformats.org/officeDocument/2006/custom-properties" xmlns:vt="http://schemas.openxmlformats.org/officeDocument/2006/docPropsVTypes"/>
</file>