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pPr>
      <w:r>
        <w:rPr>
          <w:rFonts w:ascii="Arial" w:cs="Arial" w:eastAsia="Arial" w:hAnsi="Arial"/>
          <w:caps/>
          <w:color w:val="999999"/>
          <w:sz w:val="18"/>
          <w:szCs w:val="18"/>
        </w:rPr>
        <w:t xml:space="preserve">OPERATOR GUIDE  //  FEASIBILITY FRAMEWORK</w:t>
      </w:r>
    </w:p>
    <w:p>
      <w:pPr>
        <w:spacing w:before="0" w:after="80"/>
      </w:pPr>
      <w:r>
        <w:rPr>
          <w:rFonts w:ascii="Arial" w:cs="Arial" w:eastAsia="Arial" w:hAnsi="Arial"/>
          <w:b/>
          <w:bCs/>
          <w:color w:val="1A1A1A"/>
          <w:sz w:val="48"/>
          <w:szCs w:val="48"/>
        </w:rPr>
        <w:t xml:space="preserve">Stranded Gas Bitcoin Mining:</w:t>
      </w:r>
    </w:p>
    <w:p>
      <w:pPr>
        <w:spacing w:before="0" w:after="200"/>
      </w:pPr>
      <w:r>
        <w:rPr>
          <w:rFonts w:ascii="Arial" w:cs="Arial" w:eastAsia="Arial" w:hAnsi="Arial"/>
          <w:b/>
          <w:bCs/>
          <w:color w:val="E8500A"/>
          <w:sz w:val="48"/>
          <w:szCs w:val="48"/>
        </w:rPr>
        <w:t xml:space="preserve">When It Pencils and When It Doesn’t</w:t>
      </w:r>
    </w:p>
    <w:p>
      <w:pPr>
        <w:pBdr>
          <w:bottom w:val="single" w:color="E8D5CC" w:sz="6" w:space="4"/>
        </w:pBdr>
        <w:spacing w:before="0" w:after="320"/>
      </w:pPr>
      <w:r>
        <w:rPr>
          <w:rFonts w:ascii="Arial" w:cs="Arial" w:eastAsia="Arial" w:hAnsi="Arial"/>
          <w:color w:val="4A4A4A"/>
          <w:sz w:val="24"/>
          <w:szCs w:val="24"/>
        </w:rPr>
        <w:t xml:space="preserve">The complete feasibility matrix for evaluating a stranded or flared gas site: volume thresholds, gas quality, wellhead pressure, site conditions, altitude and temperature impacts, Bitcoin price sensitivity, and the four deal structures available.</w:t>
      </w:r>
    </w:p>
    <w:p>
      <w:pPr>
        <w:spacing w:before="2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Gas Volume</w:t>
            </w:r>
          </w:p>
        </w:tc>
        <w:tc>
          <w:tcPr>
            <w:tcW w:type="dxa" w:w="234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Methane Number</w:t>
            </w:r>
          </w:p>
        </w:tc>
        <w:tc>
          <w:tcPr>
            <w:tcW w:type="dxa" w:w="234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Wellhead Pressure</w:t>
            </w:r>
          </w:p>
        </w:tc>
        <w:tc>
          <w:tcPr>
            <w:tcW w:type="dxa" w:w="234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Site Access</w:t>
            </w:r>
          </w:p>
        </w:tc>
      </w:tr>
      <w:tr>
        <w:tc>
          <w:tcPr>
            <w:tcW w:type="dxa" w:w="23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100+ Mcfd minimum</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70+ for standard genset</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25+ psi preferred</w:t>
            </w:r>
          </w:p>
        </w:tc>
        <w:tc>
          <w:tcPr>
            <w:tcW w:type="dxa" w:w="234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All-weather road required</w:t>
            </w:r>
          </w:p>
        </w:tc>
      </w:tr>
    </w:tbl>
    <w:p>
      <w:pPr>
        <w:spacing w:before="240" w:after="12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The Honest Answer to “Does This Work for My Site?”</w:t>
      </w:r>
    </w:p>
    <w:p>
      <w:pPr>
        <w:spacing w:before="100" w:after="140"/>
      </w:pPr>
      <w:r>
        <w:rPr>
          <w:rFonts w:ascii="Arial" w:cs="Arial" w:eastAsia="Arial" w:hAnsi="Arial"/>
          <w:color w:val="4A4A4A"/>
          <w:sz w:val="22"/>
          <w:szCs w:val="22"/>
        </w:rPr>
        <w:t xml:space="preserve">Stranded gas Bitcoin mining works at a lot of sites. It doesn’t work at all of them. The difference between a deployment that generates consistent revenue and one that underperforms or fails entirely almost always comes down to factors that were either not evaluated properly at the outset or not disclosed honestly.</w:t>
      </w:r>
    </w:p>
    <w:p>
      <w:pPr>
        <w:spacing w:before="100" w:after="140"/>
      </w:pPr>
      <w:r>
        <w:rPr>
          <w:rFonts w:ascii="Arial" w:cs="Arial" w:eastAsia="Arial" w:hAnsi="Arial"/>
          <w:color w:val="4A4A4A"/>
          <w:sz w:val="22"/>
          <w:szCs w:val="22"/>
        </w:rPr>
        <w:t xml:space="preserve">This guide exists to give operators, engineers, and potential capital partners a complete, unfiltered feasibility framework. Every variable that determines whether a site pencils is addressed here, along with the thresholds that separate viable from non-viable and the conditions that require extra diligence.</w:t>
      </w:r>
    </w:p>
    <w:p>
      <w:pPr>
        <w:spacing w:before="100" w:after="140"/>
      </w:pPr>
      <w:r>
        <w:rPr>
          <w:rFonts w:ascii="Arial" w:cs="Arial" w:eastAsia="Arial" w:hAnsi="Arial"/>
          <w:color w:val="4A4A4A"/>
          <w:sz w:val="22"/>
          <w:szCs w:val="22"/>
        </w:rPr>
        <w:t xml:space="preserve">Work through this framework against your specific site before booking a call with anyone. If your site clears every threshold, the economics are almost certainly worth exploring. If it fails one or two, there may be structural fixes. If it fails several, the honest answer is that on-lease deployment is probably not the right tool for that location right now.</w:t>
      </w:r>
    </w:p>
    <w:p>
      <w:pPr>
        <w:spacing w:before="80" w:after="8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Variable 1: Gas Volume</w:t>
      </w:r>
    </w:p>
    <w:p>
      <w:pPr>
        <w:spacing w:before="100" w:after="140"/>
      </w:pPr>
      <w:r>
        <w:rPr>
          <w:rFonts w:ascii="Arial" w:cs="Arial" w:eastAsia="Arial" w:hAnsi="Arial"/>
          <w:color w:val="4A4A4A"/>
          <w:sz w:val="22"/>
          <w:szCs w:val="22"/>
        </w:rPr>
        <w:t xml:space="preserve">Gas volume is the most fundamental input. It determines how much generating capacity can be installed, which in turn determines how many miners can be powered, which determines your revenue ceiling. Every other variable in this framework operates within the constraints set by volume.</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260"/>
      </w:tblGrid>
      <w:tr>
        <w:trPr>
          <w:tblHeader/>
        </w:trPr>
        <w:tc>
          <w:tcPr>
            <w:tcW w:type="dxa" w:w="36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Volume Range</w:t>
            </w:r>
          </w:p>
        </w:tc>
        <w:tc>
          <w:tcPr>
            <w:tcW w:type="dxa" w:w="15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Verdict</w:t>
            </w:r>
          </w:p>
        </w:tc>
        <w:tc>
          <w:tcPr>
            <w:tcW w:type="dxa" w:w="426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What It Supports</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Under 75 Mcfd</w:t>
            </w:r>
          </w:p>
        </w:tc>
        <w:tc>
          <w:tcPr>
            <w:tcW w:type="dxa" w:w="1500"/>
            <w:tcBorders>
              <w:top w:val="single" w:color="DDDDDD" w:sz="1"/>
              <w:left w:val="single" w:color="DDDDDD" w:sz="1"/>
              <w:bottom w:val="single" w:color="DDDDDD" w:sz="1"/>
              <w:right w:val="single" w:color="DDDDDD" w:sz="1"/>
            </w:tcBorders>
            <w:shd w:fill="FDECEA" w:val="clear"/>
            <w:tcMar>
              <w:top w:type="dxa" w:w="100"/>
              <w:left w:type="dxa" w:w="150"/>
              <w:bottom w:type="dxa" w:w="100"/>
              <w:right w:type="dxa" w:w="150"/>
            </w:tcMar>
          </w:tcPr>
          <w:p>
            <w:pPr>
              <w:jc w:val="center"/>
            </w:pPr>
            <w:r>
              <w:rPr>
                <w:rFonts w:ascii="Arial" w:cs="Arial" w:eastAsia="Arial" w:hAnsi="Arial"/>
                <w:b/>
                <w:bCs/>
                <w:color w:val="C62828"/>
                <w:sz w:val="20"/>
                <w:szCs w:val="20"/>
              </w:rPr>
              <w:t xml:space="preserve">NO-GO</w:t>
            </w:r>
          </w:p>
        </w:tc>
        <w:tc>
          <w:tcPr>
            <w:tcW w:type="dxa" w:w="42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A4A4A"/>
                <w:sz w:val="20"/>
                <w:szCs w:val="20"/>
              </w:rPr>
              <w:t xml:space="preserve">Below economic threshold for standalone deployment. Cannot support a genset with viable mining capacity.</w:t>
            </w:r>
          </w:p>
        </w:tc>
      </w:tr>
      <w:tr>
        <w:tc>
          <w:tcPr>
            <w:tcW w:type="dxa" w:w="36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75–100 Mcfd</w:t>
            </w:r>
          </w:p>
        </w:tc>
        <w:tc>
          <w:tcPr>
            <w:tcW w:type="dxa" w:w="150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pPr>
              <w:jc w:val="center"/>
            </w:pPr>
            <w:r>
              <w:rPr>
                <w:rFonts w:ascii="Arial" w:cs="Arial" w:eastAsia="Arial" w:hAnsi="Arial"/>
                <w:b/>
                <w:bCs/>
                <w:color w:val="E65100"/>
                <w:sz w:val="20"/>
                <w:szCs w:val="20"/>
              </w:rPr>
              <w:t xml:space="preserve">CAUTION</w:t>
            </w:r>
          </w:p>
        </w:tc>
        <w:tc>
          <w:tcPr>
            <w:tcW w:type="dxa" w:w="42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color w:val="4A4A4A"/>
                <w:sz w:val="20"/>
                <w:szCs w:val="20"/>
              </w:rPr>
              <w:t xml:space="preserve">Marginal. Evaluate pad aggregation with nearby sites or wait for production to stabilize.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100–250 Mcfd</w:t>
            </w:r>
          </w:p>
        </w:tc>
        <w:tc>
          <w:tcPr>
            <w:tcW w:type="dxa" w:w="150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GO</w:t>
            </w:r>
          </w:p>
        </w:tc>
        <w:tc>
          <w:tcPr>
            <w:tcW w:type="dxa" w:w="42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A4A4A"/>
                <w:sz w:val="20"/>
                <w:szCs w:val="20"/>
              </w:rPr>
              <w:t xml:space="preserve">Single genset (150–300 kW). Entry-level deployment. Viable economics at current hashprice.</w:t>
            </w:r>
          </w:p>
        </w:tc>
      </w:tr>
      <w:tr>
        <w:tc>
          <w:tcPr>
            <w:tcW w:type="dxa" w:w="36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250–500 Mcfd</w:t>
            </w:r>
          </w:p>
        </w:tc>
        <w:tc>
          <w:tcPr>
            <w:tcW w:type="dxa" w:w="150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GO</w:t>
            </w:r>
          </w:p>
        </w:tc>
        <w:tc>
          <w:tcPr>
            <w:tcW w:type="dxa" w:w="42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color w:val="4A4A4A"/>
                <w:sz w:val="20"/>
                <w:szCs w:val="20"/>
              </w:rPr>
              <w:t xml:space="preserve">300–600 kW capacity. Strong unit economics. Multi-container configuration.</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500 Mcfd–1 MMcfd</w:t>
            </w:r>
          </w:p>
        </w:tc>
        <w:tc>
          <w:tcPr>
            <w:tcW w:type="dxa" w:w="150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GO</w:t>
            </w:r>
          </w:p>
        </w:tc>
        <w:tc>
          <w:tcPr>
            <w:tcW w:type="dxa" w:w="42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A4A4A"/>
                <w:sz w:val="20"/>
                <w:szCs w:val="20"/>
              </w:rPr>
              <w:t xml:space="preserve">500 kW–1 MW. Highest-priority deployment. Best per-unit economics and revenue potential.</w:t>
            </w:r>
          </w:p>
        </w:tc>
      </w:tr>
      <w:tr>
        <w:tc>
          <w:tcPr>
            <w:tcW w:type="dxa" w:w="36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1 MMcfd+</w:t>
            </w:r>
          </w:p>
        </w:tc>
        <w:tc>
          <w:tcPr>
            <w:tcW w:type="dxa" w:w="150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GO</w:t>
            </w:r>
          </w:p>
        </w:tc>
        <w:tc>
          <w:tcPr>
            <w:tcW w:type="dxa" w:w="42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color w:val="4A4A4A"/>
                <w:sz w:val="20"/>
                <w:szCs w:val="20"/>
              </w:rPr>
              <w:t xml:space="preserve">Multi-MW configuration. Priority placement. Custom deployment structure required.</w:t>
            </w:r>
          </w:p>
        </w:tc>
      </w:tr>
    </w:tbl>
    <w:p>
      <w:pPr>
        <w:spacing w:before="160" w:after="100"/>
      </w:pPr>
      <w:r>
        <w:t xml:space="preserve"/>
      </w:r>
    </w:p>
    <w:p>
      <w:pPr>
        <w:spacing w:before="100" w:after="140"/>
      </w:pPr>
      <w:r>
        <w:rPr>
          <w:rFonts w:ascii="Arial" w:cs="Arial" w:eastAsia="Arial" w:hAnsi="Arial"/>
          <w:color w:val="4A4A4A"/>
          <w:sz w:val="22"/>
          <w:szCs w:val="22"/>
        </w:rPr>
        <w:t xml:space="preserve">Volume stability matters as much as average volume. A pad averaging 200 Mcfd with 60% monthly variability is a harder deploy than one averaging 150 Mcfd with consistent production. Provide 30–90 days of production history during the evaluation—not just a single-point estimate.</w:t>
      </w:r>
    </w:p>
    <w:p>
      <w:pPr>
        <w:spacing w:before="100" w:after="140"/>
      </w:pPr>
      <w:r>
        <w:rPr>
          <w:rFonts w:ascii="Arial" w:cs="Arial" w:eastAsia="Arial" w:hAnsi="Arial"/>
          <w:color w:val="4A4A4A"/>
          <w:sz w:val="22"/>
          <w:szCs w:val="22"/>
        </w:rPr>
        <w:t xml:space="preserve">Natural gas production from oil wells (associated gas) is typically correlated with oil production rates and declines over well life. Factor in the production decline curve when evaluating whether volume thresholds will be maintained over a 12–24 month deployment window.</w:t>
      </w:r>
    </w:p>
    <w:p>
      <w:pPr>
        <w:spacing w:before="80" w:after="8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Variable 2: Gas Quality Requirements</w:t>
      </w:r>
    </w:p>
    <w:p>
      <w:pPr>
        <w:spacing w:before="100" w:after="140"/>
      </w:pPr>
      <w:r>
        <w:rPr>
          <w:rFonts w:ascii="Arial" w:cs="Arial" w:eastAsia="Arial" w:hAnsi="Arial"/>
          <w:color w:val="4A4A4A"/>
          <w:sz w:val="22"/>
          <w:szCs w:val="22"/>
        </w:rPr>
        <w:t xml:space="preserve">Not all natural gas is equivalent for power generation. The methane number, BTU content, and contaminant levels of your gas stream determine which generator sets are appropriate, whether fuel conditioning is required, and whether the stream is deployable at all without pre-treatment.</w:t>
      </w:r>
    </w:p>
    <w:p>
      <w:pPr>
        <w:pStyle w:val="Heading3"/>
        <w:spacing w:before="240" w:after="100"/>
      </w:pPr>
      <w:r>
        <w:rPr>
          <w:rFonts w:ascii="Arial" w:cs="Arial" w:eastAsia="Arial" w:hAnsi="Arial"/>
          <w:b/>
          <w:bCs/>
          <w:color w:val="E8500A"/>
          <w:sz w:val="24"/>
          <w:szCs w:val="24"/>
        </w:rPr>
        <w:t xml:space="preserve">Methane Number</w:t>
      </w:r>
    </w:p>
    <w:p>
      <w:pPr>
        <w:spacing w:before="100" w:after="140"/>
      </w:pPr>
      <w:r>
        <w:rPr>
          <w:rFonts w:ascii="Arial" w:cs="Arial" w:eastAsia="Arial" w:hAnsi="Arial"/>
          <w:color w:val="4A4A4A"/>
          <w:sz w:val="22"/>
          <w:szCs w:val="22"/>
        </w:rPr>
        <w:t xml:space="preserve">Methane number (MN) is a measure of a fuel gas’s resistance to knock in a spark-ignited engine—the higher the number, the better. Pure methane has a methane number of 100. Rich gas streams with high NGL content have lower methane numbers and can cause engine knock, derating, and accelerated wear if the genset is not properly matched.</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Methane Number</w:t>
            </w:r>
          </w:p>
        </w:tc>
        <w:tc>
          <w:tcPr>
            <w:tcW w:type="dxa" w:w="15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Verdict</w:t>
            </w:r>
          </w:p>
        </w:tc>
        <w:tc>
          <w:tcPr>
            <w:tcW w:type="dxa" w:w="536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Implication</w:t>
            </w:r>
          </w:p>
        </w:tc>
      </w:tr>
      <w:tr>
        <w:tc>
          <w:tcPr>
            <w:tcW w:type="dxa" w:w="36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85–100 (lean gas)</w:t>
            </w:r>
          </w:p>
        </w:tc>
        <w:tc>
          <w:tcPr>
            <w:tcW w:type="dxa" w:w="150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GO</w:t>
            </w:r>
          </w:p>
        </w:tc>
        <w:tc>
          <w:tcPr>
            <w:tcW w:type="dxa" w:w="42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color w:val="4A4A4A"/>
                <w:sz w:val="20"/>
                <w:szCs w:val="20"/>
              </w:rPr>
              <w:t xml:space="preserve">Ideal for standard gensets. No conditioning required. Dry Permian Midland, Haynesville, most Marcellus.</w:t>
            </w:r>
          </w:p>
        </w:tc>
      </w:tr>
      <w:tr>
        <w:tc>
          <w:tcPr>
            <w:tcW w:type="dxa" w:w="36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70–85 (moderate richness)</w:t>
            </w:r>
          </w:p>
        </w:tc>
        <w:tc>
          <w:tcPr>
            <w:tcW w:type="dxa" w:w="150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GO</w:t>
            </w:r>
          </w:p>
        </w:tc>
        <w:tc>
          <w:tcPr>
            <w:tcW w:type="dxa" w:w="42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color w:val="4A4A4A"/>
                <w:sz w:val="20"/>
                <w:szCs w:val="20"/>
              </w:rPr>
              <w:t xml:space="preserve">Compatible with most field-grade gensets. Minor derate may apply at high altitude or temperature.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55–70 (rich gas)</w:t>
            </w:r>
          </w:p>
        </w:tc>
        <w:tc>
          <w:tcPr>
            <w:tcW w:type="dxa" w:w="150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pPr>
              <w:jc w:val="center"/>
            </w:pPr>
            <w:r>
              <w:rPr>
                <w:rFonts w:ascii="Arial" w:cs="Arial" w:eastAsia="Arial" w:hAnsi="Arial"/>
                <w:b/>
                <w:bCs/>
                <w:color w:val="E65100"/>
                <w:sz w:val="20"/>
                <w:szCs w:val="20"/>
              </w:rPr>
              <w:t xml:space="preserve">CAUTION</w:t>
            </w:r>
          </w:p>
        </w:tc>
        <w:tc>
          <w:tcPr>
            <w:tcW w:type="dxa" w:w="42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A4A4A"/>
                <w:sz w:val="20"/>
                <w:szCs w:val="20"/>
              </w:rPr>
              <w:t xml:space="preserve">Requires MN-rated genset selection. Potential derate of 10–25%. Rich Delaware Basin, Bakken NGL-heavy streams.</w:t>
            </w:r>
          </w:p>
        </w:tc>
      </w:tr>
      <w:tr>
        <w:tc>
          <w:tcPr>
            <w:tcW w:type="dxa" w:w="36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Below 55</w:t>
            </w:r>
          </w:p>
        </w:tc>
        <w:tc>
          <w:tcPr>
            <w:tcW w:type="dxa" w:w="1500"/>
            <w:tcBorders>
              <w:top w:val="single" w:color="DDDDDD" w:sz="1"/>
              <w:left w:val="single" w:color="DDDDDD" w:sz="1"/>
              <w:bottom w:val="single" w:color="DDDDDD" w:sz="1"/>
              <w:right w:val="single" w:color="DDDDDD" w:sz="1"/>
            </w:tcBorders>
            <w:shd w:fill="FDECEA" w:val="clear"/>
            <w:tcMar>
              <w:top w:type="dxa" w:w="100"/>
              <w:left w:type="dxa" w:w="150"/>
              <w:bottom w:type="dxa" w:w="100"/>
              <w:right w:type="dxa" w:w="150"/>
            </w:tcMar>
          </w:tcPr>
          <w:p>
            <w:pPr>
              <w:jc w:val="center"/>
            </w:pPr>
            <w:r>
              <w:rPr>
                <w:rFonts w:ascii="Arial" w:cs="Arial" w:eastAsia="Arial" w:hAnsi="Arial"/>
                <w:b/>
                <w:bCs/>
                <w:color w:val="C62828"/>
                <w:sz w:val="20"/>
                <w:szCs w:val="20"/>
              </w:rPr>
              <w:t xml:space="preserve">NO-GO</w:t>
            </w:r>
          </w:p>
        </w:tc>
        <w:tc>
          <w:tcPr>
            <w:tcW w:type="dxa" w:w="42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color w:val="4A4A4A"/>
                <w:sz w:val="20"/>
                <w:szCs w:val="20"/>
              </w:rPr>
              <w:t xml:space="preserve">Incompatible with standard spark-ignited gensets without significant conditioning or engine modification.</w:t>
            </w:r>
          </w:p>
        </w:tc>
      </w:tr>
    </w:tbl>
    <w:p>
      <w:pPr>
        <w:spacing w:before="160" w:after="100"/>
      </w:pPr>
      <w:r>
        <w:t xml:space="preserve"/>
      </w:r>
    </w:p>
    <w:p>
      <w:pPr>
        <w:pStyle w:val="Heading3"/>
        <w:spacing w:before="240" w:after="100"/>
      </w:pPr>
      <w:r>
        <w:rPr>
          <w:rFonts w:ascii="Arial" w:cs="Arial" w:eastAsia="Arial" w:hAnsi="Arial"/>
          <w:b/>
          <w:bCs/>
          <w:color w:val="E8500A"/>
          <w:sz w:val="24"/>
          <w:szCs w:val="24"/>
        </w:rPr>
        <w:t xml:space="preserve">Hydrogen Sulfide (H2S) Content</w:t>
      </w:r>
    </w:p>
    <w:p>
      <w:pPr>
        <w:spacing w:before="100" w:after="140"/>
      </w:pPr>
      <w:r>
        <w:rPr>
          <w:rFonts w:ascii="Arial" w:cs="Arial" w:eastAsia="Arial" w:hAnsi="Arial"/>
          <w:color w:val="4A4A4A"/>
          <w:sz w:val="22"/>
          <w:szCs w:val="22"/>
        </w:rPr>
        <w:t xml:space="preserve">H2S above 100 ppm requires H2S-rated equipment, specialized lubricants, and enhanced maintenance intervals. Levels above 500 ppm typically require upstream sweetening before genset use. High-H2S streams are not automatically disqualifying, but they add capital cost and operational complexity that must be factored into the pro forma.</w:t>
      </w:r>
    </w:p>
    <w:p>
      <w:pPr>
        <w:pStyle w:val="Heading3"/>
        <w:spacing w:before="240" w:after="100"/>
      </w:pPr>
      <w:r>
        <w:rPr>
          <w:rFonts w:ascii="Arial" w:cs="Arial" w:eastAsia="Arial" w:hAnsi="Arial"/>
          <w:b/>
          <w:bCs/>
          <w:color w:val="E8500A"/>
          <w:sz w:val="24"/>
          <w:szCs w:val="24"/>
        </w:rPr>
        <w:t xml:space="preserve">CO2 Content</w:t>
      </w:r>
    </w:p>
    <w:p>
      <w:pPr>
        <w:spacing w:before="100" w:after="140"/>
      </w:pPr>
      <w:r>
        <w:rPr>
          <w:rFonts w:ascii="Arial" w:cs="Arial" w:eastAsia="Arial" w:hAnsi="Arial"/>
          <w:color w:val="4A4A4A"/>
          <w:sz w:val="22"/>
          <w:szCs w:val="22"/>
        </w:rPr>
        <w:t xml:space="preserve">CO2 dilutes the BTU value of the gas and reduces genset output. Streams above 5% CO2 by volume will derate generator output meaningfully and should be disclosed upfront. The BTU content of the gas directly determines how much electrical power a given volume can produce—and therefore how much mining capacity it can support.</w:t>
      </w:r>
    </w:p>
    <w:p>
      <w:pPr>
        <w:pStyle w:val="Heading3"/>
        <w:spacing w:before="240" w:after="100"/>
      </w:pPr>
      <w:r>
        <w:rPr>
          <w:rFonts w:ascii="Arial" w:cs="Arial" w:eastAsia="Arial" w:hAnsi="Arial"/>
          <w:b/>
          <w:bCs/>
          <w:color w:val="E8500A"/>
          <w:sz w:val="24"/>
          <w:szCs w:val="24"/>
        </w:rPr>
        <w:t xml:space="preserve">BTU Value and Calorific Adjustment</w:t>
      </w:r>
    </w:p>
    <w:p>
      <w:pPr>
        <w:spacing w:before="100" w:after="140"/>
      </w:pPr>
      <w:r>
        <w:rPr>
          <w:rFonts w:ascii="Arial" w:cs="Arial" w:eastAsia="Arial" w:hAnsi="Arial"/>
          <w:color w:val="4A4A4A"/>
          <w:sz w:val="22"/>
          <w:szCs w:val="22"/>
        </w:rPr>
        <w:t xml:space="preserve">Pipeline-quality natural gas runs approximately 1,000–1,100 BTU/scf. Field gas varies. Rich gas with high NGL content can exceed 1,200 BTU/scf but creates the methane number issues described above. Lean gas or high-CO2 streams may run 900–950 BTU/scf and produce proportionally less power per Mcf. When evaluating gas volumes in Mcfd, always confirm the associated BTU content—power output is a function of BTU, not just volume.</w:t>
      </w:r>
    </w:p>
    <w:p>
      <w:pPr>
        <w:spacing w:before="80" w:after="8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Variable 3: Wellhead Pressure</w:t>
      </w:r>
    </w:p>
    <w:p>
      <w:pPr>
        <w:spacing w:before="100" w:after="140"/>
      </w:pPr>
      <w:r>
        <w:rPr>
          <w:rFonts w:ascii="Arial" w:cs="Arial" w:eastAsia="Arial" w:hAnsi="Arial"/>
          <w:color w:val="4A4A4A"/>
          <w:sz w:val="22"/>
          <w:szCs w:val="22"/>
        </w:rPr>
        <w:t xml:space="preserve">Generator sets require fuel gas delivered at a minimum inlet pressure—typically 1–10 psi depending on the engine model. Field gas at the wellhead is often at much higher pressure and must be regulated down. The question is not whether you have enough pressure; it’s whether you have a stable, controllable pressure available after accounting for any pipeline obligation.</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Wellhead Pressure</w:t>
            </w:r>
          </w:p>
        </w:tc>
        <w:tc>
          <w:tcPr>
            <w:tcW w:type="dxa" w:w="15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Verdict</w:t>
            </w:r>
          </w:p>
        </w:tc>
        <w:tc>
          <w:tcPr>
            <w:tcW w:type="dxa" w:w="506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Notes</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25 psi or above</w:t>
            </w:r>
          </w:p>
        </w:tc>
        <w:tc>
          <w:tcPr>
            <w:tcW w:type="dxa" w:w="150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GO</w:t>
            </w:r>
          </w:p>
        </w:tc>
        <w:tc>
          <w:tcPr>
            <w:tcW w:type="dxa" w:w="42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A4A4A"/>
                <w:sz w:val="20"/>
                <w:szCs w:val="20"/>
              </w:rPr>
              <w:t xml:space="preserve">Standard regulator installation. No additional compression required. Typical for active producing wells.</w:t>
            </w:r>
          </w:p>
        </w:tc>
      </w:tr>
      <w:tr>
        <w:tc>
          <w:tcPr>
            <w:tcW w:type="dxa" w:w="36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10–25 psi</w:t>
            </w:r>
          </w:p>
        </w:tc>
        <w:tc>
          <w:tcPr>
            <w:tcW w:type="dxa" w:w="150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GO</w:t>
            </w:r>
          </w:p>
        </w:tc>
        <w:tc>
          <w:tcPr>
            <w:tcW w:type="dxa" w:w="42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color w:val="4A4A4A"/>
                <w:sz w:val="20"/>
                <w:szCs w:val="20"/>
              </w:rPr>
              <w:t xml:space="preserve">Low-pressure regulator configuration. Viable with proper sizing. Monitor for further pressure decline.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5–10 psi</w:t>
            </w:r>
          </w:p>
        </w:tc>
        <w:tc>
          <w:tcPr>
            <w:tcW w:type="dxa" w:w="150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pPr>
              <w:jc w:val="center"/>
            </w:pPr>
            <w:r>
              <w:rPr>
                <w:rFonts w:ascii="Arial" w:cs="Arial" w:eastAsia="Arial" w:hAnsi="Arial"/>
                <w:b/>
                <w:bCs/>
                <w:color w:val="E65100"/>
                <w:sz w:val="20"/>
                <w:szCs w:val="20"/>
              </w:rPr>
              <w:t xml:space="preserve">CAUTION</w:t>
            </w:r>
          </w:p>
        </w:tc>
        <w:tc>
          <w:tcPr>
            <w:tcW w:type="dxa" w:w="42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4A4A4A"/>
                <w:sz w:val="20"/>
                <w:szCs w:val="20"/>
              </w:rPr>
              <w:t xml:space="preserve">Near the lower limit for direct fuel delivery. Compression booster may be required. Adds capital cost.</w:t>
            </w:r>
          </w:p>
        </w:tc>
      </w:tr>
      <w:tr>
        <w:tc>
          <w:tcPr>
            <w:tcW w:type="dxa" w:w="36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Below 5 psi</w:t>
            </w:r>
          </w:p>
        </w:tc>
        <w:tc>
          <w:tcPr>
            <w:tcW w:type="dxa" w:w="1500"/>
            <w:tcBorders>
              <w:top w:val="single" w:color="DDDDDD" w:sz="1"/>
              <w:left w:val="single" w:color="DDDDDD" w:sz="1"/>
              <w:bottom w:val="single" w:color="DDDDDD" w:sz="1"/>
              <w:right w:val="single" w:color="DDDDDD" w:sz="1"/>
            </w:tcBorders>
            <w:shd w:fill="FDECEA" w:val="clear"/>
            <w:tcMar>
              <w:top w:type="dxa" w:w="100"/>
              <w:left w:type="dxa" w:w="150"/>
              <w:bottom w:type="dxa" w:w="100"/>
              <w:right w:type="dxa" w:w="150"/>
            </w:tcMar>
          </w:tcPr>
          <w:p>
            <w:pPr>
              <w:jc w:val="center"/>
            </w:pPr>
            <w:r>
              <w:rPr>
                <w:rFonts w:ascii="Arial" w:cs="Arial" w:eastAsia="Arial" w:hAnsi="Arial"/>
                <w:b/>
                <w:bCs/>
                <w:color w:val="C62828"/>
                <w:sz w:val="20"/>
                <w:szCs w:val="20"/>
              </w:rPr>
              <w:t xml:space="preserve">NO-GO</w:t>
            </w:r>
          </w:p>
        </w:tc>
        <w:tc>
          <w:tcPr>
            <w:tcW w:type="dxa" w:w="42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color w:val="4A4A4A"/>
                <w:sz w:val="20"/>
                <w:szCs w:val="20"/>
              </w:rPr>
              <w:t xml:space="preserve">Gas lift or compression required before genset use. Economic case must absorb compression CapEx.</w:t>
            </w:r>
          </w:p>
        </w:tc>
      </w:tr>
    </w:tbl>
    <w:p>
      <w:pPr>
        <w:spacing w:before="160" w:after="100"/>
      </w:pPr>
      <w:r>
        <w:t xml:space="preserve"/>
      </w:r>
    </w:p>
    <w:p>
      <w:pPr>
        <w:spacing w:before="100" w:after="140"/>
      </w:pPr>
      <w:r>
        <w:rPr>
          <w:rFonts w:ascii="Arial" w:cs="Arial" w:eastAsia="Arial" w:hAnsi="Arial"/>
          <w:color w:val="4A4A4A"/>
          <w:sz w:val="22"/>
          <w:szCs w:val="22"/>
        </w:rPr>
        <w:t xml:space="preserve">Pressure varies with production rate, temperature, and season. A well producing at 40 psi in summer may drop to 12 psi in a cold North Dakota January. If the site is in a cold-weather basin, evaluate minimum expected wellhead pressure under winter conditions—not average annual pressure.</w:t>
      </w:r>
    </w:p>
    <w:p>
      <w:pPr>
        <w:spacing w:before="80" w:after="8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Variable 4: Site Access and Physical Conditions</w:t>
      </w:r>
    </w:p>
    <w:p>
      <w:pPr>
        <w:spacing w:before="100" w:after="140"/>
      </w:pPr>
      <w:r>
        <w:rPr>
          <w:rFonts w:ascii="Arial" w:cs="Arial" w:eastAsia="Arial" w:hAnsi="Arial"/>
          <w:color w:val="4A4A4A"/>
          <w:sz w:val="22"/>
          <w:szCs w:val="22"/>
        </w:rPr>
        <w:t xml:space="preserve">The generator, transformer, and mining containers must be delivered to the site, installed, and serviced on a recurring basis. Sites that are inaccessible by standard heavy equipment—or that become inaccessible seasonally—create operational risk that directly affects uptime and revenue.</w:t>
      </w:r>
    </w:p>
    <w:p>
      <w:pPr>
        <w:pStyle w:val="Heading3"/>
        <w:spacing w:before="240" w:after="100"/>
      </w:pPr>
      <w:r>
        <w:rPr>
          <w:rFonts w:ascii="Arial" w:cs="Arial" w:eastAsia="Arial" w:hAnsi="Arial"/>
          <w:b/>
          <w:bCs/>
          <w:color w:val="E8500A"/>
          <w:sz w:val="24"/>
          <w:szCs w:val="24"/>
        </w:rPr>
        <w:t xml:space="preserve">Road Access</w:t>
      </w:r>
    </w:p>
    <w:p>
      <w:pPr>
        <w:spacing w:before="100" w:after="140"/>
      </w:pPr>
      <w:r>
        <w:rPr>
          <w:rFonts w:ascii="Arial" w:cs="Arial" w:eastAsia="Arial" w:hAnsi="Arial"/>
          <w:color w:val="4A4A4A"/>
          <w:sz w:val="22"/>
          <w:szCs w:val="22"/>
        </w:rPr>
        <w:t xml:space="preserve">All-weather road access to the pad is required. Gravel or compacted surface roads that become impassable in wet conditions are a maintenance liability. Service calls that require a day of road work before a technician can reach the site are not acceptable in a deployment with contractual uptime commitments. Seasonal access restrictions must be identified and addressed in the deployment agreement.</w:t>
      </w:r>
    </w:p>
    <w:p>
      <w:pPr>
        <w:pStyle w:val="Heading3"/>
        <w:spacing w:before="240" w:after="100"/>
      </w:pPr>
      <w:r>
        <w:rPr>
          <w:rFonts w:ascii="Arial" w:cs="Arial" w:eastAsia="Arial" w:hAnsi="Arial"/>
          <w:b/>
          <w:bCs/>
          <w:color w:val="E8500A"/>
          <w:sz w:val="24"/>
          <w:szCs w:val="24"/>
        </w:rPr>
        <w:t xml:space="preserve">Available Pad Space</w:t>
      </w:r>
    </w:p>
    <w:p>
      <w:pPr>
        <w:spacing w:before="100" w:after="140"/>
      </w:pPr>
      <w:r>
        <w:rPr>
          <w:rFonts w:ascii="Arial" w:cs="Arial" w:eastAsia="Arial" w:hAnsi="Arial"/>
          <w:color w:val="4A4A4A"/>
          <w:sz w:val="22"/>
          <w:szCs w:val="22"/>
        </w:rPr>
        <w:t xml:space="preserve">A standard entry-level deployment requires approximately 40–60 feet of clear, level pad space for container placement, plus clearance for the generator set and transformer. Larger multi-container deployments require proportionally more space. Pad photos and a site survey are part of the standard evaluation process—virtual walkthroughs via video call are acceptable for initial screening.</w:t>
      </w:r>
    </w:p>
    <w:p>
      <w:pPr>
        <w:pStyle w:val="Heading3"/>
        <w:spacing w:before="240" w:after="100"/>
      </w:pPr>
      <w:r>
        <w:rPr>
          <w:rFonts w:ascii="Arial" w:cs="Arial" w:eastAsia="Arial" w:hAnsi="Arial"/>
          <w:b/>
          <w:bCs/>
          <w:color w:val="E8500A"/>
          <w:sz w:val="24"/>
          <w:szCs w:val="24"/>
        </w:rPr>
        <w:t xml:space="preserve">Security</w:t>
      </w:r>
    </w:p>
    <w:p>
      <w:pPr>
        <w:spacing w:before="100" w:after="140"/>
      </w:pPr>
      <w:r>
        <w:rPr>
          <w:rFonts w:ascii="Arial" w:cs="Arial" w:eastAsia="Arial" w:hAnsi="Arial"/>
          <w:color w:val="4A4A4A"/>
          <w:sz w:val="22"/>
          <w:szCs w:val="22"/>
        </w:rPr>
        <w:t xml:space="preserve">Bitcoin mining containers represent significant capital equipment ($150,000–$500,000+ depending on configuration). Sites without perimeter security, lighting, or camera coverage are higher-risk deployments. Security requirements are discussed during site evaluation. Remote locations with low traffic are often less of a concern than semi-rural locations near populated areas.</w:t>
      </w:r>
    </w:p>
    <w:p>
      <w:pPr>
        <w:pStyle w:val="Heading3"/>
        <w:spacing w:before="240" w:after="100"/>
      </w:pPr>
      <w:r>
        <w:rPr>
          <w:rFonts w:ascii="Arial" w:cs="Arial" w:eastAsia="Arial" w:hAnsi="Arial"/>
          <w:b/>
          <w:bCs/>
          <w:color w:val="E8500A"/>
          <w:sz w:val="24"/>
          <w:szCs w:val="24"/>
        </w:rPr>
        <w:t xml:space="preserve">Connectivity</w:t>
      </w:r>
    </w:p>
    <w:p>
      <w:pPr>
        <w:spacing w:before="100" w:after="140"/>
      </w:pPr>
      <w:r>
        <w:rPr>
          <w:rFonts w:ascii="Arial" w:cs="Arial" w:eastAsia="Arial" w:hAnsi="Arial"/>
          <w:color w:val="4A4A4A"/>
          <w:sz w:val="22"/>
          <w:szCs w:val="22"/>
        </w:rPr>
        <w:t xml:space="preserve">Mining equipment requires a continuous internet connection for pool communication. In remote field locations, this is typically provided via Starlink satellite. Minimum bandwidth requirements are modest—standard ASIC miners require less than 1 Mbps per unit—but latency and uptime matter for pool connectivity. Starlink availability should be confirmed for the specific geographic coordinates of the site before deployment planning begins.</w:t>
      </w:r>
    </w:p>
    <w:p>
      <w:pPr>
        <w:spacing w:before="80" w:after="8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Variable 5: Altitude and Ambient Temperature Impacts on Generator Output</w:t>
      </w:r>
    </w:p>
    <w:p>
      <w:pPr>
        <w:spacing w:before="100" w:after="140"/>
      </w:pPr>
      <w:r>
        <w:rPr>
          <w:rFonts w:ascii="Arial" w:cs="Arial" w:eastAsia="Arial" w:hAnsi="Arial"/>
          <w:color w:val="4A4A4A"/>
          <w:sz w:val="22"/>
          <w:szCs w:val="22"/>
        </w:rPr>
        <w:t xml:space="preserve">This is the variable most commonly ignored in initial feasibility conversations—and it’s one of the most impactful. A generator rated at 500 kW at sea level in mild conditions will not produce 500 kW at 6,500 feet elevation in a 95°F Permian summer. Understanding derate is not optional if you want an accurate revenue projection.</w:t>
      </w:r>
    </w:p>
    <w:p>
      <w:pPr>
        <w:pStyle w:val="Heading3"/>
        <w:spacing w:before="240" w:after="100"/>
      </w:pPr>
      <w:r>
        <w:rPr>
          <w:rFonts w:ascii="Arial" w:cs="Arial" w:eastAsia="Arial" w:hAnsi="Arial"/>
          <w:b/>
          <w:bCs/>
          <w:color w:val="E8500A"/>
          <w:sz w:val="24"/>
          <w:szCs w:val="24"/>
        </w:rPr>
        <w:t xml:space="preserve">Altitude Derate</w:t>
      </w:r>
    </w:p>
    <w:p>
      <w:pPr>
        <w:spacing w:before="100" w:after="140"/>
      </w:pPr>
      <w:r>
        <w:rPr>
          <w:rFonts w:ascii="Arial" w:cs="Arial" w:eastAsia="Arial" w:hAnsi="Arial"/>
          <w:color w:val="4A4A4A"/>
          <w:sz w:val="22"/>
          <w:szCs w:val="22"/>
        </w:rPr>
        <w:t xml:space="preserve">Most spark-ignited gas generator sets derate approximately 3–4% of rated output per 1,000 feet of elevation above sea level. A 500 kW unit at 5,000 feet elevation is producing approximately 425–450 kW under standard conditions—a 10–15% reduction in revenue capacity before temperature is factored in.</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tblHeader/>
        </w:trPr>
        <w:tc>
          <w:tcPr>
            <w:tcW w:type="dxa" w:w="28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Elevation</w:t>
            </w:r>
          </w:p>
        </w:tc>
        <w:tc>
          <w:tcPr>
            <w:tcW w:type="dxa" w:w="228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Approx. Derate</w:t>
            </w:r>
          </w:p>
        </w:tc>
        <w:tc>
          <w:tcPr>
            <w:tcW w:type="dxa" w:w="228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Effective Output (500 kW unit)</w:t>
            </w:r>
          </w:p>
        </w:tc>
        <w:tc>
          <w:tcPr>
            <w:tcW w:type="dxa" w:w="20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Basin Examples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Sea level – 1,000 ft</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0–3%</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485–500 kW</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Gulf Coast, South TX</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1,000–3,000 ft</w:t>
            </w:r>
          </w:p>
        </w:tc>
        <w:tc>
          <w:tcPr>
            <w:tcW w:type="dxa" w:w="22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3–9%</w:t>
            </w:r>
          </w:p>
        </w:tc>
        <w:tc>
          <w:tcPr>
            <w:tcW w:type="dxa" w:w="22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455–485 kW</w:t>
            </w:r>
          </w:p>
        </w:tc>
        <w:tc>
          <w:tcPr>
            <w:tcW w:type="dxa" w:w="20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East TX, N. Dakota</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3,000–5,000 ft</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9–15%</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425–455 kW</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Permian, Anadarko</w:t>
            </w:r>
          </w:p>
        </w:tc>
      </w:tr>
      <w:tr>
        <w:tc>
          <w:tcPr>
            <w:tcW w:type="dxa" w:w="2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5,000–7,000 ft</w:t>
            </w:r>
          </w:p>
        </w:tc>
        <w:tc>
          <w:tcPr>
            <w:tcW w:type="dxa" w:w="22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15–21%</w:t>
            </w:r>
          </w:p>
        </w:tc>
        <w:tc>
          <w:tcPr>
            <w:tcW w:type="dxa" w:w="228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395–425 kW</w:t>
            </w:r>
          </w:p>
        </w:tc>
        <w:tc>
          <w:tcPr>
            <w:tcW w:type="dxa" w:w="20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DJ Basin, Pinedale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7,000 ft+</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21%+</w:t>
            </w:r>
          </w:p>
        </w:tc>
        <w:tc>
          <w:tcPr>
            <w:tcW w:type="dxa" w:w="22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Below 395 kW</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Green River, high Rockies</w:t>
            </w:r>
          </w:p>
        </w:tc>
      </w:tr>
    </w:tbl>
    <w:p>
      <w:pPr>
        <w:spacing w:before="160" w:after="100"/>
      </w:pPr>
      <w:r>
        <w:t xml:space="preserve"/>
      </w:r>
    </w:p>
    <w:p>
      <w:pPr>
        <w:pStyle w:val="Heading3"/>
        <w:spacing w:before="240" w:after="100"/>
      </w:pPr>
      <w:r>
        <w:rPr>
          <w:rFonts w:ascii="Arial" w:cs="Arial" w:eastAsia="Arial" w:hAnsi="Arial"/>
          <w:b/>
          <w:bCs/>
          <w:color w:val="E8500A"/>
          <w:sz w:val="24"/>
          <w:szCs w:val="24"/>
        </w:rPr>
        <w:t xml:space="preserve">Temperature Derate</w:t>
      </w:r>
    </w:p>
    <w:p>
      <w:pPr>
        <w:spacing w:before="100" w:after="140"/>
      </w:pPr>
      <w:r>
        <w:rPr>
          <w:rFonts w:ascii="Arial" w:cs="Arial" w:eastAsia="Arial" w:hAnsi="Arial"/>
          <w:color w:val="4A4A4A"/>
          <w:sz w:val="22"/>
          <w:szCs w:val="22"/>
        </w:rPr>
        <w:t xml:space="preserve">High ambient temperatures reduce air density and increase cooling loads, both of which derate generator output. Most manufacturers rate equipment at 77°F (25°C). Above that, derate begins—typically 0.5–1.0% per 10°F above the rating point. A summer day in the Permian Basin regularly reaches 100–110°F, adding another 5–10% derate on top of altitude effects.</w:t>
      </w:r>
    </w:p>
    <w:p>
      <w:pPr>
        <w:spacing w:before="100" w:after="140"/>
      </w:pPr>
      <w:r>
        <w:rPr>
          <w:rFonts w:ascii="Arial" w:cs="Arial" w:eastAsia="Arial" w:hAnsi="Arial"/>
          <w:color w:val="4A4A4A"/>
          <w:sz w:val="22"/>
          <w:szCs w:val="22"/>
        </w:rPr>
        <w:t xml:space="preserve">Cold weather creates the inverse problem: startup concerns, fuel line issues, and viscosity challenges for lubricants rather than power reduction. Extreme cold (below −20°F) requires cold-weather packages on the generator and container thermal management. This is standard for Bakken and Pinedale deployments but adds capital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0A" w:sz="8"/>
              <w:left w:val="single" w:color="E8500A" w:sz="8"/>
              <w:bottom w:val="single" w:color="DDDDDD" w:sz="1"/>
              <w:right w:val="single" w:color="DDDDDD" w:sz="1"/>
            </w:tcBorders>
            <w:shd w:fill="FFF6F2" w:val="clear"/>
            <w:tcMar>
              <w:top w:type="dxa" w:w="160"/>
              <w:left w:type="dxa" w:w="200"/>
              <w:bottom w:type="dxa" w:w="160"/>
              <w:right w:type="dxa" w:w="200"/>
            </w:tcMar>
          </w:tcPr>
          <w:p>
            <w:pPr>
              <w:spacing w:before="0" w:after="80"/>
            </w:pPr>
            <w:r>
              <w:rPr>
                <w:rFonts w:ascii="Arial" w:cs="Arial" w:eastAsia="Arial" w:hAnsi="Arial"/>
                <w:b/>
                <w:bCs/>
                <w:color w:val="E8500A"/>
                <w:sz w:val="22"/>
                <w:szCs w:val="22"/>
              </w:rPr>
              <w:t xml:space="preserve">DERATE COMPOUNDS</w:t>
            </w:r>
          </w:p>
          <w:p>
            <w:pPr>
              <w:spacing w:before="0" w:after="0"/>
            </w:pPr>
            <w:r>
              <w:rPr>
                <w:rFonts w:ascii="Arial" w:cs="Arial" w:eastAsia="Arial" w:hAnsi="Arial"/>
                <w:color w:val="4A4A4A"/>
                <w:sz w:val="22"/>
                <w:szCs w:val="22"/>
              </w:rPr>
              <w:t xml:space="preserve">Altitude and temperature derate are additive. A DJ Basin site at 5,500 feet elevation on a 95°F summer day might see combined derate of 18–25% off nameplate capacity. MCF.digital sizes all deployments against derated output—not nameplate ratings. Any pro forma that uses nameplate capacity without a derate adjustment is overstating your revenue potential.</w:t>
            </w:r>
          </w:p>
        </w:tc>
      </w:tr>
    </w:tbl>
    <w:p>
      <w:pPr>
        <w:spacing w:before="200" w:after="12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Variable 6: Bitcoin Price Sensitivity</w:t>
      </w:r>
    </w:p>
    <w:p>
      <w:pPr>
        <w:spacing w:before="100" w:after="140"/>
      </w:pPr>
      <w:r>
        <w:rPr>
          <w:rFonts w:ascii="Arial" w:cs="Arial" w:eastAsia="Arial" w:hAnsi="Arial"/>
          <w:color w:val="4A4A4A"/>
          <w:sz w:val="22"/>
          <w:szCs w:val="22"/>
        </w:rPr>
        <w:t xml:space="preserve">Bitcoin price is the most visible variable in this framework and the one operators ask about most. It is also the variable that’s most manageable through deal structure—which is what most conversations about BTC price risk miss.</w:t>
      </w:r>
    </w:p>
    <w:p>
      <w:pPr>
        <w:spacing w:before="100" w:after="140"/>
      </w:pPr>
      <w:r>
        <w:rPr>
          <w:rFonts w:ascii="Arial" w:cs="Arial" w:eastAsia="Arial" w:hAnsi="Arial"/>
          <w:color w:val="4A4A4A"/>
          <w:sz w:val="22"/>
          <w:szCs w:val="22"/>
        </w:rPr>
        <w:t xml:space="preserve">The relevant metric is not Bitcoin’s spot price in isolation. It is hashprice: daily revenue per terahash of mining power. Hashprice is determined by Bitcoin price, block subsidy, and network difficulty. When Bitcoin price rises, hashprice rises. When network difficulty increases faster than price, hashprice declines. Revenue projections must use hashprice sensitivity, not just BTC price scenarios.</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20"/>
        <w:gridCol w:w="2220"/>
        <w:gridCol w:w="2420"/>
      </w:tblGrid>
      <w:tr>
        <w:trPr>
          <w:tblHeader/>
        </w:trPr>
        <w:tc>
          <w:tcPr>
            <w:tcW w:type="dxa" w:w="25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Hashprice Scenario</w:t>
            </w:r>
          </w:p>
        </w:tc>
        <w:tc>
          <w:tcPr>
            <w:tcW w:type="dxa" w:w="222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Hosting Revenue
(100 Mcfd site)</w:t>
            </w:r>
          </w:p>
        </w:tc>
        <w:tc>
          <w:tcPr>
            <w:tcW w:type="dxa" w:w="222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Revenue Share
(50/50, 100 Mcfd)</w:t>
            </w:r>
          </w:p>
        </w:tc>
        <w:tc>
          <w:tcPr>
            <w:tcW w:type="dxa" w:w="242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Operator’s Pipeline
Alternative</w:t>
            </w:r>
          </w:p>
        </w:tc>
      </w:tr>
      <w:tr>
        <w:tc>
          <w:tcPr>
            <w:tcW w:type="dxa" w:w="250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r>
              <w:rPr>
                <w:rFonts w:ascii="Arial" w:cs="Arial" w:eastAsia="Arial" w:hAnsi="Arial"/>
                <w:b/>
                <w:bCs/>
                <w:color w:val="1A1A1A"/>
                <w:sz w:val="20"/>
                <w:szCs w:val="20"/>
              </w:rPr>
              <w:t xml:space="preserve">Strong (×2.0 current)</w:t>
            </w:r>
          </w:p>
        </w:tc>
        <w:tc>
          <w:tcPr>
            <w:tcW w:type="dxa" w:w="222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r>
              <w:rPr>
                <w:rFonts w:ascii="Arial" w:cs="Arial" w:eastAsia="Arial" w:hAnsi="Arial"/>
                <w:b w:val="false"/>
                <w:bCs w:val="false"/>
                <w:color w:val="4A4A4A"/>
                <w:sz w:val="20"/>
                <w:szCs w:val="20"/>
              </w:rPr>
              <w:t xml:space="preserve">~$9,000–12,000/mo</w:t>
            </w:r>
          </w:p>
        </w:tc>
        <w:tc>
          <w:tcPr>
            <w:tcW w:type="dxa" w:w="2220"/>
            <w:tcBorders>
              <w:top w:val="single" w:color="DDDDDD" w:sz="1"/>
              <w:left w:val="single" w:color="DDDDDD" w:sz="1"/>
              <w:bottom w:val="single" w:color="DDDDDD" w:sz="1"/>
              <w:right w:val="single" w:color="DDDDDD" w:sz="1"/>
            </w:tcBorders>
            <w:shd w:fill="EAF5EA" w:val="clear"/>
            <w:tcMar>
              <w:top w:type="dxa" w:w="100"/>
              <w:left w:type="dxa" w:w="150"/>
              <w:bottom w:type="dxa" w:w="100"/>
              <w:right w:type="dxa" w:w="150"/>
            </w:tcMar>
          </w:tcPr>
          <w:p>
            <w:r>
              <w:rPr>
                <w:rFonts w:ascii="Arial" w:cs="Arial" w:eastAsia="Arial" w:hAnsi="Arial"/>
                <w:b w:val="false"/>
                <w:bCs w:val="false"/>
                <w:color w:val="4A4A4A"/>
                <w:sz w:val="20"/>
                <w:szCs w:val="20"/>
              </w:rPr>
              <w:t xml:space="preserve">~$14,000–20,000/mo</w:t>
            </w:r>
          </w:p>
        </w:tc>
        <w:tc>
          <w:tcPr>
            <w:tcW w:type="dxa" w:w="242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~$4,500–6,000/mo</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Current baseline</w:t>
            </w:r>
          </w:p>
        </w:tc>
        <w:tc>
          <w:tcPr>
            <w:tcW w:type="dxa" w:w="22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~$5,000–7,000/mo</w:t>
            </w:r>
          </w:p>
        </w:tc>
        <w:tc>
          <w:tcPr>
            <w:tcW w:type="dxa" w:w="22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~$7,000–11,000/mo</w:t>
            </w:r>
          </w:p>
        </w:tc>
        <w:tc>
          <w:tcPr>
            <w:tcW w:type="dxa" w:w="242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~$4,500–6,000/mo</w:t>
            </w:r>
          </w:p>
        </w:tc>
      </w:tr>
      <w:tr>
        <w:tc>
          <w:tcPr>
            <w:tcW w:type="dxa" w:w="250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bCs/>
                <w:color w:val="1A1A1A"/>
                <w:sz w:val="20"/>
                <w:szCs w:val="20"/>
              </w:rPr>
              <w:t xml:space="preserve">Moderate stress (÷1.5)</w:t>
            </w:r>
          </w:p>
        </w:tc>
        <w:tc>
          <w:tcPr>
            <w:tcW w:type="dxa" w:w="222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~$3,500–5,000/mo</w:t>
            </w:r>
          </w:p>
        </w:tc>
        <w:tc>
          <w:tcPr>
            <w:tcW w:type="dxa" w:w="2220"/>
            <w:tcBorders>
              <w:top w:val="single" w:color="DDDDDD" w:sz="1"/>
              <w:left w:val="single" w:color="DDDDDD" w:sz="1"/>
              <w:bottom w:val="single" w:color="DDDDDD" w:sz="1"/>
              <w:right w:val="single" w:color="DDDDDD" w:sz="1"/>
            </w:tcBorders>
            <w:shd w:fill="FEF9E7" w:val="clear"/>
            <w:tcMar>
              <w:top w:type="dxa" w:w="100"/>
              <w:left w:type="dxa" w:w="150"/>
              <w:bottom w:type="dxa" w:w="100"/>
              <w:right w:type="dxa" w:w="150"/>
            </w:tcMar>
          </w:tcPr>
          <w:p>
            <w:r>
              <w:rPr>
                <w:rFonts w:ascii="Arial" w:cs="Arial" w:eastAsia="Arial" w:hAnsi="Arial"/>
                <w:b w:val="false"/>
                <w:bCs w:val="false"/>
                <w:color w:val="4A4A4A"/>
                <w:sz w:val="20"/>
                <w:szCs w:val="20"/>
              </w:rPr>
              <w:t xml:space="preserve">~$4,500–7,000/mo</w:t>
            </w:r>
          </w:p>
        </w:tc>
        <w:tc>
          <w:tcPr>
            <w:tcW w:type="dxa" w:w="242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~$4,500–6,000/mo</w:t>
            </w:r>
          </w:p>
        </w:tc>
      </w:tr>
      <w:tr>
        <w:tc>
          <w:tcPr>
            <w:tcW w:type="dxa" w:w="2500"/>
            <w:tcBorders>
              <w:top w:val="single" w:color="DDDDDD" w:sz="1"/>
              <w:left w:val="single" w:color="DDDDDD" w:sz="1"/>
              <w:bottom w:val="single" w:color="DDDDDD" w:sz="1"/>
              <w:right w:val="single" w:color="DDDDDD" w:sz="1"/>
            </w:tcBorders>
            <w:shd w:fill="FDECEA" w:val="clear"/>
            <w:tcMar>
              <w:top w:type="dxa" w:w="100"/>
              <w:left w:type="dxa" w:w="150"/>
              <w:bottom w:type="dxa" w:w="100"/>
              <w:right w:type="dxa" w:w="150"/>
            </w:tcMar>
          </w:tcPr>
          <w:p>
            <w:r>
              <w:rPr>
                <w:rFonts w:ascii="Arial" w:cs="Arial" w:eastAsia="Arial" w:hAnsi="Arial"/>
                <w:b/>
                <w:bCs/>
                <w:color w:val="1A1A1A"/>
                <w:sz w:val="20"/>
                <w:szCs w:val="20"/>
              </w:rPr>
              <w:t xml:space="preserve">Severe stress (÷3.0)</w:t>
            </w:r>
          </w:p>
        </w:tc>
        <w:tc>
          <w:tcPr>
            <w:tcW w:type="dxa" w:w="2220"/>
            <w:tcBorders>
              <w:top w:val="single" w:color="DDDDDD" w:sz="1"/>
              <w:left w:val="single" w:color="DDDDDD" w:sz="1"/>
              <w:bottom w:val="single" w:color="DDDDDD" w:sz="1"/>
              <w:right w:val="single" w:color="DDDDDD" w:sz="1"/>
            </w:tcBorders>
            <w:shd w:fill="FDECEA" w:val="clear"/>
            <w:tcMar>
              <w:top w:type="dxa" w:w="100"/>
              <w:left w:type="dxa" w:w="150"/>
              <w:bottom w:type="dxa" w:w="100"/>
              <w:right w:type="dxa" w:w="150"/>
            </w:tcMar>
          </w:tcPr>
          <w:p>
            <w:r>
              <w:rPr>
                <w:rFonts w:ascii="Arial" w:cs="Arial" w:eastAsia="Arial" w:hAnsi="Arial"/>
                <w:b w:val="false"/>
                <w:bCs w:val="false"/>
                <w:color w:val="4A4A4A"/>
                <w:sz w:val="20"/>
                <w:szCs w:val="20"/>
              </w:rPr>
              <w:t xml:space="preserve">~$2,000–3,000/mo</w:t>
            </w:r>
          </w:p>
        </w:tc>
        <w:tc>
          <w:tcPr>
            <w:tcW w:type="dxa" w:w="2220"/>
            <w:tcBorders>
              <w:top w:val="single" w:color="DDDDDD" w:sz="1"/>
              <w:left w:val="single" w:color="DDDDDD" w:sz="1"/>
              <w:bottom w:val="single" w:color="DDDDDD" w:sz="1"/>
              <w:right w:val="single" w:color="DDDDDD" w:sz="1"/>
            </w:tcBorders>
            <w:shd w:fill="FDECEA" w:val="clear"/>
            <w:tcMar>
              <w:top w:type="dxa" w:w="100"/>
              <w:left w:type="dxa" w:w="150"/>
              <w:bottom w:type="dxa" w:w="100"/>
              <w:right w:type="dxa" w:w="150"/>
            </w:tcMar>
          </w:tcPr>
          <w:p>
            <w:r>
              <w:rPr>
                <w:rFonts w:ascii="Arial" w:cs="Arial" w:eastAsia="Arial" w:hAnsi="Arial"/>
                <w:b w:val="false"/>
                <w:bCs w:val="false"/>
                <w:color w:val="4A4A4A"/>
                <w:sz w:val="20"/>
                <w:szCs w:val="20"/>
              </w:rPr>
              <w:t xml:space="preserve">~$2,500–4,000/mo</w:t>
            </w:r>
          </w:p>
        </w:tc>
        <w:tc>
          <w:tcPr>
            <w:tcW w:type="dxa" w:w="242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~$4,500–6,000/mo</w:t>
            </w:r>
          </w:p>
        </w:tc>
      </w:tr>
    </w:tbl>
    <w:p>
      <w:pPr>
        <w:spacing w:before="140" w:after="80"/>
      </w:pPr>
      <w:r>
        <w:t xml:space="preserve"/>
      </w:r>
    </w:p>
    <w:p>
      <w:pPr>
        <w:spacing w:before="100" w:after="140"/>
      </w:pPr>
      <w:r>
        <w:rPr>
          <w:rFonts w:ascii="Arial" w:cs="Arial" w:eastAsia="Arial" w:hAnsi="Arial"/>
          <w:i/>
          <w:iCs/>
          <w:color w:val="666666"/>
          <w:sz w:val="22"/>
          <w:szCs w:val="22"/>
        </w:rPr>
        <w:t xml:space="preserve">Key observation from the table: under a hosting structure, the operator’s revenue is more stable than under revenue share—because the power rate is fixed. Under severe hashprice stress, revenue share can drop below pipeline alternative levels. Under the same stress scenario, hosting still outperforms a compressed pipeline netback in most cases.</w:t>
      </w:r>
    </w:p>
    <w:p>
      <w:pPr>
        <w:spacing w:before="80" w:after="80"/>
      </w:pPr>
      <w:r>
        <w:t xml:space="preserve"/>
      </w:r>
    </w:p>
    <w:p>
      <w:pPr>
        <w:spacing w:before="100" w:after="140"/>
      </w:pPr>
      <w:r>
        <w:rPr>
          <w:rFonts w:ascii="Arial" w:cs="Arial" w:eastAsia="Arial" w:hAnsi="Arial"/>
          <w:color w:val="4A4A4A"/>
          <w:sz w:val="22"/>
          <w:szCs w:val="22"/>
        </w:rPr>
        <w:t xml:space="preserve">For operators whose primary concern is avoiding downside exposure, the hosting structure is the correct tool. For operators who want Bitcoin upside participation and can tolerate variability, revenue share is the better structure. The deal structure is the risk management instrument—not the deployment itself.</w:t>
      </w:r>
    </w:p>
    <w:p>
      <w:pPr>
        <w:spacing w:before="80" w:after="8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The Four Deal Structures: Matching Risk Tolerance to Structure</w:t>
      </w:r>
    </w:p>
    <w:p>
      <w:pPr>
        <w:spacing w:before="100" w:after="140"/>
      </w:pPr>
      <w:r>
        <w:rPr>
          <w:rFonts w:ascii="Arial" w:cs="Arial" w:eastAsia="Arial" w:hAnsi="Arial"/>
          <w:color w:val="4A4A4A"/>
          <w:sz w:val="22"/>
          <w:szCs w:val="22"/>
        </w:rPr>
        <w:t xml:space="preserve">All four structures result in the same physical outcome: your gas powers a generator that runs Bitcoin mining equipment at your pad. The difference is in who bears which financial risks, who provides what capital, and how revenue flows.</w:t>
      </w:r>
    </w:p>
    <w:p>
      <w:pPr>
        <w:spacing w:before="6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160"/>
        <w:gridCol w:w="1800"/>
      </w:tblGrid>
      <w:tr>
        <w:trPr>
          <w:tblHeader/>
        </w:trPr>
        <w:tc>
          <w:tcPr>
            <w:tcW w:type="dxa" w:w="18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Structure</w:t>
            </w:r>
          </w:p>
        </w:tc>
        <w:tc>
          <w:tcPr>
            <w:tcW w:type="dxa" w:w="18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Who Provides CapEx</w:t>
            </w:r>
          </w:p>
        </w:tc>
        <w:tc>
          <w:tcPr>
            <w:tcW w:type="dxa" w:w="18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BTC Risk Borne By</w:t>
            </w:r>
          </w:p>
        </w:tc>
        <w:tc>
          <w:tcPr>
            <w:tcW w:type="dxa" w:w="216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Operator Revenue</w:t>
            </w:r>
          </w:p>
        </w:tc>
        <w:tc>
          <w:tcPr>
            <w:tcW w:type="dxa" w:w="18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Best Fit</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Hosting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MCF.digital or miner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Miner entirely</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Fixed USD per kWh. Stable, predictable.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Compliance-focused operators. CFO concerns about crypto.</w:t>
            </w:r>
          </w:p>
        </w:tc>
      </w:tr>
      <w:tr>
        <w:tc>
          <w:tcPr>
            <w:tcW w:type="dxa" w:w="1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Revenue Share</w:t>
            </w:r>
          </w:p>
        </w:tc>
        <w:tc>
          <w:tcPr>
            <w:tcW w:type="dxa" w:w="1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MCF.digital or miner</w:t>
            </w:r>
          </w:p>
        </w:tc>
        <w:tc>
          <w:tcPr>
            <w:tcW w:type="dxa" w:w="1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Shared proportionally</w:t>
            </w:r>
          </w:p>
        </w:tc>
        <w:tc>
          <w:tcPr>
            <w:tcW w:type="dxa" w:w="21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 of BTC mined. Higher upside, more variability.</w:t>
            </w:r>
          </w:p>
        </w:tc>
        <w:tc>
          <w:tcPr>
            <w:tcW w:type="dxa" w:w="1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Operators who want Bitcoin participation without full exposure.</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Direct Mining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MCF.digital (ops fee)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Operator entirely</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All BTC from operator’s gas. Full economics.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Operators with BTC custody infrastructure and high risk tolerance.</w:t>
            </w:r>
          </w:p>
        </w:tc>
      </w:tr>
      <w:tr>
        <w:tc>
          <w:tcPr>
            <w:tcW w:type="dxa" w:w="1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Capital Partner</w:t>
            </w:r>
          </w:p>
        </w:tc>
        <w:tc>
          <w:tcPr>
            <w:tcW w:type="dxa" w:w="1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Third-party investor</w:t>
            </w:r>
          </w:p>
        </w:tc>
        <w:tc>
          <w:tcPr>
            <w:tcW w:type="dxa" w:w="1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Shared: operator + partner</w:t>
            </w:r>
          </w:p>
        </w:tc>
        <w:tc>
          <w:tcPr>
            <w:tcW w:type="dxa" w:w="21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Revenue share with capital partner. Zero operator CapEx.</w:t>
            </w:r>
          </w:p>
        </w:tc>
        <w:tc>
          <w:tcPr>
            <w:tcW w:type="dxa" w:w="1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Operators who want deployment without capital commitment.</w:t>
            </w:r>
          </w:p>
        </w:tc>
      </w:tr>
    </w:tbl>
    <w:p>
      <w:pPr>
        <w:spacing w:before="180" w:after="12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The Go / No-Go Checklist</w:t>
      </w:r>
    </w:p>
    <w:p>
      <w:pPr>
        <w:spacing w:before="100" w:after="140"/>
      </w:pPr>
      <w:r>
        <w:rPr>
          <w:rFonts w:ascii="Arial" w:cs="Arial" w:eastAsia="Arial" w:hAnsi="Arial"/>
          <w:color w:val="4A4A4A"/>
          <w:sz w:val="22"/>
          <w:szCs w:val="22"/>
        </w:rPr>
        <w:t xml:space="preserve">Run your site against this checklist before submitting for evaluation. A site that clears all six items is a strong candidate. A site that fails two or more is unlikely to pencil without structural changes.</w:t>
      </w:r>
    </w:p>
    <w:p>
      <w:pPr>
        <w:spacing w:before="8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rPr>
          <w:tblHeader/>
        </w:trPr>
        <w:tc>
          <w:tcPr>
            <w:tcW w:type="dxa" w:w="576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Criterion</w:t>
            </w:r>
          </w:p>
        </w:tc>
        <w:tc>
          <w:tcPr>
            <w:tcW w:type="dxa" w:w="18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Minimum Threshold</w:t>
            </w:r>
          </w:p>
        </w:tc>
        <w:tc>
          <w:tcPr>
            <w:tcW w:type="dxa" w:w="1800"/>
            <w:tcBorders>
              <w:top w:val="single" w:color="DDDDDD" w:sz="1"/>
              <w:left w:val="single" w:color="DDDDDD" w:sz="1"/>
              <w:bottom w:val="single" w:color="DDDDDD" w:sz="1"/>
              <w:right w:val="single" w:color="DDDDDD" w:sz="1"/>
            </w:tcBorders>
            <w:shd w:fill="1A1A1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Your Site</w:t>
            </w:r>
          </w:p>
        </w:tc>
      </w:tr>
      <w:tr>
        <w:tc>
          <w:tcPr>
            <w:tcW w:type="dxa" w:w="5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Gas volume at pad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100 Mcfd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
            </w:r>
          </w:p>
        </w:tc>
      </w:tr>
      <w:tr>
        <w:tc>
          <w:tcPr>
            <w:tcW w:type="dxa" w:w="57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Methane number (or BTU quality analysis available)</w:t>
            </w:r>
          </w:p>
        </w:tc>
        <w:tc>
          <w:tcPr>
            <w:tcW w:type="dxa" w:w="1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MN 70+</w:t>
            </w:r>
          </w:p>
        </w:tc>
        <w:tc>
          <w:tcPr>
            <w:tcW w:type="dxa" w:w="1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
            </w:r>
          </w:p>
        </w:tc>
      </w:tr>
      <w:tr>
        <w:tc>
          <w:tcPr>
            <w:tcW w:type="dxa" w:w="5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H2S content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Below 500 ppm (above 100 ppm: flag for discussion)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
            </w:r>
          </w:p>
        </w:tc>
      </w:tr>
      <w:tr>
        <w:tc>
          <w:tcPr>
            <w:tcW w:type="dxa" w:w="57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Wellhead pressure</w:t>
            </w:r>
          </w:p>
        </w:tc>
        <w:tc>
          <w:tcPr>
            <w:tcW w:type="dxa" w:w="1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10 psi minimum; 25+ psi preferred</w:t>
            </w:r>
          </w:p>
        </w:tc>
        <w:tc>
          <w:tcPr>
            <w:tcW w:type="dxa" w:w="1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
            </w:r>
          </w:p>
        </w:tc>
      </w:tr>
      <w:tr>
        <w:tc>
          <w:tcPr>
            <w:tcW w:type="dxa" w:w="5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A1A1A"/>
                <w:sz w:val="20"/>
                <w:szCs w:val="20"/>
              </w:rPr>
              <w:t xml:space="preserve">All-weather road access to pad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Yes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
            </w:r>
          </w:p>
        </w:tc>
      </w:tr>
      <w:tr>
        <w:tc>
          <w:tcPr>
            <w:tcW w:type="dxa" w:w="576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bCs/>
                <w:color w:val="1A1A1A"/>
                <w:sz w:val="20"/>
                <w:szCs w:val="20"/>
              </w:rPr>
              <w:t xml:space="preserve">Pad space available for containers + genset</w:t>
            </w:r>
          </w:p>
        </w:tc>
        <w:tc>
          <w:tcPr>
            <w:tcW w:type="dxa" w:w="1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40–60 ft minimum clear space</w:t>
            </w:r>
          </w:p>
        </w:tc>
        <w:tc>
          <w:tcPr>
            <w:tcW w:type="dxa" w:w="1800"/>
            <w:tcBorders>
              <w:top w:val="single" w:color="DDDDDD" w:sz="1"/>
              <w:left w:val="single" w:color="DDDDDD" w:sz="1"/>
              <w:bottom w:val="single" w:color="DDDDDD" w:sz="1"/>
              <w:right w:val="single" w:color="DDDDDD" w:sz="1"/>
            </w:tcBorders>
            <w:shd w:fill="F9F9F9" w:val="clear"/>
            <w:tcMar>
              <w:top w:type="dxa" w:w="100"/>
              <w:left w:type="dxa" w:w="150"/>
              <w:bottom w:type="dxa" w:w="100"/>
              <w:right w:type="dxa" w:w="150"/>
            </w:tcMar>
          </w:tcPr>
          <w:p>
            <w:r>
              <w:rPr>
                <w:rFonts w:ascii="Arial" w:cs="Arial" w:eastAsia="Arial" w:hAnsi="Arial"/>
                <w:b w:val="false"/>
                <w:bCs w:val="false"/>
                <w:color w:val="4A4A4A"/>
                <w:sz w:val="20"/>
                <w:szCs w:val="20"/>
              </w:rPr>
              <w:t xml:space="preserve"/>
            </w:r>
          </w:p>
        </w:tc>
      </w:tr>
    </w:tbl>
    <w:p>
      <w:pPr>
        <w:spacing w:before="16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0A" w:sz="8"/>
              <w:left w:val="single" w:color="E8500A" w:sz="8"/>
              <w:bottom w:val="single" w:color="DDDDDD" w:sz="1"/>
              <w:right w:val="single" w:color="DDDDDD" w:sz="1"/>
            </w:tcBorders>
            <w:shd w:fill="FFF6F2" w:val="clear"/>
            <w:tcMar>
              <w:top w:type="dxa" w:w="160"/>
              <w:left w:type="dxa" w:w="200"/>
              <w:bottom w:type="dxa" w:w="160"/>
              <w:right w:type="dxa" w:w="200"/>
            </w:tcMar>
          </w:tcPr>
          <w:p>
            <w:pPr>
              <w:spacing w:before="0" w:after="80"/>
            </w:pPr>
            <w:r>
              <w:rPr>
                <w:rFonts w:ascii="Arial" w:cs="Arial" w:eastAsia="Arial" w:hAnsi="Arial"/>
                <w:b/>
                <w:bCs/>
                <w:color w:val="E8500A"/>
                <w:sz w:val="22"/>
                <w:szCs w:val="22"/>
              </w:rPr>
              <w:t xml:space="preserve">SITES THAT FALL SHORT ON ONE CRITERION</w:t>
            </w:r>
          </w:p>
          <w:p>
            <w:pPr>
              <w:spacing w:before="0" w:after="0"/>
            </w:pPr>
            <w:r>
              <w:rPr>
                <w:rFonts w:ascii="Arial" w:cs="Arial" w:eastAsia="Arial" w:hAnsi="Arial"/>
                <w:color w:val="4A4A4A"/>
                <w:sz w:val="22"/>
                <w:szCs w:val="22"/>
              </w:rPr>
              <w:t xml:space="preserve">A site that misses on exactly one criterion often has a structural fix: low volume may be resolved by pad aggregation, low pressure may be resolved by a compression booster, limited pad space may be resolved by a single-container configuration. Bring the details—MCF.digital will tell you whether the fix is viable or not.</w:t>
            </w:r>
          </w:p>
        </w:tc>
      </w:tr>
    </w:tbl>
    <w:p>
      <w:pPr>
        <w:spacing w:before="20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00A" w:sz="16"/>
              <w:left w:val="none" w:color="FFFFFF" w:sz="0"/>
              <w:bottom w:val="single" w:color="E8500A" w:sz="16"/>
              <w:right w:val="none" w:color="FFFFFF" w:sz="0"/>
            </w:tcBorders>
            <w:shd w:fill="1A1A1A" w:val="clear"/>
            <w:tcMar>
              <w:top w:type="dxa" w:w="280"/>
              <w:left w:type="dxa" w:w="360"/>
              <w:bottom w:type="dxa" w:w="280"/>
              <w:right w:type="dxa" w:w="360"/>
            </w:tcMar>
          </w:tcPr>
          <w:p>
            <w:pPr>
              <w:spacing w:before="0" w:after="80"/>
              <w:jc w:val="center"/>
            </w:pPr>
            <w:r>
              <w:rPr>
                <w:rFonts w:ascii="Arial" w:cs="Arial" w:eastAsia="Arial" w:hAnsi="Arial"/>
                <w:b/>
                <w:bCs/>
                <w:color w:val="FFFFFF"/>
                <w:sz w:val="28"/>
                <w:szCs w:val="28"/>
              </w:rPr>
              <w:t xml:space="preserve">Run the numbers on your specific site.</w:t>
            </w:r>
          </w:p>
          <w:p>
            <w:pPr>
              <w:spacing w:before="0" w:after="120"/>
              <w:jc w:val="center"/>
            </w:pPr>
            <w:r>
              <w:rPr>
                <w:rFonts w:ascii="Arial" w:cs="Arial" w:eastAsia="Arial" w:hAnsi="Arial"/>
                <w:color w:val="CCCCCC"/>
                <w:sz w:val="22"/>
                <w:szCs w:val="22"/>
              </w:rPr>
              <w:t xml:space="preserve">Enter your gas volume, BTU content, elevation, and target deal structure. Get a site-specific pro forma in minutes—no sales call required.</w:t>
            </w:r>
          </w:p>
          <w:p>
            <w:pPr>
              <w:spacing w:before="0" w:after="0"/>
              <w:jc w:val="center"/>
            </w:pPr>
            <w:r>
              <w:rPr>
                <w:rFonts w:ascii="Arial" w:cs="Arial" w:eastAsia="Arial" w:hAnsi="Arial"/>
                <w:b/>
                <w:bCs/>
                <w:color w:val="E8500A"/>
                <w:sz w:val="26"/>
                <w:szCs w:val="26"/>
              </w:rPr>
              <w:t xml:space="preserve">tools.mcf.digital</w:t>
            </w:r>
            <w:r>
              <w:rPr>
                <w:rFonts w:ascii="Arial" w:cs="Arial" w:eastAsia="Arial" w:hAnsi="Arial"/>
                <w:color w:val="555555"/>
                <w:sz w:val="24"/>
                <w:szCs w:val="24"/>
              </w:rPr>
              <w:t xml:space="preserve">   ·   </w:t>
            </w:r>
            <w:r>
              <w:rPr>
                <w:rFonts w:ascii="Arial" w:cs="Arial" w:eastAsia="Arial" w:hAnsi="Arial"/>
                <w:b/>
                <w:bCs/>
                <w:color w:val="E8500A"/>
                <w:sz w:val="24"/>
                <w:szCs w:val="24"/>
              </w:rPr>
              <w:t xml:space="preserve">Book a 15-minute fit call</w:t>
            </w:r>
          </w:p>
        </w:tc>
      </w:tr>
    </w:tbl>
    <w:p>
      <w:pPr>
        <w:spacing w:before="240" w:after="120"/>
      </w:pPr>
      <w:r>
        <w:t xml:space="preserve"/>
      </w:r>
    </w:p>
    <w:p>
      <w:pPr>
        <w:pStyle w:val="Heading2"/>
        <w:pBdr>
          <w:bottom w:val="single" w:color="E8500A" w:sz="4" w:space="4"/>
        </w:pBdr>
        <w:spacing w:before="340" w:after="120"/>
      </w:pPr>
      <w:r>
        <w:rPr>
          <w:rFonts w:ascii="Arial" w:cs="Arial" w:eastAsia="Arial" w:hAnsi="Arial"/>
          <w:b/>
          <w:bCs/>
          <w:color w:val="1A1A1A"/>
          <w:sz w:val="28"/>
          <w:szCs w:val="28"/>
        </w:rPr>
        <w:t xml:space="preserve">Related Resources</w:t>
      </w:r>
    </w:p>
    <w:p>
      <w:pPr>
        <w:spacing w:before="100" w:after="140"/>
      </w:pPr>
      <w:r>
        <w:rPr>
          <w:rFonts w:ascii="Arial" w:cs="Arial" w:eastAsia="Arial" w:hAnsi="Arial"/>
          <w:color w:val="4A4A4A"/>
          <w:sz w:val="22"/>
          <w:szCs w:val="22"/>
        </w:rPr>
        <w:t xml:space="preserve">Explore the specific topics covered in this guide in more depth:</w:t>
      </w:r>
    </w:p>
    <w:p>
      <w:pPr>
        <w:spacing w:before="60" w:after="4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What Is a Methane Number? Gas Quality and Bitcoin Mining Compatibility — </w:t>
      </w:r>
      <w:r>
        <w:rPr>
          <w:rFonts w:ascii="Arial" w:cs="Arial" w:eastAsia="Arial" w:hAnsi="Arial"/>
          <w:color w:val="4A4A4A"/>
          <w:sz w:val="22"/>
          <w:szCs w:val="22"/>
        </w:rPr>
        <w:t xml:space="preserve">mcf.digital/glossary/what-is-methane-number</w:t>
      </w:r>
    </w:p>
    <w:p>
      <w:pPr>
        <w:pStyle w:val="ListParagraph"/>
        <w:numPr>
          <w:ilvl w:val="0"/>
          <w:numId w:val="2"/>
        </w:numPr>
        <w:spacing w:before="60" w:after="60"/>
      </w:pPr>
      <w:r>
        <w:rPr>
          <w:rFonts w:ascii="Arial" w:cs="Arial" w:eastAsia="Arial" w:hAnsi="Arial"/>
          <w:b/>
          <w:bCs/>
          <w:color w:val="1A1A1A"/>
          <w:sz w:val="22"/>
          <w:szCs w:val="22"/>
        </w:rPr>
        <w:t xml:space="preserve">What Is a Genset Derate? — </w:t>
      </w:r>
      <w:r>
        <w:rPr>
          <w:rFonts w:ascii="Arial" w:cs="Arial" w:eastAsia="Arial" w:hAnsi="Arial"/>
          <w:color w:val="4A4A4A"/>
          <w:sz w:val="22"/>
          <w:szCs w:val="22"/>
        </w:rPr>
        <w:t xml:space="preserve">mcf.digital/glossary/what-is-genset-derate</w:t>
      </w:r>
    </w:p>
    <w:p>
      <w:pPr>
        <w:pStyle w:val="ListParagraph"/>
        <w:numPr>
          <w:ilvl w:val="0"/>
          <w:numId w:val="2"/>
        </w:numPr>
        <w:spacing w:before="60" w:after="60"/>
      </w:pPr>
      <w:r>
        <w:rPr>
          <w:rFonts w:ascii="Arial" w:cs="Arial" w:eastAsia="Arial" w:hAnsi="Arial"/>
          <w:b/>
          <w:bCs/>
          <w:color w:val="1A1A1A"/>
          <w:sz w:val="22"/>
          <w:szCs w:val="22"/>
        </w:rPr>
        <w:t xml:space="preserve">Gas-to-Hash: What It Means and How It Works — </w:t>
      </w:r>
      <w:r>
        <w:rPr>
          <w:rFonts w:ascii="Arial" w:cs="Arial" w:eastAsia="Arial" w:hAnsi="Arial"/>
          <w:color w:val="4A4A4A"/>
          <w:sz w:val="22"/>
          <w:szCs w:val="22"/>
        </w:rPr>
        <w:t xml:space="preserve">mcf.digital/glossary/gas-to-hash</w:t>
      </w:r>
    </w:p>
    <w:p>
      <w:pPr>
        <w:pStyle w:val="ListParagraph"/>
        <w:numPr>
          <w:ilvl w:val="0"/>
          <w:numId w:val="2"/>
        </w:numPr>
        <w:spacing w:before="60" w:after="60"/>
      </w:pPr>
      <w:r>
        <w:rPr>
          <w:rFonts w:ascii="Arial" w:cs="Arial" w:eastAsia="Arial" w:hAnsi="Arial"/>
          <w:b/>
          <w:bCs/>
          <w:color w:val="1A1A1A"/>
          <w:sz w:val="22"/>
          <w:szCs w:val="22"/>
        </w:rPr>
        <w:t xml:space="preserve">Stranded Gas vs. Flare Gas: What’s the Difference? — </w:t>
      </w:r>
      <w:r>
        <w:rPr>
          <w:rFonts w:ascii="Arial" w:cs="Arial" w:eastAsia="Arial" w:hAnsi="Arial"/>
          <w:color w:val="4A4A4A"/>
          <w:sz w:val="22"/>
          <w:szCs w:val="22"/>
        </w:rPr>
        <w:t xml:space="preserve">mcf.digital/glossary/stranded-gas-vs-flare-gas</w:t>
      </w:r>
    </w:p>
    <w:p>
      <w:pPr>
        <w:pStyle w:val="ListParagraph"/>
        <w:numPr>
          <w:ilvl w:val="0"/>
          <w:numId w:val="2"/>
        </w:numPr>
        <w:spacing w:before="60" w:after="60"/>
      </w:pPr>
      <w:r>
        <w:rPr>
          <w:rFonts w:ascii="Arial" w:cs="Arial" w:eastAsia="Arial" w:hAnsi="Arial"/>
          <w:b/>
          <w:bCs/>
          <w:color w:val="1A1A1A"/>
          <w:sz w:val="22"/>
          <w:szCs w:val="22"/>
        </w:rPr>
        <w:t xml:space="preserve">The Permian Operator’s Guide to Flare Gas Monetization — </w:t>
      </w:r>
      <w:r>
        <w:rPr>
          <w:rFonts w:ascii="Arial" w:cs="Arial" w:eastAsia="Arial" w:hAnsi="Arial"/>
          <w:color w:val="4A4A4A"/>
          <w:sz w:val="22"/>
          <w:szCs w:val="22"/>
        </w:rPr>
        <w:t xml:space="preserve">mcf.digital/operator-guides/permian-flare-gas-monetization</w:t>
      </w:r>
    </w:p>
    <w:p>
      <w:pPr>
        <w:pStyle w:val="ListParagraph"/>
        <w:numPr>
          <w:ilvl w:val="0"/>
          <w:numId w:val="2"/>
        </w:numPr>
        <w:spacing w:before="60" w:after="60"/>
      </w:pPr>
      <w:r>
        <w:rPr>
          <w:rFonts w:ascii="Arial" w:cs="Arial" w:eastAsia="Arial" w:hAnsi="Arial"/>
          <w:b/>
          <w:bCs/>
          <w:color w:val="1A1A1A"/>
          <w:sz w:val="22"/>
          <w:szCs w:val="22"/>
        </w:rPr>
        <w:t xml:space="preserve">How to Improve Low Gas Netbacks Without Midstream — </w:t>
      </w:r>
      <w:r>
        <w:rPr>
          <w:rFonts w:ascii="Arial" w:cs="Arial" w:eastAsia="Arial" w:hAnsi="Arial"/>
          <w:color w:val="4A4A4A"/>
          <w:sz w:val="22"/>
          <w:szCs w:val="22"/>
        </w:rPr>
        <w:t xml:space="preserve">mcf.digital/operator-guides/low-gas-netbacks</w:t>
      </w:r>
    </w:p>
    <w:p>
      <w:pPr>
        <w:pStyle w:val="ListParagraph"/>
        <w:numPr>
          <w:ilvl w:val="0"/>
          <w:numId w:val="2"/>
        </w:numPr>
        <w:spacing w:before="60" w:after="60"/>
      </w:pPr>
      <w:r>
        <w:rPr>
          <w:rFonts w:ascii="Arial" w:cs="Arial" w:eastAsia="Arial" w:hAnsi="Arial"/>
          <w:b/>
          <w:bCs/>
          <w:color w:val="1A1A1A"/>
          <w:sz w:val="22"/>
          <w:szCs w:val="22"/>
        </w:rPr>
        <w:t xml:space="preserve">Commodity Risk, Uptime Risk, and Site Risk: The Three Risk Categories — </w:t>
      </w:r>
      <w:r>
        <w:rPr>
          <w:rFonts w:ascii="Arial" w:cs="Arial" w:eastAsia="Arial" w:hAnsi="Arial"/>
          <w:color w:val="4A4A4A"/>
          <w:sz w:val="22"/>
          <w:szCs w:val="22"/>
        </w:rPr>
        <w:t xml:space="preserve">mcf.digital/operator-guides/three-risk-categories</w:t>
      </w:r>
    </w:p>
    <w:p>
      <w:pPr>
        <w:spacing w:before="200" w:after="100"/>
      </w:pPr>
      <w:r>
        <w:t xml:space="preserve"/>
      </w:r>
    </w:p>
    <w:p>
      <w:pPr>
        <w:pBdr>
          <w:top w:val="single" w:color="DDDDDD" w:sz="4" w:space="4"/>
        </w:pBdr>
        <w:spacing w:before="0" w:after="0"/>
      </w:pPr>
      <w:r>
        <w:rPr>
          <w:sz w:val="20"/>
          <w:szCs w:val="20"/>
        </w:rPr>
        <w:t xml:space="preserve"/>
      </w:r>
    </w:p>
    <w:p>
      <w:pPr>
        <w:spacing w:before="120" w:after="0"/>
      </w:pPr>
      <w:r>
        <w:rPr>
          <w:rFonts w:ascii="Arial" w:cs="Arial" w:eastAsia="Arial" w:hAnsi="Arial"/>
          <w:b/>
          <w:bCs/>
          <w:color w:val="1A1A1A"/>
          <w:sz w:val="20"/>
          <w:szCs w:val="20"/>
        </w:rPr>
        <w:t xml:space="preserve">MCF.digital</w:t>
      </w:r>
      <w:r>
        <w:rPr>
          <w:rFonts w:ascii="Arial" w:cs="Arial" w:eastAsia="Arial" w:hAnsi="Arial"/>
          <w:color w:val="999999"/>
          <w:sz w:val="18"/>
          <w:szCs w:val="18"/>
        </w:rPr>
        <w:t xml:space="preserve">  ·  On-Lease Bitcoin Mining  ·  Flare Gas Monetization  ·  Gas-to-Hash Operator</w:t>
      </w:r>
    </w:p>
    <w:p>
      <w:pPr>
        <w:spacing w:before="60" w:after="0"/>
      </w:pPr>
      <w:r>
        <w:rPr>
          <w:rFonts w:ascii="Arial" w:cs="Arial" w:eastAsia="Arial" w:hAnsi="Arial"/>
          <w:color w:val="BBBBBB"/>
          <w:sz w:val="16"/>
          <w:szCs w:val="16"/>
        </w:rPr>
        <w:t xml:space="preserve">Audience: Operators, Engineers, Capital Partners  ·  Category: Operator Guide  ·  mcf.digital/operator-guides/stranded-gas-bitcoin-mining</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500A" w:sz="4" w:space="2"/>
      </w:pBdr>
      <w:tabs>
        <w:tab w:val="right" w:pos="9360"/>
      </w:tabs>
      <w:spacing w:before="120" w:after="0"/>
    </w:pPr>
    <w:r>
      <w:rPr>
        <w:rFonts w:ascii="Arial" w:cs="Arial" w:eastAsia="Arial" w:hAnsi="Arial"/>
        <w:color w:val="999999"/>
        <w:sz w:val="18"/>
        <w:szCs w:val="18"/>
      </w:rPr>
      <w:t xml:space="preserve">mcf.digital</w:t>
    </w:r>
    <w:r>
      <w:rPr>
        <w:rFonts w:ascii="Arial" w:cs="Arial" w:eastAsia="Arial" w:hAnsi="Arial"/>
        <w:color w:val="BBBBBB"/>
        <w:sz w:val="18"/>
        <w:szCs w:val="18"/>
      </w:rPr>
      <w:t xml:space="preserve">	mcf.digital/operator-guides/stranded-gas-bitcoin-mining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00A" w:sz="6" w:space="2"/>
      </w:pBdr>
      <w:spacing w:before="0" w:after="160"/>
    </w:pPr>
    <w:r>
      <w:rPr>
        <w:rFonts w:ascii="Arial" w:cs="Arial" w:eastAsia="Arial" w:hAnsi="Arial"/>
        <w:b/>
        <w:bCs/>
        <w:color w:val="E8500A"/>
        <w:sz w:val="22"/>
        <w:szCs w:val="22"/>
      </w:rPr>
      <w:t xml:space="preserve">MCF</w:t>
    </w:r>
    <w:r>
      <w:rPr>
        <w:rFonts w:ascii="Arial" w:cs="Arial" w:eastAsia="Arial" w:hAnsi="Arial"/>
        <w:b/>
        <w:bCs/>
        <w:color w:val="1A1A1A"/>
        <w:sz w:val="22"/>
        <w:szCs w:val="22"/>
      </w:rPr>
      <w:t xml:space="preserve">.DIGITAL</w:t>
    </w:r>
    <w:r>
      <w:rPr>
        <w:rFonts w:ascii="Arial" w:cs="Arial" w:eastAsia="Arial" w:hAnsi="Arial"/>
        <w:color w:val="999999"/>
        <w:sz w:val="18"/>
        <w:szCs w:val="18"/>
      </w:rPr>
      <w:t xml:space="preserve">   OPERATOR GUIDE  |  Stranded Gas Bitcoin Mining Feasibility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1A"/>
      <w:sz w:val="36"/>
      <w:szCs w:val="36"/>
    </w:rPr>
  </w:style>
  <w:style w:type="paragraph" w:styleId="Heading2">
    <w:name w:val="Heading 2"/>
    <w:basedOn w:val="Normal"/>
    <w:next w:val="Normal"/>
    <w:qFormat/>
    <w:pPr>
      <w:spacing w:before="340" w:after="120"/>
      <w:outlineLvl w:val="1"/>
    </w:pPr>
    <w:rPr>
      <w:rFonts w:ascii="Arial" w:cs="Arial" w:eastAsia="Arial" w:hAnsi="Arial"/>
      <w:b/>
      <w:bCs/>
      <w:color w:val="1A1A1A"/>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E850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2026-02-26T18:38:53.393Z</dcterms:created>
  <dcterms:modified xsi:type="dcterms:W3CDTF">2026-02-26T18:38:53.394Z</dcterms:modified>
</cp:coreProperties>
</file>

<file path=docProps/custom.xml><?xml version="1.0" encoding="utf-8"?>
<Properties xmlns="http://schemas.openxmlformats.org/officeDocument/2006/custom-properties" xmlns:vt="http://schemas.openxmlformats.org/officeDocument/2006/docPropsVTypes"/>
</file>