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DJ BASIN  ·  COLORADO</w:t>
      </w:r>
    </w:p>
    <w:p>
      <w:pPr>
        <w:spacing w:before="0" w:after="80"/>
      </w:pPr>
      <w:r>
        <w:rPr>
          <w:rFonts w:ascii="Arial" w:cs="Arial" w:eastAsia="Arial" w:hAnsi="Arial"/>
          <w:b/>
          <w:bCs/>
          <w:color w:val="1A1A1A"/>
          <w:sz w:val="48"/>
          <w:szCs w:val="48"/>
        </w:rPr>
        <w:t xml:space="preserve">The DJ Basin Operator’s Guide to</w:t>
      </w:r>
    </w:p>
    <w:p>
      <w:pPr>
        <w:spacing w:before="0" w:after="200"/>
      </w:pPr>
      <w:r>
        <w:rPr>
          <w:rFonts w:ascii="Arial" w:cs="Arial" w:eastAsia="Arial" w:hAnsi="Arial"/>
          <w:b/>
          <w:bCs/>
          <w:color w:val="E8500A"/>
          <w:sz w:val="48"/>
          <w:szCs w:val="48"/>
        </w:rPr>
        <w:t xml:space="preserve">On-Lease Bitcoin Mining</w:t>
      </w:r>
    </w:p>
    <w:p>
      <w:pPr>
        <w:pBdr>
          <w:bottom w:val="single" w:color="E8D5CC" w:sz="6" w:space="4"/>
        </w:pBdr>
        <w:spacing w:before="0" w:after="320"/>
      </w:pPr>
      <w:r>
        <w:rPr>
          <w:rFonts w:ascii="Arial" w:cs="Arial" w:eastAsia="Arial" w:hAnsi="Arial"/>
          <w:color w:val="4A4A4A"/>
          <w:sz w:val="24"/>
          <w:szCs w:val="24"/>
        </w:rPr>
        <w:t xml:space="preserve">Colorado has nearly eliminated routine flaring—but it has created a different problem in its place: stranded and economically curtailed gas that operators can’t flare, can’t sell at a reasonable netback, and can’t afford to ignore. Here’s what to do with it.</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Colorado Flaring Rate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Gas Problem</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Elevation Range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 of production
(among lowest in 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Economically curtailed gas,
not flared gas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4,000–7,000 ft—derate planning required</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DJ Basin Is Not the Permian. The Gas Problem Is Different.</w:t>
      </w:r>
    </w:p>
    <w:p>
      <w:pPr>
        <w:spacing w:before="100" w:after="140"/>
      </w:pPr>
      <w:r>
        <w:rPr>
          <w:rFonts w:ascii="Arial" w:cs="Arial" w:eastAsia="Arial" w:hAnsi="Arial"/>
          <w:color w:val="4A4A4A"/>
          <w:sz w:val="22"/>
          <w:szCs w:val="22"/>
        </w:rPr>
        <w:t xml:space="preserve">Most conversation about flare gas Bitcoin mining starts in the Permian. That makes sense—the Permian is the largest flaring basin in the United States, and the opportunity to eliminate visible flares while generating revenue is easy to communicate. Colorado operators hear this conversation and often tune out, because Colorado’s flaring story looks completely different on paper.</w:t>
      </w:r>
    </w:p>
    <w:p>
      <w:pPr>
        <w:spacing w:before="100" w:after="140"/>
      </w:pPr>
      <w:r>
        <w:rPr>
          <w:rFonts w:ascii="Arial" w:cs="Arial" w:eastAsia="Arial" w:hAnsi="Arial"/>
          <w:color w:val="4A4A4A"/>
          <w:sz w:val="22"/>
          <w:szCs w:val="22"/>
        </w:rPr>
        <w:t xml:space="preserve">Colorado’s statewide flaring rate runs close to 1% of produced gas volumes—one of the lowest in the country. Weld County, which sits at the heart of the DJ Basin, has been under intense regulatory and public scrutiny for years. The state passed Senate Bill 181 in 2019, fundamentally reorienting Colorado’s oil and gas regulatory framework around public health and environmental protection, with the Colorado Oil and Gas Conservation Commission (COGCC) as the enforcement body. Routine flaring in Colorado is not a viable long-term operating strategy, and most DJ Basin operators already know it.</w:t>
      </w:r>
    </w:p>
    <w:p>
      <w:pPr>
        <w:spacing w:before="100" w:after="140"/>
      </w:pPr>
      <w:r>
        <w:rPr>
          <w:rFonts w:ascii="Arial" w:cs="Arial" w:eastAsia="Arial" w:hAnsi="Arial"/>
          <w:color w:val="4A4A4A"/>
          <w:sz w:val="22"/>
          <w:szCs w:val="22"/>
        </w:rPr>
        <w:t xml:space="preserve">So if Colorado operators aren’t flaring much, why does this guide exist?</w:t>
      </w:r>
    </w:p>
    <w:p>
      <w:pPr>
        <w:spacing w:before="100" w:after="140"/>
      </w:pPr>
      <w:r>
        <w:rPr>
          <w:rFonts w:ascii="Arial" w:cs="Arial" w:eastAsia="Arial" w:hAnsi="Arial"/>
          <w:color w:val="4A4A4A"/>
          <w:sz w:val="22"/>
          <w:szCs w:val="22"/>
        </w:rPr>
        <w:t xml:space="preserve">Because the constraint that eliminated flaring in the DJ Basin created a different problem: economically curtailed gas. Gas that can’t be flared, can’t move to pipeline infrastructure at a reasonable netback, and accumulates as a production constraint on oil wells that would otherwise be producing at full capacity. The DJ Basin’s gas problem isn’t about burning gas you can’t sell—it’s about gas you can’t move, can’t flare, and can’t afford to lose revenue on.</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Colorado’s Regulatory Framework: SB181 and COGCC Rules</w:t>
      </w:r>
    </w:p>
    <w:p>
      <w:pPr>
        <w:pStyle w:val="Heading3"/>
        <w:spacing w:before="240" w:after="100"/>
      </w:pPr>
      <w:r>
        <w:rPr>
          <w:rFonts w:ascii="Arial" w:cs="Arial" w:eastAsia="Arial" w:hAnsi="Arial"/>
          <w:b/>
          <w:bCs/>
          <w:color w:val="E8500A"/>
          <w:sz w:val="24"/>
          <w:szCs w:val="24"/>
        </w:rPr>
        <w:t xml:space="preserve">Senate Bill 181 (2019): The Shift to Public Health Priority</w:t>
      </w:r>
    </w:p>
    <w:p>
      <w:pPr>
        <w:spacing w:before="100" w:after="140"/>
      </w:pPr>
      <w:r>
        <w:rPr>
          <w:rFonts w:ascii="Arial" w:cs="Arial" w:eastAsia="Arial" w:hAnsi="Arial"/>
          <w:color w:val="4A4A4A"/>
          <w:sz w:val="22"/>
          <w:szCs w:val="22"/>
        </w:rPr>
        <w:t xml:space="preserve">SB 181 changed the COGCC’s mandate from balancing oil and gas development against environmental considerations to explicitly prioritizing public health, safety, welfare, and the environment. This single statutory change drove a cascade of rulemaking that has continued through the mid-2020s.</w:t>
      </w:r>
    </w:p>
    <w:p>
      <w:pPr>
        <w:spacing w:before="100" w:after="140"/>
      </w:pPr>
      <w:r>
        <w:rPr>
          <w:rFonts w:ascii="Arial" w:cs="Arial" w:eastAsia="Arial" w:hAnsi="Arial"/>
          <w:color w:val="4A4A4A"/>
          <w:sz w:val="22"/>
          <w:szCs w:val="22"/>
        </w:rPr>
        <w:t xml:space="preserve">For DJ Basin operators, the practical effects include: significantly more stringent permit review timelines (often 6–12 months for new locations in Weld County), more restrictive setback requirements that have constrained pad placement, enhanced air quality monitoring and reporting requirements, and a regulatory posture that treats flaring as a public health event rather than a routine operational necessity.</w:t>
      </w:r>
    </w:p>
    <w:p>
      <w:pPr>
        <w:pStyle w:val="Heading3"/>
        <w:spacing w:before="240" w:after="100"/>
      </w:pPr>
      <w:r>
        <w:rPr>
          <w:rFonts w:ascii="Arial" w:cs="Arial" w:eastAsia="Arial" w:hAnsi="Arial"/>
          <w:b/>
          <w:bCs/>
          <w:color w:val="E8500A"/>
          <w:sz w:val="24"/>
          <w:szCs w:val="24"/>
        </w:rPr>
        <w:t xml:space="preserve">COGCC Flaring Rules: The Specific Constraints</w:t>
      </w:r>
    </w:p>
    <w:p>
      <w:pPr>
        <w:spacing w:before="100" w:after="140"/>
      </w:pPr>
      <w:r>
        <w:rPr>
          <w:rFonts w:ascii="Arial" w:cs="Arial" w:eastAsia="Arial" w:hAnsi="Arial"/>
          <w:color w:val="4A4A4A"/>
          <w:sz w:val="22"/>
          <w:szCs w:val="22"/>
        </w:rPr>
        <w:t xml:space="preserve">Under COGCC rules, routine flaring is prohibited except during emergencies, equipment failures, or defined startup periods. Non-emergency flaring requires prior authorization and is subject to strict volume caps and time limits. The authorization process is not fast—and regulators have become less willing to grant extensions. Operators who plan around flaring as a gas management tool are operating with significant permit risk.</w:t>
      </w:r>
    </w:p>
    <w:p>
      <w:pPr>
        <w:spacing w:before="100" w:after="140"/>
      </w:pPr>
      <w:r>
        <w:rPr>
          <w:rFonts w:ascii="Arial" w:cs="Arial" w:eastAsia="Arial" w:hAnsi="Arial"/>
          <w:color w:val="4A4A4A"/>
          <w:sz w:val="22"/>
          <w:szCs w:val="22"/>
        </w:rPr>
        <w:t xml:space="preserve">COGCC rules also require operators to demonstrate that all reasonable alternatives to flaring have been evaluated before an authorization will be granted. On-lease power generation and use is explicitly recognized as one of those alternatives. The regulatory framework, in other words, is designed to push operators toward exactly the solution this guide describes.</w:t>
      </w:r>
    </w:p>
    <w:p>
      <w:pPr>
        <w:pStyle w:val="Heading3"/>
        <w:spacing w:before="240" w:after="100"/>
      </w:pPr>
      <w:r>
        <w:rPr>
          <w:rFonts w:ascii="Arial" w:cs="Arial" w:eastAsia="Arial" w:hAnsi="Arial"/>
          <w:b/>
          <w:bCs/>
          <w:color w:val="E8500A"/>
          <w:sz w:val="24"/>
          <w:szCs w:val="24"/>
        </w:rPr>
        <w:t xml:space="preserve">Air Quality Control Commission (AQCC) Requirements</w:t>
      </w:r>
    </w:p>
    <w:p>
      <w:pPr>
        <w:spacing w:before="100" w:after="140"/>
      </w:pPr>
      <w:r>
        <w:rPr>
          <w:rFonts w:ascii="Arial" w:cs="Arial" w:eastAsia="Arial" w:hAnsi="Arial"/>
          <w:color w:val="4A4A4A"/>
          <w:sz w:val="22"/>
          <w:szCs w:val="22"/>
        </w:rPr>
        <w:t xml:space="preserve">Colorado’s AQCC administers the state’s implementation of federal air quality standards, with DJ Basin non-attainment status for ozone adding a layer of scrutiny specific to the Front Range airshed. Generator sets installed at DJ Basin pads are subject to AQCC permitting under the state’s Air Pollutant Emission Notice (APEN) process for stationary engines. MCF.digital coordinates permit review as part of the standard deployment evaluation. The APEN process is manageable—it is not a barrier to deployment, but it is a step that takes time and must be initiated early.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REGULATORY BOTTOM LINE FOR DJ BASIN OPERATORS</w:t>
            </w:r>
          </w:p>
          <w:p>
            <w:pPr>
              <w:spacing w:before="0" w:after="0"/>
            </w:pPr>
            <w:r>
              <w:rPr>
                <w:rFonts w:ascii="Arial" w:cs="Arial" w:eastAsia="Arial" w:hAnsi="Arial"/>
                <w:color w:val="4A4A4A"/>
                <w:sz w:val="22"/>
                <w:szCs w:val="22"/>
              </w:rPr>
              <w:t xml:space="preserve">Flaring is effectively foreclosed as a gas management option in Colorado’s current regulatory environment. On-lease power generation is explicitly recognized as a preferred alternative by COGCC. The permit path for generator deployment exists and is navigable. The question is not whether the regulatory environment allows this—it does—it is whether the economics work for your specific site.</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Real Gas Problem: Curtailed Production, Not Burning Flares</w:t>
      </w:r>
    </w:p>
    <w:p>
      <w:pPr>
        <w:spacing w:before="100" w:after="140"/>
      </w:pPr>
      <w:r>
        <w:rPr>
          <w:rFonts w:ascii="Arial" w:cs="Arial" w:eastAsia="Arial" w:hAnsi="Arial"/>
          <w:color w:val="4A4A4A"/>
          <w:sz w:val="22"/>
          <w:szCs w:val="22"/>
        </w:rPr>
        <w:t xml:space="preserve">Understanding the DJ Basin’s gas problem requires distinguishing between two types of stranded gas that look similar on a map but have completely different economics.</w:t>
      </w:r>
    </w:p>
    <w:p>
      <w:pPr>
        <w:pStyle w:val="Heading3"/>
        <w:spacing w:before="240" w:after="100"/>
      </w:pPr>
      <w:r>
        <w:rPr>
          <w:rFonts w:ascii="Arial" w:cs="Arial" w:eastAsia="Arial" w:hAnsi="Arial"/>
          <w:b/>
          <w:bCs/>
          <w:color w:val="E8500A"/>
          <w:sz w:val="24"/>
          <w:szCs w:val="24"/>
        </w:rPr>
        <w:t xml:space="preserve">Type 1: Geographically Stranded Gas</w:t>
      </w:r>
    </w:p>
    <w:p>
      <w:pPr>
        <w:spacing w:before="100" w:after="140"/>
      </w:pPr>
      <w:r>
        <w:rPr>
          <w:rFonts w:ascii="Arial" w:cs="Arial" w:eastAsia="Arial" w:hAnsi="Arial"/>
          <w:color w:val="4A4A4A"/>
          <w:sz w:val="22"/>
          <w:szCs w:val="22"/>
        </w:rPr>
        <w:t xml:space="preserve">New pad locations in areas of the DJ Basin where gathering infrastructure hasn’t been built out yet—particularly in eastern Weld County and areas of the D-J fairway outside the core Wattenberg field—face months of pipeline wait time after initial production. Gas produced during this period can’t move. Under Colorado’s rules, it can’t be routinely flared either. An on-lease deployment during this period converts otherwise-stranded volumes into revenue while the gathering connection is completed.</w:t>
      </w:r>
    </w:p>
    <w:p>
      <w:pPr>
        <w:pStyle w:val="Heading3"/>
        <w:spacing w:before="240" w:after="100"/>
      </w:pPr>
      <w:r>
        <w:rPr>
          <w:rFonts w:ascii="Arial" w:cs="Arial" w:eastAsia="Arial" w:hAnsi="Arial"/>
          <w:b/>
          <w:bCs/>
          <w:color w:val="E8500A"/>
          <w:sz w:val="24"/>
          <w:szCs w:val="24"/>
        </w:rPr>
        <w:t xml:space="preserve">Type 2: Economically Curtailed Gas</w:t>
      </w:r>
    </w:p>
    <w:p>
      <w:pPr>
        <w:spacing w:before="100" w:after="140"/>
      </w:pPr>
      <w:r>
        <w:rPr>
          <w:rFonts w:ascii="Arial" w:cs="Arial" w:eastAsia="Arial" w:hAnsi="Arial"/>
          <w:color w:val="4A4A4A"/>
          <w:sz w:val="22"/>
          <w:szCs w:val="22"/>
        </w:rPr>
        <w:t xml:space="preserve">This is the more pervasive DJ Basin problem. Gathering agreements in the Wattenberg field and surrounding areas often carry NGL deduction structures and fee arrangements that compress netbacks on lean-to-moderate richness gas streams to levels that barely justify production. When Henry Hub is soft and NGL prices are depressed, some volumes are producing at near-breakeven or negative netbacks after all midstream costs. Operators in this position are not flaring—they’re delivering to the pipeline at a loss, or curtailing production to avoid that loss.</w:t>
      </w:r>
    </w:p>
    <w:p>
      <w:pPr>
        <w:spacing w:before="100" w:after="140"/>
      </w:pPr>
      <w:r>
        <w:rPr>
          <w:rFonts w:ascii="Arial" w:cs="Arial" w:eastAsia="Arial" w:hAnsi="Arial"/>
          <w:color w:val="4A4A4A"/>
          <w:sz w:val="22"/>
          <w:szCs w:val="22"/>
        </w:rPr>
        <w:t xml:space="preserve">On-lease Bitcoin mining addresses Type 2 directly: the marginal volumes with the worst pipeline economics become the most attractive carve-out candidates. Instead of delivering 150 Mcfd at $0.45/Mcf net after midstream fees, those volumes power a generator that produces a materially higher monthly revenue at current hashprice.</w:t>
      </w:r>
    </w:p>
    <w:p>
      <w:pPr>
        <w:pStyle w:val="Heading3"/>
        <w:spacing w:before="240" w:after="100"/>
      </w:pPr>
      <w:r>
        <w:rPr>
          <w:rFonts w:ascii="Arial" w:cs="Arial" w:eastAsia="Arial" w:hAnsi="Arial"/>
          <w:b/>
          <w:bCs/>
          <w:color w:val="E8500A"/>
          <w:sz w:val="24"/>
          <w:szCs w:val="24"/>
        </w:rPr>
        <w:t xml:space="preserve">Type 3: Curtailment Due to Oil-Gas Ratio Constraints</w:t>
      </w:r>
    </w:p>
    <w:p>
      <w:pPr>
        <w:spacing w:before="100" w:after="140"/>
      </w:pPr>
      <w:r>
        <w:rPr>
          <w:rFonts w:ascii="Arial" w:cs="Arial" w:eastAsia="Arial" w:hAnsi="Arial"/>
          <w:color w:val="4A4A4A"/>
          <w:sz w:val="22"/>
          <w:szCs w:val="22"/>
        </w:rPr>
        <w:t xml:space="preserve">Some DJ Basin oil wells are subject to production curtailment based on the ratio of gas to oil production—wells producing above permitted GOR ratios face regulatory restriction that caps oil output. Diverting associated gas to on-lease use rather than pipeline delivery can, in certain cases, provide flexibility in how that gas is accounted for in the GOR calculation. This is a fact-specific regulatory question that requires review of the specific permit conditions, but it is a consideration that has come up in DJ Basin deployment discussions.</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DJ Basin-Specific Factors: Elevation, Climate, and Infrastructure</w:t>
      </w:r>
    </w:p>
    <w:p>
      <w:pPr>
        <w:pStyle w:val="Heading3"/>
        <w:spacing w:before="240" w:after="100"/>
      </w:pPr>
      <w:r>
        <w:rPr>
          <w:rFonts w:ascii="Arial" w:cs="Arial" w:eastAsia="Arial" w:hAnsi="Arial"/>
          <w:b/>
          <w:bCs/>
          <w:color w:val="E8500A"/>
          <w:sz w:val="24"/>
          <w:szCs w:val="24"/>
        </w:rPr>
        <w:t xml:space="preserve">Elevation and Derate: A Real Factor in the DJ</w:t>
      </w:r>
    </w:p>
    <w:p>
      <w:pPr>
        <w:spacing w:before="100" w:after="140"/>
      </w:pPr>
      <w:r>
        <w:rPr>
          <w:rFonts w:ascii="Arial" w:cs="Arial" w:eastAsia="Arial" w:hAnsi="Arial"/>
          <w:color w:val="4A4A4A"/>
          <w:sz w:val="22"/>
          <w:szCs w:val="22"/>
        </w:rPr>
        <w:t xml:space="preserve">The DJ Basin spans elevations from roughly 4,000 feet in the eastern Weld County flats to over 6,500 feet in the western portions of the basin approaching the foothills. At 5,000 feet, a standard generator set is already producing 15% below nameplate capacity. At 6,500 feet, derate approaches 20%. Any pro forma built on a DJ Basin site must use derated capacity, not nameplate ratings.</w:t>
      </w:r>
    </w:p>
    <w:p>
      <w:pPr>
        <w:spacing w:before="100" w:after="140"/>
      </w:pPr>
      <w:r>
        <w:rPr>
          <w:rFonts w:ascii="Arial" w:cs="Arial" w:eastAsia="Arial" w:hAnsi="Arial"/>
          <w:color w:val="4A4A4A"/>
          <w:sz w:val="22"/>
          <w:szCs w:val="22"/>
        </w:rPr>
        <w:t xml:space="preserve">Ambient temperature in the DJ Basin adds seasonal variability. Summer temperatures in Weld County can reach 100°F, adding temperature derate on top of altitude effects during the highest-hashprice months. Winter temperatures can drop to −20°F, requiring cold-weather packages on all equipment—standard on DJ Basin deployments.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DJ Basin Sub-Area</w:t>
            </w:r>
          </w:p>
        </w:tc>
        <w:tc>
          <w:tcPr>
            <w:tcW w:type="dxa" w:w="22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Elevation</w:t>
            </w:r>
          </w:p>
        </w:tc>
        <w:tc>
          <w:tcPr>
            <w:tcW w:type="dxa" w:w="42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Derate Implication (500 kW nameplate)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Eastern Weld County flats</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4,000–4,500 ft</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~430–455 kW effective (9–14% derate)</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Core Wattenberg field</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4,500–5,200 ft</w:t>
            </w:r>
          </w:p>
        </w:tc>
        <w:tc>
          <w:tcPr>
            <w:tcW w:type="dxa" w:w="4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~410–430 kW effective (14–18% derate)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Western DJ / foothills approach</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5,500–6,500 ft</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~390–415 kW effective (17–22% derate)</w:t>
            </w:r>
          </w:p>
        </w:tc>
      </w:tr>
    </w:tbl>
    <w:p>
      <w:pPr>
        <w:spacing w:before="160" w:after="100"/>
      </w:pPr>
      <w:r>
        <w:t xml:space="preserve"/>
      </w:r>
    </w:p>
    <w:p>
      <w:pPr>
        <w:pStyle w:val="Heading3"/>
        <w:spacing w:before="240" w:after="100"/>
      </w:pPr>
      <w:r>
        <w:rPr>
          <w:rFonts w:ascii="Arial" w:cs="Arial" w:eastAsia="Arial" w:hAnsi="Arial"/>
          <w:b/>
          <w:bCs/>
          <w:color w:val="E8500A"/>
          <w:sz w:val="24"/>
          <w:szCs w:val="24"/>
        </w:rPr>
        <w:t xml:space="preserve">Gas Quality in the DJ Basin</w:t>
      </w:r>
    </w:p>
    <w:p>
      <w:pPr>
        <w:spacing w:before="100" w:after="140"/>
      </w:pPr>
      <w:r>
        <w:rPr>
          <w:rFonts w:ascii="Arial" w:cs="Arial" w:eastAsia="Arial" w:hAnsi="Arial"/>
          <w:color w:val="4A4A4A"/>
          <w:sz w:val="22"/>
          <w:szCs w:val="22"/>
        </w:rPr>
        <w:t xml:space="preserve">DJ Basin gas from the Niobrara and Codell formations is generally lean to moderate richness—methane numbers typically in the 75–85 range, with BTU values around 1,000–1,050 BTU/scf. This puts most DJ Basin gas comfortably within standard genset operating parameters without conditioning. The relative consistency of DJ Basin gas quality is an advantage over richer Permian Delaware Basin streams, which require more careful genset matching.</w:t>
      </w:r>
    </w:p>
    <w:p>
      <w:pPr>
        <w:spacing w:before="100" w:after="140"/>
      </w:pPr>
      <w:r>
        <w:rPr>
          <w:rFonts w:ascii="Arial" w:cs="Arial" w:eastAsia="Arial" w:hAnsi="Arial"/>
          <w:color w:val="4A4A4A"/>
          <w:sz w:val="22"/>
          <w:szCs w:val="22"/>
        </w:rPr>
        <w:t xml:space="preserve">H2S levels in the DJ Basin are generally low and are not typically a constraining factor. CO2 content varies by area but is rarely above 2–3% in the core producing formations. Confirm gas analysis for any specific pad—but DJ Basin gas quality is generally a non-issue for deployment planning.</w:t>
      </w:r>
    </w:p>
    <w:p>
      <w:pPr>
        <w:pStyle w:val="Heading3"/>
        <w:spacing w:before="240" w:after="100"/>
      </w:pPr>
      <w:r>
        <w:rPr>
          <w:rFonts w:ascii="Arial" w:cs="Arial" w:eastAsia="Arial" w:hAnsi="Arial"/>
          <w:b/>
          <w:bCs/>
          <w:color w:val="E8500A"/>
          <w:sz w:val="24"/>
          <w:szCs w:val="24"/>
        </w:rPr>
        <w:t xml:space="preserve">Setback Distances and Pad Space</w:t>
      </w:r>
    </w:p>
    <w:p>
      <w:pPr>
        <w:spacing w:before="100" w:after="140"/>
      </w:pPr>
      <w:r>
        <w:rPr>
          <w:rFonts w:ascii="Arial" w:cs="Arial" w:eastAsia="Arial" w:hAnsi="Arial"/>
          <w:color w:val="4A4A4A"/>
          <w:sz w:val="22"/>
          <w:szCs w:val="22"/>
        </w:rPr>
        <w:t xml:space="preserve">Colorado’s SB 181-era rulemaking increased setback requirements from occupied structures, which has implications for equipment placement at some pad locations. Container placement must respect the same setback rules that govern production equipment. This is a siting consideration that is reviewed during the site evaluation, not a general barrier to deployment—but it does mean that pad layout review is more important in the DJ Basin than in basins with less restrictive setback requirements.</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Deployment Options Available in Colorado’s Regulatory Environment</w:t>
      </w:r>
    </w:p>
    <w:p>
      <w:pPr>
        <w:spacing w:before="100" w:after="140"/>
      </w:pPr>
      <w:r>
        <w:rPr>
          <w:rFonts w:ascii="Arial" w:cs="Arial" w:eastAsia="Arial" w:hAnsi="Arial"/>
          <w:color w:val="4A4A4A"/>
          <w:sz w:val="22"/>
          <w:szCs w:val="22"/>
        </w:rPr>
        <w:t xml:space="preserve">The APEN permitting process and COGCC’s recognition of on-lease use as a flaring alternative create a defined pathway for deployment. The four deal structures available to DJ Basin operators are the same as elsewhere, with some Colorado-specific considerations.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w:t>
            </w:r>
          </w:p>
        </w:tc>
        <w:tc>
          <w:tcPr>
            <w:tcW w:type="dxa" w:w="34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Colorado Consideration</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Fit for DJ Basin</w:t>
            </w:r>
          </w:p>
        </w:tc>
      </w:tr>
      <w:tr>
        <w:tc>
          <w:tcPr>
            <w:tcW w:type="dxa" w:w="19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Hosting</w:t>
            </w:r>
          </w:p>
        </w:tc>
        <w:tc>
          <w:tcPr>
            <w:tcW w:type="dxa" w:w="34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Cleanest permit profile. Power generation for on-site use is well-understood by COGCC and AQCC reviewers.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whose primary objective is gas management compliance and stable USD revenue.</w:t>
            </w:r>
          </w:p>
        </w:tc>
      </w:tr>
      <w:tr>
        <w:tc>
          <w:tcPr>
            <w:tcW w:type="dxa" w:w="19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Revenue Share</w:t>
            </w:r>
          </w:p>
        </w:tc>
        <w:tc>
          <w:tcPr>
            <w:tcW w:type="dxa" w:w="34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Same permit path as hosting. Revenue upside with partial BTC exposure.</w:t>
            </w:r>
          </w:p>
        </w:tc>
        <w:tc>
          <w:tcPr>
            <w:tcW w:type="dxa" w:w="4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income participation and are comfortable with some hashprice variability.</w:t>
            </w:r>
          </w:p>
        </w:tc>
      </w:tr>
      <w:tr>
        <w:tc>
          <w:tcPr>
            <w:tcW w:type="dxa" w:w="19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Direct Mining</w:t>
            </w:r>
          </w:p>
        </w:tc>
        <w:tc>
          <w:tcPr>
            <w:tcW w:type="dxa" w:w="34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 takes full BTC economics. Requires Bitcoin custody infrastructure.</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DJ Basin operators with treasury flexibility and direct interest in Bitcoin exposure.</w:t>
            </w:r>
          </w:p>
        </w:tc>
      </w:tr>
      <w:tr>
        <w:tc>
          <w:tcPr>
            <w:tcW w:type="dxa" w:w="19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Capital Partner</w:t>
            </w:r>
          </w:p>
        </w:tc>
        <w:tc>
          <w:tcPr>
            <w:tcW w:type="dxa" w:w="34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Third party funds CapEx. Both parties share revenue. Zero operator capital required.</w:t>
            </w:r>
          </w:p>
        </w:tc>
        <w:tc>
          <w:tcPr>
            <w:tcW w:type="dxa" w:w="4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deployment without committing capital—useful for new pad locations pre-pipeline connection.</w:t>
            </w:r>
          </w:p>
        </w:tc>
      </w:tr>
    </w:tbl>
    <w:p>
      <w:pPr>
        <w:spacing w:before="180" w:after="120"/>
      </w:pPr>
      <w:r>
        <w:t xml:space="preserve"/>
      </w:r>
    </w:p>
    <w:p>
      <w:pPr>
        <w:pStyle w:val="Heading3"/>
        <w:spacing w:before="240" w:after="100"/>
      </w:pPr>
      <w:r>
        <w:rPr>
          <w:rFonts w:ascii="Arial" w:cs="Arial" w:eastAsia="Arial" w:hAnsi="Arial"/>
          <w:b/>
          <w:bCs/>
          <w:color w:val="E8500A"/>
          <w:sz w:val="24"/>
          <w:szCs w:val="24"/>
        </w:rPr>
        <w:t xml:space="preserve">The Pre-Pipeline Window Opportunity</w:t>
      </w:r>
    </w:p>
    <w:p>
      <w:pPr>
        <w:spacing w:before="100" w:after="140"/>
      </w:pPr>
      <w:r>
        <w:rPr>
          <w:rFonts w:ascii="Arial" w:cs="Arial" w:eastAsia="Arial" w:hAnsi="Arial"/>
          <w:color w:val="4A4A4A"/>
          <w:sz w:val="22"/>
          <w:szCs w:val="22"/>
        </w:rPr>
        <w:t xml:space="preserve">One deployment pattern that works particularly well in the DJ Basin’s regulatory environment is the pre-pipeline deployment: installing an on-lease system during the period between first production and gathering line connection. New pads in the DJ Basin routinely wait 3–9 months for pipeline hookup. Under Colorado’s rules, that gas cannot be routinely flared. Under an on-lease deployment, it generates revenue during the entire waiting period—and the equipment can remain at the pad after connection to continue handling marginal or curtailed volumes.</w:t>
      </w:r>
    </w:p>
    <w:p>
      <w:pPr>
        <w:spacing w:before="100" w:after="140"/>
      </w:pPr>
      <w:r>
        <w:rPr>
          <w:rFonts w:ascii="Arial" w:cs="Arial" w:eastAsia="Arial" w:hAnsi="Arial"/>
          <w:color w:val="4A4A4A"/>
          <w:sz w:val="22"/>
          <w:szCs w:val="22"/>
        </w:rPr>
        <w:t xml:space="preserve">This is not a workaround of Colorado’s regulatory framework. It is exactly the kind of alternative that the COGCC’s rules are designed to encourage.</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Evaluating a DJ Basin Pad: What the Process Looks Like</w:t>
      </w:r>
    </w:p>
    <w:p>
      <w:pPr>
        <w:spacing w:before="100" w:after="140"/>
      </w:pPr>
      <w:r>
        <w:rPr>
          <w:rFonts w:ascii="Arial" w:cs="Arial" w:eastAsia="Arial" w:hAnsi="Arial"/>
          <w:color w:val="4A4A4A"/>
          <w:sz w:val="22"/>
          <w:szCs w:val="22"/>
        </w:rPr>
        <w:t xml:space="preserve">The evaluation process for a DJ Basin deployment follows the same framework as other basins, with two Colorado-specific additions: permit pathway confirmation and setback compliance review.</w:t>
      </w:r>
    </w:p>
    <w:p>
      <w:pPr>
        <w:spacing w:before="80" w:after="60"/>
      </w:pPr>
      <w:r>
        <w:t xml:space="preserve"/>
      </w:r>
    </w:p>
    <w:p>
      <w:pPr>
        <w:pStyle w:val="ListParagraph"/>
        <w:numPr>
          <w:ilvl w:val="0"/>
          <w:numId w:val="2"/>
        </w:numPr>
        <w:spacing w:before="80" w:after="80"/>
      </w:pPr>
      <w:r>
        <w:rPr>
          <w:rFonts w:ascii="Arial" w:cs="Arial" w:eastAsia="Arial" w:hAnsi="Arial"/>
          <w:b/>
          <w:bCs/>
          <w:color w:val="1A1A1A"/>
          <w:sz w:val="22"/>
          <w:szCs w:val="22"/>
        </w:rPr>
        <w:t xml:space="preserve">Gas data submission. </w:t>
      </w:r>
      <w:r>
        <w:rPr>
          <w:rFonts w:ascii="Arial" w:cs="Arial" w:eastAsia="Arial" w:hAnsi="Arial"/>
          <w:color w:val="4A4A4A"/>
          <w:sz w:val="22"/>
          <w:szCs w:val="22"/>
        </w:rPr>
        <w:t xml:space="preserve">Provide current gas analysis (BTU, methane number, H2S, CO2), wellhead pressure, average daily volume, and 30-day production history. If the pad is a new drill, provide well completion data and estimated production profile.</w:t>
      </w:r>
    </w:p>
    <w:p>
      <w:pPr>
        <w:pStyle w:val="ListParagraph"/>
        <w:numPr>
          <w:ilvl w:val="0"/>
          <w:numId w:val="2"/>
        </w:numPr>
        <w:spacing w:before="80" w:after="80"/>
      </w:pPr>
      <w:r>
        <w:rPr>
          <w:rFonts w:ascii="Arial" w:cs="Arial" w:eastAsia="Arial" w:hAnsi="Arial"/>
          <w:b/>
          <w:bCs/>
          <w:color w:val="1A1A1A"/>
          <w:sz w:val="22"/>
          <w:szCs w:val="22"/>
        </w:rPr>
        <w:t xml:space="preserve">Elevation and derate calculation. </w:t>
      </w:r>
      <w:r>
        <w:rPr>
          <w:rFonts w:ascii="Arial" w:cs="Arial" w:eastAsia="Arial" w:hAnsi="Arial"/>
          <w:color w:val="4A4A4A"/>
          <w:sz w:val="22"/>
          <w:szCs w:val="22"/>
        </w:rPr>
        <w:t xml:space="preserve">MCF.digital calculates derated generator output for the specific pad coordinates and selects genset configuration accordingly. A DJ Basin pad at 5,000 feet is sized against ~415–425 kW effective output from a 500 kW unit.</w:t>
      </w:r>
    </w:p>
    <w:p>
      <w:pPr>
        <w:pStyle w:val="ListParagraph"/>
        <w:numPr>
          <w:ilvl w:val="0"/>
          <w:numId w:val="2"/>
        </w:numPr>
        <w:spacing w:before="80" w:after="80"/>
      </w:pPr>
      <w:r>
        <w:rPr>
          <w:rFonts w:ascii="Arial" w:cs="Arial" w:eastAsia="Arial" w:hAnsi="Arial"/>
          <w:b/>
          <w:bCs/>
          <w:color w:val="1A1A1A"/>
          <w:sz w:val="22"/>
          <w:szCs w:val="22"/>
        </w:rPr>
        <w:t xml:space="preserve">Permit pathway review. </w:t>
      </w:r>
      <w:r>
        <w:rPr>
          <w:rFonts w:ascii="Arial" w:cs="Arial" w:eastAsia="Arial" w:hAnsi="Arial"/>
          <w:color w:val="4A4A4A"/>
          <w:sz w:val="22"/>
          <w:szCs w:val="22"/>
        </w:rPr>
        <w:t xml:space="preserve">MCF.digital reviews the APEN requirement for the proposed engine size and initiates contact with Colorado permitting counsel. COGCC permit status for the pad is confirmed. Estimated permit timeline is included in the deployment proposal.</w:t>
      </w:r>
    </w:p>
    <w:p>
      <w:pPr>
        <w:pStyle w:val="ListParagraph"/>
        <w:numPr>
          <w:ilvl w:val="0"/>
          <w:numId w:val="2"/>
        </w:numPr>
        <w:spacing w:before="80" w:after="80"/>
      </w:pPr>
      <w:r>
        <w:rPr>
          <w:rFonts w:ascii="Arial" w:cs="Arial" w:eastAsia="Arial" w:hAnsi="Arial"/>
          <w:b/>
          <w:bCs/>
          <w:color w:val="1A1A1A"/>
          <w:sz w:val="22"/>
          <w:szCs w:val="22"/>
        </w:rPr>
        <w:t xml:space="preserve">Setback and site review. </w:t>
      </w:r>
      <w:r>
        <w:rPr>
          <w:rFonts w:ascii="Arial" w:cs="Arial" w:eastAsia="Arial" w:hAnsi="Arial"/>
          <w:color w:val="4A4A4A"/>
          <w:sz w:val="22"/>
          <w:szCs w:val="22"/>
        </w:rPr>
        <w:t xml:space="preserve">Pad layout is reviewed against current COGCC setback requirements. Container placement options are identified. A site visit or video walkthrough is scheduled.</w:t>
      </w:r>
    </w:p>
    <w:p>
      <w:pPr>
        <w:pStyle w:val="ListParagraph"/>
        <w:numPr>
          <w:ilvl w:val="0"/>
          <w:numId w:val="2"/>
        </w:numPr>
        <w:spacing w:before="80" w:after="80"/>
      </w:pPr>
      <w:r>
        <w:rPr>
          <w:rFonts w:ascii="Arial" w:cs="Arial" w:eastAsia="Arial" w:hAnsi="Arial"/>
          <w:b/>
          <w:bCs/>
          <w:color w:val="1A1A1A"/>
          <w:sz w:val="22"/>
          <w:szCs w:val="22"/>
        </w:rPr>
        <w:t xml:space="preserve">Pro forma and structure selection. </w:t>
      </w:r>
      <w:r>
        <w:rPr>
          <w:rFonts w:ascii="Arial" w:cs="Arial" w:eastAsia="Arial" w:hAnsi="Arial"/>
          <w:color w:val="4A4A4A"/>
          <w:sz w:val="22"/>
          <w:szCs w:val="22"/>
        </w:rPr>
        <w:t xml:space="preserve">A site-specific financial model is produced showing monthly revenue at current and stressed hashprice under each deal structure, with derate-adjusted capacity factored in.</w:t>
      </w:r>
    </w:p>
    <w:p>
      <w:pPr>
        <w:pStyle w:val="ListParagraph"/>
        <w:numPr>
          <w:ilvl w:val="0"/>
          <w:numId w:val="2"/>
        </w:numPr>
        <w:spacing w:before="80" w:after="80"/>
      </w:pPr>
      <w:r>
        <w:rPr>
          <w:rFonts w:ascii="Arial" w:cs="Arial" w:eastAsia="Arial" w:hAnsi="Arial"/>
          <w:b/>
          <w:bCs/>
          <w:color w:val="1A1A1A"/>
          <w:sz w:val="22"/>
          <w:szCs w:val="22"/>
        </w:rPr>
        <w:t xml:space="preserve">Agreement and deployment. </w:t>
      </w:r>
      <w:r>
        <w:rPr>
          <w:rFonts w:ascii="Arial" w:cs="Arial" w:eastAsia="Arial" w:hAnsi="Arial"/>
          <w:color w:val="4A4A4A"/>
          <w:sz w:val="22"/>
          <w:szCs w:val="22"/>
        </w:rPr>
        <w:t xml:space="preserve">Signed agreement triggers equipment procurement. Timeline from agreement to first hash: typically 5–9 weeks for DJ Basin deployments, accounting for permit lead time.</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PERMIT TIMING: START EARLY</w:t>
            </w:r>
          </w:p>
          <w:p>
            <w:pPr>
              <w:spacing w:before="0" w:after="0"/>
            </w:pPr>
            <w:r>
              <w:rPr>
                <w:rFonts w:ascii="Arial" w:cs="Arial" w:eastAsia="Arial" w:hAnsi="Arial"/>
                <w:color w:val="4A4A4A"/>
                <w:sz w:val="22"/>
                <w:szCs w:val="22"/>
              </w:rPr>
              <w:t xml:space="preserve">The APEN process for a new stationary engine in Colorado’s DJ Basin typically runs 4–8 weeks from submission to authorization. This timeline should be built into the deployment schedule from day one. MCF.digital initiates the permit process in parallel with site evaluation—not after agreement signing—to avoid unnecessary delays.</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Questions DJ Basin Operators Ask</w:t>
      </w:r>
    </w:p>
    <w:p>
      <w:pPr>
        <w:pStyle w:val="Heading3"/>
        <w:spacing w:before="240" w:after="100"/>
      </w:pPr>
      <w:r>
        <w:rPr>
          <w:rFonts w:ascii="Arial" w:cs="Arial" w:eastAsia="Arial" w:hAnsi="Arial"/>
          <w:b/>
          <w:bCs/>
          <w:color w:val="E8500A"/>
          <w:sz w:val="24"/>
          <w:szCs w:val="24"/>
        </w:rPr>
        <w:t xml:space="preserve">Does on-lease Bitcoin mining require a new air permit in Colorado?</w:t>
      </w:r>
    </w:p>
    <w:p>
      <w:pPr>
        <w:spacing w:before="100" w:after="140"/>
      </w:pPr>
      <w:r>
        <w:rPr>
          <w:rFonts w:ascii="Arial" w:cs="Arial" w:eastAsia="Arial" w:hAnsi="Arial"/>
          <w:color w:val="4A4A4A"/>
          <w:sz w:val="22"/>
          <w:szCs w:val="22"/>
        </w:rPr>
        <w:t xml:space="preserve">Yes. Any stationary internal combustion engine above a certain emissions threshold requires an Air Pollutant Emission Notice (APEN) filing with the AQCC. The threshold and process depend on the engine size and location. For most DJ Basin deployments, the APEN is a standard filing—not a major source permit. MCF.digital manages this process as part of the deployment evaluation, and the permit timeline is factored into the deployment schedule from the outset.</w:t>
      </w:r>
    </w:p>
    <w:p>
      <w:pPr>
        <w:pStyle w:val="Heading3"/>
        <w:spacing w:before="240" w:after="100"/>
      </w:pPr>
      <w:r>
        <w:rPr>
          <w:rFonts w:ascii="Arial" w:cs="Arial" w:eastAsia="Arial" w:hAnsi="Arial"/>
          <w:b/>
          <w:bCs/>
          <w:color w:val="E8500A"/>
          <w:sz w:val="24"/>
          <w:szCs w:val="24"/>
        </w:rPr>
        <w:t xml:space="preserve">Will COGCC view this favorably as an alternative to flaring?</w:t>
      </w:r>
    </w:p>
    <w:p>
      <w:pPr>
        <w:spacing w:before="100" w:after="140"/>
      </w:pPr>
      <w:r>
        <w:rPr>
          <w:rFonts w:ascii="Arial" w:cs="Arial" w:eastAsia="Arial" w:hAnsi="Arial"/>
          <w:color w:val="4A4A4A"/>
          <w:sz w:val="22"/>
          <w:szCs w:val="22"/>
        </w:rPr>
        <w:t xml:space="preserve">Yes. COGCC’s own rules identify on-lease power generation as a recognized alternative to flaring. Operators who document that they are converting gas to on-lease use—rather than flaring—are demonstrating compliance with the spirit and letter of Colorado’s gas management framework. This is not a gray area. COGCC has been explicit that it prefers on-site use alternatives over flaring.</w:t>
      </w:r>
    </w:p>
    <w:p>
      <w:pPr>
        <w:pStyle w:val="Heading3"/>
        <w:spacing w:before="240" w:after="100"/>
      </w:pPr>
      <w:r>
        <w:rPr>
          <w:rFonts w:ascii="Arial" w:cs="Arial" w:eastAsia="Arial" w:hAnsi="Arial"/>
          <w:b/>
          <w:bCs/>
          <w:color w:val="E8500A"/>
          <w:sz w:val="24"/>
          <w:szCs w:val="24"/>
        </w:rPr>
        <w:t xml:space="preserve">How does the setback requirement affect container placement?</w:t>
      </w:r>
    </w:p>
    <w:p>
      <w:pPr>
        <w:spacing w:before="100" w:after="140"/>
      </w:pPr>
      <w:r>
        <w:rPr>
          <w:rFonts w:ascii="Arial" w:cs="Arial" w:eastAsia="Arial" w:hAnsi="Arial"/>
          <w:color w:val="4A4A4A"/>
          <w:sz w:val="22"/>
          <w:szCs w:val="22"/>
        </w:rPr>
        <w:t xml:space="preserve">Generator sets and mining containers are classified as production equipment under Colorado rules and are subject to the same setback requirements as other surface facilities. Current COGCC rules require 2,000-foot setbacks from occupied structures for new facilities in certain circumstances. Pad layout review is a standard part of the DJ Basin evaluation process, and placement options are confirmed before deployment planning proceeds.</w:t>
      </w:r>
    </w:p>
    <w:p>
      <w:pPr>
        <w:pStyle w:val="Heading3"/>
        <w:spacing w:before="240" w:after="100"/>
      </w:pPr>
      <w:r>
        <w:rPr>
          <w:rFonts w:ascii="Arial" w:cs="Arial" w:eastAsia="Arial" w:hAnsi="Arial"/>
          <w:b/>
          <w:bCs/>
          <w:color w:val="E8500A"/>
          <w:sz w:val="24"/>
          <w:szCs w:val="24"/>
        </w:rPr>
        <w:t xml:space="preserve">What happens to the equipment when the pipeline connection is completed?</w:t>
      </w:r>
    </w:p>
    <w:p>
      <w:pPr>
        <w:spacing w:before="100" w:after="140"/>
      </w:pPr>
      <w:r>
        <w:rPr>
          <w:rFonts w:ascii="Arial" w:cs="Arial" w:eastAsia="Arial" w:hAnsi="Arial"/>
          <w:color w:val="4A4A4A"/>
          <w:sz w:val="22"/>
          <w:szCs w:val="22"/>
        </w:rPr>
        <w:t xml:space="preserve">The equipment stays at the pad. After the gathering line connection is made, the on-lease system continues operating on the carve-out volumes—those with the lowest pipeline netback, curtailed volumes, or MVC-triggering volumes. The pre-pipeline deployment transitions to a permanent on-lease operation without equipment relocation. This is one of the most common deployment patterns in the DJ Basin.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Run the numbers on your DJ Basin pad.</w:t>
            </w:r>
          </w:p>
          <w:p>
            <w:pPr>
              <w:spacing w:before="0" w:after="120"/>
              <w:jc w:val="center"/>
            </w:pPr>
            <w:r>
              <w:rPr>
                <w:rFonts w:ascii="Arial" w:cs="Arial" w:eastAsia="Arial" w:hAnsi="Arial"/>
                <w:color w:val="CCCCCC"/>
                <w:sz w:val="22"/>
                <w:szCs w:val="22"/>
              </w:rPr>
              <w:t xml:space="preserve">Enter your gas volume, elevation, and BTU content. Get a derate-adjusted pro forma showing on-lease revenue vs. your current pipeline netback under each deal structure.</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Go deeper on the concepts covered in this guide:</w:t>
      </w:r>
    </w:p>
    <w:p>
      <w:pPr>
        <w:spacing w:before="60" w:after="40"/>
      </w:pPr>
      <w:r>
        <w:t xml:space="preserve"/>
      </w:r>
    </w:p>
    <w:p>
      <w:pPr>
        <w:pStyle w:val="ListParagraph"/>
        <w:numPr>
          <w:ilvl w:val="0"/>
          <w:numId w:val="3"/>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3"/>
        </w:numPr>
        <w:spacing w:before="60" w:after="60"/>
      </w:pPr>
      <w:r>
        <w:rPr>
          <w:rFonts w:ascii="Arial" w:cs="Arial" w:eastAsia="Arial" w:hAnsi="Arial"/>
          <w:b/>
          <w:bCs/>
          <w:color w:val="1A1A1A"/>
          <w:sz w:val="22"/>
          <w:szCs w:val="22"/>
        </w:rPr>
        <w:t xml:space="preserve">What Is a Genset Derate? — </w:t>
      </w:r>
      <w:r>
        <w:rPr>
          <w:rFonts w:ascii="Arial" w:cs="Arial" w:eastAsia="Arial" w:hAnsi="Arial"/>
          <w:color w:val="4A4A4A"/>
          <w:sz w:val="22"/>
          <w:szCs w:val="22"/>
        </w:rPr>
        <w:t xml:space="preserve">mcf.digital/glossary/what-is-genset-derate</w:t>
      </w:r>
    </w:p>
    <w:p>
      <w:pPr>
        <w:pStyle w:val="ListParagraph"/>
        <w:numPr>
          <w:ilvl w:val="0"/>
          <w:numId w:val="3"/>
        </w:numPr>
        <w:spacing w:before="60" w:after="60"/>
      </w:pPr>
      <w:r>
        <w:rPr>
          <w:rFonts w:ascii="Arial" w:cs="Arial" w:eastAsia="Arial" w:hAnsi="Arial"/>
          <w:b/>
          <w:bCs/>
          <w:color w:val="1A1A1A"/>
          <w:sz w:val="22"/>
          <w:szCs w:val="22"/>
        </w:rPr>
        <w:t xml:space="preserve">What Is a Methane Number? — </w:t>
      </w:r>
      <w:r>
        <w:rPr>
          <w:rFonts w:ascii="Arial" w:cs="Arial" w:eastAsia="Arial" w:hAnsi="Arial"/>
          <w:color w:val="4A4A4A"/>
          <w:sz w:val="22"/>
          <w:szCs w:val="22"/>
        </w:rPr>
        <w:t xml:space="preserve">mcf.digital/glossary/what-is-methane-number</w:t>
      </w:r>
    </w:p>
    <w:p>
      <w:pPr>
        <w:pStyle w:val="ListParagraph"/>
        <w:numPr>
          <w:ilvl w:val="0"/>
          <w:numId w:val="3"/>
        </w:numPr>
        <w:spacing w:before="60" w:after="60"/>
      </w:pPr>
      <w:r>
        <w:rPr>
          <w:rFonts w:ascii="Arial" w:cs="Arial" w:eastAsia="Arial" w:hAnsi="Arial"/>
          <w:b/>
          <w:bCs/>
          <w:color w:val="1A1A1A"/>
          <w:sz w:val="22"/>
          <w:szCs w:val="22"/>
        </w:rPr>
        <w:t xml:space="preserve">Stranded Gas vs. Flare Gas: What’s the Difference? — </w:t>
      </w:r>
      <w:r>
        <w:rPr>
          <w:rFonts w:ascii="Arial" w:cs="Arial" w:eastAsia="Arial" w:hAnsi="Arial"/>
          <w:color w:val="4A4A4A"/>
          <w:sz w:val="22"/>
          <w:szCs w:val="22"/>
        </w:rPr>
        <w:t xml:space="preserve">mcf.digital/glossary/stranded-gas-vs-flare-gas</w:t>
      </w:r>
    </w:p>
    <w:p>
      <w:pPr>
        <w:pStyle w:val="ListParagraph"/>
        <w:numPr>
          <w:ilvl w:val="0"/>
          <w:numId w:val="3"/>
        </w:numPr>
        <w:spacing w:before="60" w:after="60"/>
      </w:pPr>
      <w:r>
        <w:rPr>
          <w:rFonts w:ascii="Arial" w:cs="Arial" w:eastAsia="Arial" w:hAnsi="Arial"/>
          <w:b/>
          <w:bCs/>
          <w:color w:val="1A1A1A"/>
          <w:sz w:val="22"/>
          <w:szCs w:val="22"/>
        </w:rPr>
        <w:t xml:space="preserve">How to Improve Low Gas Netbacks Without Midstream — </w:t>
      </w:r>
      <w:r>
        <w:rPr>
          <w:rFonts w:ascii="Arial" w:cs="Arial" w:eastAsia="Arial" w:hAnsi="Arial"/>
          <w:color w:val="4A4A4A"/>
          <w:sz w:val="22"/>
          <w:szCs w:val="22"/>
        </w:rPr>
        <w:t xml:space="preserve">mcf.digital/operator-guides/low-gas-netbacks</w:t>
      </w:r>
    </w:p>
    <w:p>
      <w:pPr>
        <w:pStyle w:val="ListParagraph"/>
        <w:numPr>
          <w:ilvl w:val="0"/>
          <w:numId w:val="3"/>
        </w:numPr>
        <w:spacing w:before="60" w:after="60"/>
      </w:pPr>
      <w:r>
        <w:rPr>
          <w:rFonts w:ascii="Arial" w:cs="Arial" w:eastAsia="Arial" w:hAnsi="Arial"/>
          <w:b/>
          <w:bCs/>
          <w:color w:val="1A1A1A"/>
          <w:sz w:val="22"/>
          <w:szCs w:val="22"/>
        </w:rPr>
        <w:t xml:space="preserve">Bakken Flare Gas to Bitcoin: A Field Operator’s Primer — </w:t>
      </w:r>
      <w:r>
        <w:rPr>
          <w:rFonts w:ascii="Arial" w:cs="Arial" w:eastAsia="Arial" w:hAnsi="Arial"/>
          <w:color w:val="4A4A4A"/>
          <w:sz w:val="22"/>
          <w:szCs w:val="22"/>
        </w:rPr>
        <w:t xml:space="preserve">mcf.digital/operator-guides/bakken-flare-gas-bitcoin</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DJ Basin O&amp;G Operators  ·  Category: Operator Guide  ·  mcf.digital/operator-guides/dj-basin-on-lease-bitcoin-mining</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mcf.digital/operator-guides/dj-basin-on-lease-bitcoin-mining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DJ Basin On-Lease Bitcoin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2026-02-26T18:55:58.033Z</dcterms:created>
  <dcterms:modified xsi:type="dcterms:W3CDTF">2026-02-26T18:55:58.034Z</dcterms:modified>
</cp:coreProperties>
</file>

<file path=docProps/custom.xml><?xml version="1.0" encoding="utf-8"?>
<Properties xmlns="http://schemas.openxmlformats.org/officeDocument/2006/custom-properties" xmlns:vt="http://schemas.openxmlformats.org/officeDocument/2006/docPropsVTypes"/>
</file>