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OPERATOR GUIDE  //  BAKKEN  ·  NORTH DAKOTA</w:t>
      </w:r>
    </w:p>
    <w:p>
      <w:pPr>
        <w:spacing w:before="0" w:after="80"/>
      </w:pPr>
      <w:r>
        <w:rPr>
          <w:rFonts w:ascii="Arial" w:cs="Arial" w:eastAsia="Arial" w:hAnsi="Arial"/>
          <w:b/>
          <w:bCs/>
          <w:color w:val="1A1A1A"/>
          <w:sz w:val="48"/>
          <w:szCs w:val="48"/>
        </w:rPr>
        <w:t xml:space="preserve">Bakken Flare Gas to Bitcoin:</w:t>
      </w:r>
    </w:p>
    <w:p>
      <w:pPr>
        <w:spacing w:before="0" w:after="200"/>
      </w:pPr>
      <w:r>
        <w:rPr>
          <w:rFonts w:ascii="Arial" w:cs="Arial" w:eastAsia="Arial" w:hAnsi="Arial"/>
          <w:b/>
          <w:bCs/>
          <w:color w:val="E8500A"/>
          <w:sz w:val="48"/>
          <w:szCs w:val="48"/>
        </w:rPr>
        <w:t xml:space="preserve">A Field Operator’s Primer</w:t>
      </w:r>
    </w:p>
    <w:p>
      <w:pPr>
        <w:pBdr>
          <w:bottom w:val="single" w:color="E8D5CC" w:sz="6" w:space="4"/>
        </w:pBdr>
        <w:spacing w:before="0" w:after="320"/>
      </w:pPr>
      <w:r>
        <w:rPr>
          <w:rFonts w:ascii="Arial" w:cs="Arial" w:eastAsia="Arial" w:hAnsi="Arial"/>
          <w:color w:val="4A4A4A"/>
          <w:sz w:val="24"/>
          <w:szCs w:val="24"/>
        </w:rPr>
        <w:t xml:space="preserve">The Bakken flares more gas per barrel of oil than almost any other major U.S. basin—and it operates in conditions that will kill equipment that wasn’t built for the field. This guide covers the NDIC compliance clock, the cold-weather engineering requirements, and why Bakken economics make gas-to-hash deployment more compelling than most operators realize.</w:t>
      </w:r>
    </w:p>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Bakken Flaring Rate</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NDIC Compliance Target</w:t>
            </w:r>
          </w:p>
        </w:tc>
        <w:tc>
          <w:tcPr>
            <w:tcW w:type="dxa" w:w="31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Temperature Range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~9–15% of produced gas
(historically among highest in U.S.)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95% gas capture required
or face production limits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−40°F to +105°F—full cold-weather package required</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Why the Bakken Is One of the Best Basins for Gas-to-Hash Deployment</w:t>
      </w:r>
    </w:p>
    <w:p>
      <w:pPr>
        <w:spacing w:before="100" w:after="140"/>
      </w:pPr>
      <w:r>
        <w:rPr>
          <w:rFonts w:ascii="Arial" w:cs="Arial" w:eastAsia="Arial" w:hAnsi="Arial"/>
          <w:color w:val="4A4A4A"/>
          <w:sz w:val="22"/>
          <w:szCs w:val="22"/>
        </w:rPr>
        <w:t xml:space="preserve">The Bakken formation in western North Dakota and eastern Montana produces prolific volumes of high-quality oil from the Williston Basin. The associated gas that comes up with that oil is a different story. The Bakken has historically flared a higher percentage of its associated gas than virtually any other major producing basin in the continental United States—not because operators prefer it, but because the infrastructure to handle the gas has never caught up with the speed of oil development.</w:t>
      </w:r>
    </w:p>
    <w:p>
      <w:pPr>
        <w:spacing w:before="100" w:after="140"/>
      </w:pPr>
      <w:r>
        <w:rPr>
          <w:rFonts w:ascii="Arial" w:cs="Arial" w:eastAsia="Arial" w:hAnsi="Arial"/>
          <w:color w:val="4A4A4A"/>
          <w:sz w:val="22"/>
          <w:szCs w:val="22"/>
        </w:rPr>
        <w:t xml:space="preserve">That combination—abundant associated gas, persistent infrastructure gaps, and a regulatory compliance clock that is tightening every year—creates exactly the conditions where gas-to-hash deployment generates the most value. You have gas you can’t monetize through conventional channels. You have a compliance obligation that is getting more expensive to ignore. And on-lease Bitcoin mining addresses both simultaneously.</w:t>
      </w:r>
    </w:p>
    <w:p>
      <w:pPr>
        <w:spacing w:before="100" w:after="140"/>
      </w:pPr>
      <w:r>
        <w:rPr>
          <w:rFonts w:ascii="Arial" w:cs="Arial" w:eastAsia="Arial" w:hAnsi="Arial"/>
          <w:color w:val="4A4A4A"/>
          <w:sz w:val="22"/>
          <w:szCs w:val="22"/>
        </w:rPr>
        <w:t xml:space="preserve">The Bakken also has a structural advantage that operators elsewhere don’t always enjoy: associated gas from Bakken wells is typically lean and consistent in quality. Methane numbers in the 80–90 range are common. This is excellent fuel for standard spark-ignited generator sets without conditioning, which simplifies deployment and reduces equipment cost relative to richer basin gas.</w:t>
      </w:r>
    </w:p>
    <w:p>
      <w:pPr>
        <w:spacing w:before="100" w:after="140"/>
      </w:pPr>
      <w:r>
        <w:rPr>
          <w:rFonts w:ascii="Arial" w:cs="Arial" w:eastAsia="Arial" w:hAnsi="Arial"/>
          <w:color w:val="4A4A4A"/>
          <w:sz w:val="22"/>
          <w:szCs w:val="22"/>
        </w:rPr>
        <w:t xml:space="preserve">The challenge—and it is a real one—is the operating environment. Western North Dakota is not the Permian. The temperature range, road conditions, remoteness, and winter severity require a different approach to equipment selection, winterization, and field service logistics than a temperate-climate deployment. This guide addresses both the opportunity and the operational reality.</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NDIC Flaring Rules and the Compliance Timeline</w:t>
      </w:r>
    </w:p>
    <w:p>
      <w:pPr>
        <w:pStyle w:val="Heading3"/>
        <w:spacing w:before="240" w:after="100"/>
      </w:pPr>
      <w:r>
        <w:rPr>
          <w:rFonts w:ascii="Arial" w:cs="Arial" w:eastAsia="Arial" w:hAnsi="Arial"/>
          <w:b/>
          <w:bCs/>
          <w:color w:val="E8500A"/>
          <w:sz w:val="24"/>
          <w:szCs w:val="24"/>
        </w:rPr>
        <w:t xml:space="preserve">The 95% Capture Requirement</w:t>
      </w:r>
    </w:p>
    <w:p>
      <w:pPr>
        <w:spacing w:before="100" w:after="140"/>
      </w:pPr>
      <w:r>
        <w:rPr>
          <w:rFonts w:ascii="Arial" w:cs="Arial" w:eastAsia="Arial" w:hAnsi="Arial"/>
          <w:color w:val="4A4A4A"/>
          <w:sz w:val="22"/>
          <w:szCs w:val="22"/>
        </w:rPr>
        <w:t xml:space="preserve">The North Dakota Industrial Commission (NDIC) has established a gas capture standard requiring operators to capture at least 95% of produced associated gas at the statewide level, with individual well and company-level targets enforced through the production allowable system. Operators who fall below the 95% capture threshold face production restrictions that limit how much oil they can produce from non-compliant wells.</w:t>
      </w:r>
    </w:p>
    <w:p>
      <w:pPr>
        <w:spacing w:before="100" w:after="140"/>
      </w:pPr>
      <w:r>
        <w:rPr>
          <w:rFonts w:ascii="Arial" w:cs="Arial" w:eastAsia="Arial" w:hAnsi="Arial"/>
          <w:color w:val="4A4A4A"/>
          <w:sz w:val="22"/>
          <w:szCs w:val="22"/>
        </w:rPr>
        <w:t xml:space="preserve">This is not an abstract environmental requirement—it is a direct production constraint. For a Bakken oil well producing 500 BOE/day, a production restriction due to gas capture non-compliance can mean losing 50–150 BOE/day of oil revenue. At $70/barrel, that is $3,500–$10,500 per day in foregone oil revenue. The cost of non-compliance is denominated in oil, not gas.</w:t>
      </w:r>
    </w:p>
    <w:p>
      <w:pPr>
        <w:pStyle w:val="Heading3"/>
        <w:spacing w:before="240" w:after="100"/>
      </w:pPr>
      <w:r>
        <w:rPr>
          <w:rFonts w:ascii="Arial" w:cs="Arial" w:eastAsia="Arial" w:hAnsi="Arial"/>
          <w:b/>
          <w:bCs/>
          <w:color w:val="E8500A"/>
          <w:sz w:val="24"/>
          <w:szCs w:val="24"/>
        </w:rPr>
        <w:t xml:space="preserve">The Compliance Pathway Options</w:t>
      </w:r>
    </w:p>
    <w:p>
      <w:pPr>
        <w:spacing w:before="100" w:after="140"/>
      </w:pPr>
      <w:r>
        <w:rPr>
          <w:rFonts w:ascii="Arial" w:cs="Arial" w:eastAsia="Arial" w:hAnsi="Arial"/>
          <w:color w:val="4A4A4A"/>
          <w:sz w:val="22"/>
          <w:szCs w:val="22"/>
        </w:rPr>
        <w:t xml:space="preserve">NDIC’s gas capture rules allow operators to demonstrate compliance through several pathways: pipeline connection, gas processing, compression and sale, on-site use, or flaring under an approved temporary variance. The temporary variance pathway—which many Bakken operators have historically relied on—has become harder to obtain and shorter in duration as the NDIC has tightened enforcement.</w:t>
      </w:r>
    </w:p>
    <w:p>
      <w:pPr>
        <w:spacing w:before="100" w:after="140"/>
      </w:pPr>
      <w:r>
        <w:rPr>
          <w:rFonts w:ascii="Arial" w:cs="Arial" w:eastAsia="Arial" w:hAnsi="Arial"/>
          <w:color w:val="4A4A4A"/>
          <w:sz w:val="22"/>
          <w:szCs w:val="22"/>
        </w:rPr>
        <w:t xml:space="preserve">On-site use for power generation is an explicitly recognized compliance pathway under NDIC rules. Gas consumed to generate electricity at the pad counts toward the capture percentage, which means an on-lease deployment does not just generate revenue—it directly satisfies the NDIC’s compliance calculation. This is the same structure that makes gas-to-hash compelling in every basin, but in the Bakken, the compliance stakes are unusually high because the cost of non-compliance is measured in restricted oil production.</w:t>
      </w:r>
    </w:p>
    <w:p>
      <w:pPr>
        <w:pStyle w:val="Heading3"/>
        <w:spacing w:before="240" w:after="100"/>
      </w:pPr>
      <w:r>
        <w:rPr>
          <w:rFonts w:ascii="Arial" w:cs="Arial" w:eastAsia="Arial" w:hAnsi="Arial"/>
          <w:b/>
          <w:bCs/>
          <w:color w:val="E8500A"/>
          <w:sz w:val="24"/>
          <w:szCs w:val="24"/>
        </w:rPr>
        <w:t xml:space="preserve">Variance Timelines and the Compliance Clock</w:t>
      </w:r>
    </w:p>
    <w:p>
      <w:pPr>
        <w:spacing w:before="100" w:after="140"/>
      </w:pPr>
      <w:r>
        <w:rPr>
          <w:rFonts w:ascii="Arial" w:cs="Arial" w:eastAsia="Arial" w:hAnsi="Arial"/>
          <w:color w:val="4A4A4A"/>
          <w:sz w:val="22"/>
          <w:szCs w:val="22"/>
        </w:rPr>
        <w:t xml:space="preserve">Operators who are currently operating under NDIC temporary flaring variances should note that these authorizations are time-limited and are not automatically renewed. NDIC has signaled clearly that the long-term trajectory is toward stricter enforcement and shorter variance windows. A pad operating under a variance today that is 6–12 months from expiration should be evaluating on-lease deployment now, not when the variance lapses.</w:t>
      </w:r>
    </w:p>
    <w:p>
      <w:pPr>
        <w:spacing w:before="100" w:after="140"/>
      </w:pPr>
      <w:r>
        <w:rPr>
          <w:rFonts w:ascii="Arial" w:cs="Arial" w:eastAsia="Arial" w:hAnsi="Arial"/>
          <w:color w:val="4A4A4A"/>
          <w:sz w:val="22"/>
          <w:szCs w:val="22"/>
        </w:rPr>
        <w:t xml:space="preserve">The evaluation and deployment process for a Bakken gas-to-hash site runs approximately 6–10 weeks from initial gas data submission to first hash. That timeline needs to be accounted for in compliance planning—not treated as something to pursue after the variance clock runs out.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THE BAKKEN COMPLIANCE MATH</w:t>
            </w:r>
          </w:p>
          <w:p>
            <w:pPr>
              <w:spacing w:before="0" w:after="0"/>
            </w:pPr>
            <w:r>
              <w:rPr>
                <w:rFonts w:ascii="Arial" w:cs="Arial" w:eastAsia="Arial" w:hAnsi="Arial"/>
                <w:color w:val="4A4A4A"/>
                <w:sz w:val="22"/>
                <w:szCs w:val="22"/>
              </w:rPr>
              <w:t xml:space="preserve">NDIC production restrictions for gas capture non-compliance cost operators in oil revenue, not gas revenue. At $70/barrel oil and a 100 BOE/day production restriction, that is $7,000 per day in foregone revenue—or roughly $210,000 per month. An on-lease deployment that costs a fraction of that per month while simultaneously generating positive gas revenue is not a close call financially.</w:t>
            </w:r>
          </w:p>
        </w:tc>
      </w:tr>
    </w:tbl>
    <w:p>
      <w:pPr>
        <w:spacing w:before="20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Cold-Weather Engineering: What “Built for the Bakken” Actually Means</w:t>
      </w:r>
    </w:p>
    <w:p>
      <w:pPr>
        <w:spacing w:before="100" w:after="140"/>
      </w:pPr>
      <w:r>
        <w:rPr>
          <w:rFonts w:ascii="Arial" w:cs="Arial" w:eastAsia="Arial" w:hAnsi="Arial"/>
          <w:color w:val="4A4A4A"/>
          <w:sz w:val="22"/>
          <w:szCs w:val="22"/>
        </w:rPr>
        <w:t xml:space="preserve">Any equipment deployed in the Bakken must be designed and specified for the operating environment—not rated for it in a test lab. Winter temperatures in the Williston Basin regularly reach −30°F to −40°F. Equipment that operates reliably at 20°F will fail at −30°F. The difference between a deployment that produces revenue through a North Dakota winter and one that has repeated cold-weather outages is almost entirely in the upfront engineering decisions.</w:t>
      </w:r>
    </w:p>
    <w:p>
      <w:pPr>
        <w:pStyle w:val="Heading3"/>
        <w:spacing w:before="240" w:after="100"/>
      </w:pPr>
      <w:r>
        <w:rPr>
          <w:rFonts w:ascii="Arial" w:cs="Arial" w:eastAsia="Arial" w:hAnsi="Arial"/>
          <w:b/>
          <w:bCs/>
          <w:color w:val="E8500A"/>
          <w:sz w:val="24"/>
          <w:szCs w:val="24"/>
        </w:rPr>
        <w:t xml:space="preserve">Cold-Weather Package Requirements for Generator Sets</w:t>
      </w:r>
    </w:p>
    <w:p>
      <w:pPr>
        <w:spacing w:before="100" w:after="140"/>
      </w:pPr>
      <w:r>
        <w:rPr>
          <w:rFonts w:ascii="Arial" w:cs="Arial" w:eastAsia="Arial" w:hAnsi="Arial"/>
          <w:color w:val="4A4A4A"/>
          <w:sz w:val="22"/>
          <w:szCs w:val="22"/>
        </w:rPr>
        <w:t xml:space="preserve">Standard generator sets are not rated for −30°F operation without modification. Bakken deployments require cold-weather packages that include: engine block heaters to prevent coolant from gelling at startup, battery blankets or heated battery enclosures for reliable cranking in extreme cold, arctic-grade lubricants specified for low-temperature viscosity, fuel system heat tracing to prevent gas line condensation and hydrate formation, and insulated housing around the generator enclosure to maintain minimum operating temperatures during extended idle periods.</w:t>
      </w:r>
    </w:p>
    <w:p>
      <w:pPr>
        <w:spacing w:before="100" w:after="140"/>
      </w:pPr>
      <w:r>
        <w:rPr>
          <w:rFonts w:ascii="Arial" w:cs="Arial" w:eastAsia="Arial" w:hAnsi="Arial"/>
          <w:color w:val="4A4A4A"/>
          <w:sz w:val="22"/>
          <w:szCs w:val="22"/>
        </w:rPr>
        <w:t xml:space="preserve">These are not optional upgrades—they are required specifications for reliable operation in the Williston Basin. Any deployment proposal for a Bakken site that does not address cold-weather packages explicitly is missing a critical cost and reliability input.</w:t>
      </w:r>
    </w:p>
    <w:p>
      <w:pPr>
        <w:pStyle w:val="Heading3"/>
        <w:spacing w:before="240" w:after="100"/>
      </w:pPr>
      <w:r>
        <w:rPr>
          <w:rFonts w:ascii="Arial" w:cs="Arial" w:eastAsia="Arial" w:hAnsi="Arial"/>
          <w:b/>
          <w:bCs/>
          <w:color w:val="E8500A"/>
          <w:sz w:val="24"/>
          <w:szCs w:val="24"/>
        </w:rPr>
        <w:t xml:space="preserve">ASIC Container Thermal Management in Cold Climates</w:t>
      </w:r>
    </w:p>
    <w:p>
      <w:pPr>
        <w:spacing w:before="100" w:after="140"/>
      </w:pPr>
      <w:r>
        <w:rPr>
          <w:rFonts w:ascii="Arial" w:cs="Arial" w:eastAsia="Arial" w:hAnsi="Arial"/>
          <w:color w:val="4A4A4A"/>
          <w:sz w:val="22"/>
          <w:szCs w:val="22"/>
        </w:rPr>
        <w:t xml:space="preserve">Bitcoin mining containers face the opposite thermal challenge in the Bakken compared to hot-climate basins. In summer, containers must manage heat rejection from mining equipment to prevent chip overtemperature shutdowns. In winter, the same containers must maintain minimum internal temperatures to prevent condensation, protect electrical components, and keep the ASICs within their rated operating range.</w:t>
      </w:r>
    </w:p>
    <w:p>
      <w:pPr>
        <w:spacing w:before="100" w:after="140"/>
      </w:pPr>
      <w:r>
        <w:rPr>
          <w:rFonts w:ascii="Arial" w:cs="Arial" w:eastAsia="Arial" w:hAnsi="Arial"/>
          <w:color w:val="4A4A4A"/>
          <w:sz w:val="22"/>
          <w:szCs w:val="22"/>
        </w:rPr>
        <w:t xml:space="preserve">Bakken container specifications include heated airflow management systems that recirculate warm exhaust air during extreme cold rather than drawing in −30°F ambient air, door seal systems that prevent ice formation on container access points, and thermal monitoring that can detect cold-related issues before they cause equipment damage. The engineering is well-understood—but it has to be specified upfront.</w:t>
      </w:r>
    </w:p>
    <w:p>
      <w:pPr>
        <w:pStyle w:val="Heading3"/>
        <w:spacing w:before="240" w:after="100"/>
      </w:pPr>
      <w:r>
        <w:rPr>
          <w:rFonts w:ascii="Arial" w:cs="Arial" w:eastAsia="Arial" w:hAnsi="Arial"/>
          <w:b/>
          <w:bCs/>
          <w:color w:val="E8500A"/>
          <w:sz w:val="24"/>
          <w:szCs w:val="24"/>
        </w:rPr>
        <w:t xml:space="preserve">Road Access and Seasonal Logistics</w:t>
      </w:r>
    </w:p>
    <w:p>
      <w:pPr>
        <w:spacing w:before="100" w:after="140"/>
      </w:pPr>
      <w:r>
        <w:rPr>
          <w:rFonts w:ascii="Arial" w:cs="Arial" w:eastAsia="Arial" w:hAnsi="Arial"/>
          <w:color w:val="4A4A4A"/>
          <w:sz w:val="22"/>
          <w:szCs w:val="22"/>
        </w:rPr>
        <w:t xml:space="preserve">Western North Dakota road conditions in winter and spring present a logistics challenge that is unlike most other producing basins. Spring breakup—the period in March through May when frozen ground thaws unevenly—renders many unpaved access roads impassable for heavy equipment. This has direct implications for both initial deployment (equipment delivery) and ongoing maintenance (service call access).</w:t>
      </w:r>
    </w:p>
    <w:p>
      <w:pPr>
        <w:spacing w:before="100" w:after="140"/>
      </w:pPr>
      <w:r>
        <w:rPr>
          <w:rFonts w:ascii="Arial" w:cs="Arial" w:eastAsia="Arial" w:hAnsi="Arial"/>
          <w:color w:val="4A4A4A"/>
          <w:sz w:val="22"/>
          <w:szCs w:val="22"/>
        </w:rPr>
        <w:t xml:space="preserve">Bakken deployment planning accounts for seasonal road conditions in three ways: equipment delivery is timed to avoid spring breakup whenever possible, service intervals are structured to minimize the frequency of heavy vehicle access during restricted periods, and remote monitoring systems are specified to allow many routine interventions to be handled without a physical site visit. Starlink connectivity is standard on all Bakken deployments for exactly this reason.</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rPr>
          <w:tblHeader/>
        </w:trPr>
        <w:tc>
          <w:tcPr>
            <w:tcW w:type="dxa" w:w="3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Cold-Weather Requirement</w:t>
            </w:r>
          </w:p>
        </w:tc>
        <w:tc>
          <w:tcPr>
            <w:tcW w:type="dxa" w:w="15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Status</w:t>
            </w:r>
          </w:p>
        </w:tc>
        <w:tc>
          <w:tcPr>
            <w:tcW w:type="dxa" w:w="4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Specification Detail</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Engine block heaters</w:t>
            </w:r>
          </w:p>
        </w:tc>
        <w:tc>
          <w:tcPr>
            <w:tcW w:type="dxa" w:w="15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pPr>
              <w:jc w:val="center"/>
            </w:pPr>
            <w:r>
              <w:rPr>
                <w:rFonts w:ascii="Arial" w:cs="Arial" w:eastAsia="Arial" w:hAnsi="Arial"/>
                <w:b/>
                <w:bCs/>
                <w:color w:val="7B3F00"/>
                <w:sz w:val="20"/>
                <w:szCs w:val="20"/>
              </w:rPr>
              <w:t xml:space="preserve">REQUIRED</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Prevents coolant gel at startup below −0°F. Standard on all Bakken deployments.</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Arctic-grade lubricants</w:t>
            </w:r>
          </w:p>
        </w:tc>
        <w:tc>
          <w:tcPr>
            <w:tcW w:type="dxa" w:w="15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pPr>
              <w:jc w:val="center"/>
            </w:pPr>
            <w:r>
              <w:rPr>
                <w:rFonts w:ascii="Arial" w:cs="Arial" w:eastAsia="Arial" w:hAnsi="Arial"/>
                <w:b/>
                <w:bCs/>
                <w:color w:val="7B3F00"/>
                <w:sz w:val="20"/>
                <w:szCs w:val="20"/>
              </w:rPr>
              <w:t xml:space="preserve">REQUIRED</w:t>
            </w:r>
          </w:p>
        </w:tc>
        <w:tc>
          <w:tcPr>
            <w:tcW w:type="dxa" w:w="4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Low-viscosity synthetic oil rated to −40°F. Standard specification.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Battery thermal management</w:t>
            </w:r>
          </w:p>
        </w:tc>
        <w:tc>
          <w:tcPr>
            <w:tcW w:type="dxa" w:w="15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pPr>
              <w:jc w:val="center"/>
            </w:pPr>
            <w:r>
              <w:rPr>
                <w:rFonts w:ascii="Arial" w:cs="Arial" w:eastAsia="Arial" w:hAnsi="Arial"/>
                <w:b/>
                <w:bCs/>
                <w:color w:val="7B3F00"/>
                <w:sz w:val="20"/>
                <w:szCs w:val="20"/>
              </w:rPr>
              <w:t xml:space="preserve">REQUIRED</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Heated enclosures or blankets for reliable cold cranking below −20°F.</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Gas line heat tracing</w:t>
            </w:r>
          </w:p>
        </w:tc>
        <w:tc>
          <w:tcPr>
            <w:tcW w:type="dxa" w:w="15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pPr>
              <w:jc w:val="center"/>
            </w:pPr>
            <w:r>
              <w:rPr>
                <w:rFonts w:ascii="Arial" w:cs="Arial" w:eastAsia="Arial" w:hAnsi="Arial"/>
                <w:b/>
                <w:bCs/>
                <w:color w:val="7B3F00"/>
                <w:sz w:val="20"/>
                <w:szCs w:val="20"/>
              </w:rPr>
              <w:t xml:space="preserve">REQUIRED</w:t>
            </w:r>
          </w:p>
        </w:tc>
        <w:tc>
          <w:tcPr>
            <w:tcW w:type="dxa" w:w="4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Prevents hydrate formation in fuel supply lines during sustained cold periods.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Container airflow management</w:t>
            </w:r>
          </w:p>
        </w:tc>
        <w:tc>
          <w:tcPr>
            <w:tcW w:type="dxa" w:w="15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pPr>
              <w:jc w:val="center"/>
            </w:pPr>
            <w:r>
              <w:rPr>
                <w:rFonts w:ascii="Arial" w:cs="Arial" w:eastAsia="Arial" w:hAnsi="Arial"/>
                <w:b/>
                <w:bCs/>
                <w:color w:val="7B3F00"/>
                <w:sz w:val="20"/>
                <w:szCs w:val="20"/>
              </w:rPr>
              <w:t xml:space="preserve">REQUIRED</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Heated recirculation mode prevents condensation and cold-damage to ASICs.</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Generator housing insulation</w:t>
            </w:r>
          </w:p>
        </w:tc>
        <w:tc>
          <w:tcPr>
            <w:tcW w:type="dxa" w:w="15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pPr>
              <w:jc w:val="center"/>
            </w:pPr>
            <w:r>
              <w:rPr>
                <w:rFonts w:ascii="Arial" w:cs="Arial" w:eastAsia="Arial" w:hAnsi="Arial"/>
                <w:b/>
                <w:bCs/>
                <w:color w:val="7B3F00"/>
                <w:sz w:val="20"/>
                <w:szCs w:val="20"/>
              </w:rPr>
              <w:t xml:space="preserve">REQUIRED</w:t>
            </w:r>
          </w:p>
        </w:tc>
        <w:tc>
          <w:tcPr>
            <w:tcW w:type="dxa" w:w="4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Maintains minimum internal temperature during idle periods in extreme cold.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Starlink connectivity</w:t>
            </w:r>
          </w:p>
        </w:tc>
        <w:tc>
          <w:tcPr>
            <w:tcW w:type="dxa" w:w="15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pPr>
              <w:jc w:val="center"/>
            </w:pPr>
            <w:r>
              <w:rPr>
                <w:rFonts w:ascii="Arial" w:cs="Arial" w:eastAsia="Arial" w:hAnsi="Arial"/>
                <w:b/>
                <w:bCs/>
                <w:color w:val="7B3F00"/>
                <w:sz w:val="20"/>
                <w:szCs w:val="20"/>
              </w:rPr>
              <w:t xml:space="preserve">REQUIRED</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Remote monitoring and management reduces physical site visits in winter.</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Spring breakup planning</w:t>
            </w:r>
          </w:p>
        </w:tc>
        <w:tc>
          <w:tcPr>
            <w:tcW w:type="dxa" w:w="15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pPr>
              <w:jc w:val="center"/>
            </w:pPr>
            <w:r>
              <w:rPr>
                <w:rFonts w:ascii="Arial" w:cs="Arial" w:eastAsia="Arial" w:hAnsi="Arial"/>
                <w:b/>
                <w:bCs/>
                <w:color w:val="7B3F00"/>
                <w:sz w:val="20"/>
                <w:szCs w:val="20"/>
              </w:rPr>
              <w:t xml:space="preserve">REQUIRED</w:t>
            </w:r>
          </w:p>
        </w:tc>
        <w:tc>
          <w:tcPr>
            <w:tcW w:type="dxa" w:w="4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Service schedules and delivery timing coordinated around ND road restrictions.</w:t>
            </w:r>
          </w:p>
        </w:tc>
      </w:tr>
    </w:tbl>
    <w:p>
      <w:pPr>
        <w:spacing w:before="18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Bakken Gas Quality: Why It Works Well for Gas-to-Hash</w:t>
      </w:r>
    </w:p>
    <w:p>
      <w:pPr>
        <w:spacing w:before="100" w:after="140"/>
      </w:pPr>
      <w:r>
        <w:rPr>
          <w:rFonts w:ascii="Arial" w:cs="Arial" w:eastAsia="Arial" w:hAnsi="Arial"/>
          <w:color w:val="4A4A4A"/>
          <w:sz w:val="22"/>
          <w:szCs w:val="22"/>
        </w:rPr>
        <w:t xml:space="preserve">Despite the operational challenges of the Bakken’s climate, the gas quality characteristics of Williston Basin associated gas are genuinely favorable for gas-to-hash deployment—often more so than richer basin alternatives.</w:t>
      </w:r>
    </w:p>
    <w:p>
      <w:pPr>
        <w:pStyle w:val="Heading3"/>
        <w:spacing w:before="240" w:after="100"/>
      </w:pPr>
      <w:r>
        <w:rPr>
          <w:rFonts w:ascii="Arial" w:cs="Arial" w:eastAsia="Arial" w:hAnsi="Arial"/>
          <w:b/>
          <w:bCs/>
          <w:color w:val="E8500A"/>
          <w:sz w:val="24"/>
          <w:szCs w:val="24"/>
        </w:rPr>
        <w:t xml:space="preserve">Methane Number and Lean Gas Advantage</w:t>
      </w:r>
    </w:p>
    <w:p>
      <w:pPr>
        <w:spacing w:before="100" w:after="140"/>
      </w:pPr>
      <w:r>
        <w:rPr>
          <w:rFonts w:ascii="Arial" w:cs="Arial" w:eastAsia="Arial" w:hAnsi="Arial"/>
          <w:color w:val="4A4A4A"/>
          <w:sz w:val="22"/>
          <w:szCs w:val="22"/>
        </w:rPr>
        <w:t xml:space="preserve">Bakken associated gas from the Middle Bakken and Three Forks formations is predominantly lean, with methane content typically running 70–85% of gas volume and methane numbers in the 80–90 range. This puts most Bakken gas in the “GO” range for standard spark-ignited generator sets without conditioning. There is no methane number derate penalty, no keep-whole complexity from high NGL content, and no requirement for specialized fuel treatment equipment.</w:t>
      </w:r>
    </w:p>
    <w:p>
      <w:pPr>
        <w:spacing w:before="100" w:after="140"/>
      </w:pPr>
      <w:r>
        <w:rPr>
          <w:rFonts w:ascii="Arial" w:cs="Arial" w:eastAsia="Arial" w:hAnsi="Arial"/>
          <w:color w:val="4A4A4A"/>
          <w:sz w:val="22"/>
          <w:szCs w:val="22"/>
        </w:rPr>
        <w:t xml:space="preserve">The lean character of Bakken gas also means lower BTU variability between pads—gas analysis from one Bakken location is generally predictive of what you’ll see at a nearby location. This simplifies fleet-level genset selection and reduces the need for pad-by-pad gas quality analysis in established producing areas.</w:t>
      </w:r>
    </w:p>
    <w:p>
      <w:pPr>
        <w:pStyle w:val="Heading3"/>
        <w:spacing w:before="240" w:after="100"/>
      </w:pPr>
      <w:r>
        <w:rPr>
          <w:rFonts w:ascii="Arial" w:cs="Arial" w:eastAsia="Arial" w:hAnsi="Arial"/>
          <w:b/>
          <w:bCs/>
          <w:color w:val="E8500A"/>
          <w:sz w:val="24"/>
          <w:szCs w:val="24"/>
        </w:rPr>
        <w:t xml:space="preserve">Wellhead Pressure</w:t>
      </w:r>
    </w:p>
    <w:p>
      <w:pPr>
        <w:spacing w:before="100" w:after="140"/>
      </w:pPr>
      <w:r>
        <w:rPr>
          <w:rFonts w:ascii="Arial" w:cs="Arial" w:eastAsia="Arial" w:hAnsi="Arial"/>
          <w:color w:val="4A4A4A"/>
          <w:sz w:val="22"/>
          <w:szCs w:val="22"/>
        </w:rPr>
        <w:t xml:space="preserve">Bakken wells typically produce at wellhead pressures well above the minimum required for direct generator fuel delivery. Initial production from new horizontal Bakken wells can run 200–1,000+ psi at the wellhead, regulated down through a standard regulator train to genset inlet pressure requirements. As wells mature and pressure declines, pressures remain adequate for direct fuel delivery in most cases. Low wellhead pressure is rarely a constraint in the Bakken.</w:t>
      </w:r>
    </w:p>
    <w:p>
      <w:pPr>
        <w:pStyle w:val="Heading3"/>
        <w:spacing w:before="240" w:after="100"/>
      </w:pPr>
      <w:r>
        <w:rPr>
          <w:rFonts w:ascii="Arial" w:cs="Arial" w:eastAsia="Arial" w:hAnsi="Arial"/>
          <w:b/>
          <w:bCs/>
          <w:color w:val="E8500A"/>
          <w:sz w:val="24"/>
          <w:szCs w:val="24"/>
        </w:rPr>
        <w:t xml:space="preserve">Gas Volume and Production Profile</w:t>
      </w:r>
    </w:p>
    <w:p>
      <w:pPr>
        <w:spacing w:before="100" w:after="140"/>
      </w:pPr>
      <w:r>
        <w:rPr>
          <w:rFonts w:ascii="Arial" w:cs="Arial" w:eastAsia="Arial" w:hAnsi="Arial"/>
          <w:color w:val="4A4A4A"/>
          <w:sz w:val="22"/>
          <w:szCs w:val="22"/>
        </w:rPr>
        <w:t xml:space="preserve">Associated gas production in the Bakken is directly correlated with oil production. A well producing 300–500 BOE/day of oil typically produces 200–500 Mcfd of associated gas—well above the 100 Mcfd minimum threshold for viable on-lease deployment. Higher-production Bakken wells in the core of the play can produce 1–2 MMcfd of associated gas, supporting multi-MW deployments with excellent unit economics.</w:t>
      </w:r>
    </w:p>
    <w:p>
      <w:pPr>
        <w:spacing w:before="100" w:after="140"/>
      </w:pPr>
      <w:r>
        <w:rPr>
          <w:rFonts w:ascii="Arial" w:cs="Arial" w:eastAsia="Arial" w:hAnsi="Arial"/>
          <w:color w:val="4A4A4A"/>
          <w:sz w:val="22"/>
          <w:szCs w:val="22"/>
        </w:rPr>
        <w:t xml:space="preserve">The oil-correlated production profile also means that gas volumes are relatively predictable—decline curves for Bakken wells are well-characterized, and production forecasts for individual pads are more reliable than in basins with more variable reservoir behavior. This predictability improves the quality of the pro forma economic model.</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Why the Bakken Economics Are Compelling</w:t>
      </w:r>
    </w:p>
    <w:p>
      <w:pPr>
        <w:spacing w:before="100" w:after="140"/>
      </w:pPr>
      <w:r>
        <w:rPr>
          <w:rFonts w:ascii="Arial" w:cs="Arial" w:eastAsia="Arial" w:hAnsi="Arial"/>
          <w:color w:val="4A4A4A"/>
          <w:sz w:val="22"/>
          <w:szCs w:val="22"/>
        </w:rPr>
        <w:t xml:space="preserve">The Bakken’s case for gas-to-hash deployment rests on three compounding factors that make the economics better than they appear in a simple gas-volume-to-revenue calculation.</w:t>
      </w:r>
    </w:p>
    <w:p>
      <w:pPr>
        <w:pStyle w:val="Heading3"/>
        <w:spacing w:before="240" w:after="100"/>
      </w:pPr>
      <w:r>
        <w:rPr>
          <w:rFonts w:ascii="Arial" w:cs="Arial" w:eastAsia="Arial" w:hAnsi="Arial"/>
          <w:b/>
          <w:bCs/>
          <w:color w:val="E8500A"/>
          <w:sz w:val="24"/>
          <w:szCs w:val="24"/>
        </w:rPr>
        <w:t xml:space="preserve">Factor 1: The Opportunity Cost of Non-Compliance</w:t>
      </w:r>
    </w:p>
    <w:p>
      <w:pPr>
        <w:spacing w:before="100" w:after="140"/>
      </w:pPr>
      <w:r>
        <w:rPr>
          <w:rFonts w:ascii="Arial" w:cs="Arial" w:eastAsia="Arial" w:hAnsi="Arial"/>
          <w:color w:val="4A4A4A"/>
          <w:sz w:val="22"/>
          <w:szCs w:val="22"/>
        </w:rPr>
        <w:t xml:space="preserve">As described in the NDIC section, gas capture non-compliance in the Bakken costs operators in oil production—not gas revenue. The on-lease deployment eliminates the compliance deficit, which restores full oil production allowable. The revenue improvement from eliminating the production restriction often exceeds the direct revenue from the mining deployment itself.</w:t>
      </w:r>
    </w:p>
    <w:p>
      <w:pPr>
        <w:pStyle w:val="Heading3"/>
        <w:spacing w:before="240" w:after="100"/>
      </w:pPr>
      <w:r>
        <w:rPr>
          <w:rFonts w:ascii="Arial" w:cs="Arial" w:eastAsia="Arial" w:hAnsi="Arial"/>
          <w:b/>
          <w:bCs/>
          <w:color w:val="E8500A"/>
          <w:sz w:val="24"/>
          <w:szCs w:val="24"/>
        </w:rPr>
        <w:t xml:space="preserve">Factor 2: Zero Pipeline Netback Baseline</w:t>
      </w:r>
    </w:p>
    <w:p>
      <w:pPr>
        <w:spacing w:before="100" w:after="140"/>
      </w:pPr>
      <w:r>
        <w:rPr>
          <w:rFonts w:ascii="Arial" w:cs="Arial" w:eastAsia="Arial" w:hAnsi="Arial"/>
          <w:color w:val="4A4A4A"/>
          <w:sz w:val="22"/>
          <w:szCs w:val="22"/>
        </w:rPr>
        <w:t xml:space="preserve">Gas that is currently being flared has a pipeline netback of exactly zero. Any positive revenue from an on-lease deployment is a 100% improvement over the current baseline for those volumes. Unlike low-netback situations where the comparison is between a compressed positive netback and an on-lease alternative, flare volumes in the Bakken start from zero—which makes the economic case for deployment self-evident.</w:t>
      </w:r>
    </w:p>
    <w:p>
      <w:pPr>
        <w:pStyle w:val="Heading3"/>
        <w:spacing w:before="240" w:after="100"/>
      </w:pPr>
      <w:r>
        <w:rPr>
          <w:rFonts w:ascii="Arial" w:cs="Arial" w:eastAsia="Arial" w:hAnsi="Arial"/>
          <w:b/>
          <w:bCs/>
          <w:color w:val="E8500A"/>
          <w:sz w:val="24"/>
          <w:szCs w:val="24"/>
        </w:rPr>
        <w:t xml:space="preserve">Factor 3: Lean Gas Means Higher Generator Efficiency</w:t>
      </w:r>
    </w:p>
    <w:p>
      <w:pPr>
        <w:spacing w:before="100" w:after="140"/>
      </w:pPr>
      <w:r>
        <w:rPr>
          <w:rFonts w:ascii="Arial" w:cs="Arial" w:eastAsia="Arial" w:hAnsi="Arial"/>
          <w:color w:val="4A4A4A"/>
          <w:sz w:val="22"/>
          <w:szCs w:val="22"/>
        </w:rPr>
        <w:t xml:space="preserve">Lean Bakken gas with a high methane number runs generator sets at their rated efficiency without the derate penalties that apply to richer gas streams. More electrical output per Mcf of gas means more mining capacity per unit of gas volume—and more revenue per Mcf compared to deployments on rich, NGL-heavy gas streams that require derating.</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Scenario</w:t>
            </w:r>
          </w:p>
        </w:tc>
        <w:tc>
          <w:tcPr>
            <w:tcW w:type="dxa" w:w="32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Without On-Lease Deployment</w:t>
            </w:r>
          </w:p>
        </w:tc>
        <w:tc>
          <w:tcPr>
            <w:tcW w:type="dxa" w:w="32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With On-Lease Deployment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Gas disposition (200 Mcfd)</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Flared. $0 revenue.</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On-lease mining. $5,000–8,000/month est.</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NDIC compliance status</w:t>
            </w:r>
          </w:p>
        </w:tc>
        <w:tc>
          <w:tcPr>
            <w:tcW w:type="dxa" w:w="32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Non-compliant. Production restricted.</w:t>
            </w:r>
          </w:p>
        </w:tc>
        <w:tc>
          <w:tcPr>
            <w:tcW w:type="dxa" w:w="32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Compliant. Full oil production allowable restored.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Lost oil revenue (100 BOE/day restriction @ $70/bbl)</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−$210,000/month</w:t>
            </w:r>
          </w:p>
        </w:tc>
        <w:tc>
          <w:tcPr>
            <w:tcW w:type="dxa" w:w="3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$0. Restriction lifted.</w:t>
            </w:r>
          </w:p>
        </w:tc>
      </w:tr>
      <w:tr>
        <w:tc>
          <w:tcPr>
            <w:tcW w:type="dxa" w:w="28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bCs/>
                <w:color w:val="1A1A1A"/>
                <w:sz w:val="20"/>
                <w:szCs w:val="20"/>
              </w:rPr>
              <w:t xml:space="preserve">Combined monthly improvement</w:t>
            </w:r>
          </w:p>
        </w:tc>
        <w:tc>
          <w:tcPr>
            <w:tcW w:type="dxa" w:w="328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w:t>
            </w:r>
          </w:p>
        </w:tc>
        <w:tc>
          <w:tcPr>
            <w:tcW w:type="dxa" w:w="3280"/>
            <w:tcBorders>
              <w:top w:val="single" w:color="DDDDDD" w:sz="1"/>
              <w:left w:val="single" w:color="DDDDDD" w:sz="1"/>
              <w:bottom w:val="single" w:color="DDDDDD" w:sz="1"/>
              <w:right w:val="single" w:color="DDDDDD" w:sz="1"/>
            </w:tcBorders>
            <w:shd w:val="clear"/>
            <w:tcMar>
              <w:top w:type="dxa" w:w="100"/>
              <w:left w:type="dxa" w:w="150"/>
              <w:bottom w:type="dxa" w:w="100"/>
              <w:right w:type="dxa" w:w="150"/>
            </w:tcMar>
          </w:tcPr>
          <w:p>
            <w:r>
              <w:rPr>
                <w:rFonts w:ascii="Arial" w:cs="Arial" w:eastAsia="Arial" w:hAnsi="Arial"/>
                <w:b w:val="false"/>
                <w:bCs w:val="false"/>
                <w:color w:val="4A4A4A"/>
                <w:sz w:val="20"/>
                <w:szCs w:val="20"/>
              </w:rPr>
              <w:t xml:space="preserve">$215,000–$218,000/month (mining + compliance value)</w:t>
            </w:r>
          </w:p>
        </w:tc>
      </w:tr>
    </w:tbl>
    <w:p>
      <w:pPr>
        <w:spacing w:before="120" w:after="80"/>
      </w:pPr>
      <w:r>
        <w:t xml:space="preserve"/>
      </w:r>
    </w:p>
    <w:p>
      <w:pPr>
        <w:spacing w:before="100" w:after="140"/>
      </w:pPr>
      <w:r>
        <w:rPr>
          <w:rFonts w:ascii="Arial" w:cs="Arial" w:eastAsia="Arial" w:hAnsi="Arial"/>
          <w:i/>
          <w:iCs/>
          <w:color w:val="999999"/>
          <w:sz w:val="22"/>
          <w:szCs w:val="22"/>
        </w:rPr>
        <w:t xml:space="preserve">Note: Figures are illustrative. Oil production restriction estimates vary with NDIC allowable calculations and well-specific production rates. Mining revenue estimates reflect current hashprice on a derate-adjusted deployment for western North Dakota elevation (~1,700–2,200 ft—minimal derate impact).</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Evaluating a Bakken Pad: What the Process Looks Like</w:t>
      </w:r>
    </w:p>
    <w:p>
      <w:pPr>
        <w:spacing w:before="100" w:after="140"/>
      </w:pPr>
      <w:r>
        <w:rPr>
          <w:rFonts w:ascii="Arial" w:cs="Arial" w:eastAsia="Arial" w:hAnsi="Arial"/>
          <w:color w:val="4A4A4A"/>
          <w:sz w:val="22"/>
          <w:szCs w:val="22"/>
        </w:rPr>
        <w:t xml:space="preserve">The evaluation process for a Bakken deployment follows MCF.digital’s standard framework with North Dakota–specific additions for cold-weather equipment specification and NDIC compliance confirmation.</w:t>
      </w:r>
    </w:p>
    <w:p>
      <w:pPr>
        <w:spacing w:before="80" w:after="60"/>
      </w:pPr>
      <w:r>
        <w:t xml:space="preserve"/>
      </w:r>
    </w:p>
    <w:p>
      <w:pPr>
        <w:pStyle w:val="ListParagraph"/>
        <w:numPr>
          <w:ilvl w:val="0"/>
          <w:numId w:val="2"/>
        </w:numPr>
        <w:spacing w:before="80" w:after="80"/>
      </w:pPr>
      <w:r>
        <w:rPr>
          <w:rFonts w:ascii="Arial" w:cs="Arial" w:eastAsia="Arial" w:hAnsi="Arial"/>
          <w:b/>
          <w:bCs/>
          <w:color w:val="1A1A1A"/>
          <w:sz w:val="22"/>
          <w:szCs w:val="22"/>
        </w:rPr>
        <w:t xml:space="preserve">Gas data and compliance status submission. </w:t>
      </w:r>
      <w:r>
        <w:rPr>
          <w:rFonts w:ascii="Arial" w:cs="Arial" w:eastAsia="Arial" w:hAnsi="Arial"/>
          <w:color w:val="4A4A4A"/>
          <w:sz w:val="22"/>
          <w:szCs w:val="22"/>
        </w:rPr>
        <w:t xml:space="preserve">Provide current gas analysis, daily volume, wellhead pressure, and NDIC variance status (if applicable). Include the variance expiration date if the pad is operating under a temporary flaring authorization.</w:t>
      </w:r>
    </w:p>
    <w:p>
      <w:pPr>
        <w:pStyle w:val="ListParagraph"/>
        <w:numPr>
          <w:ilvl w:val="0"/>
          <w:numId w:val="2"/>
        </w:numPr>
        <w:spacing w:before="80" w:after="80"/>
      </w:pPr>
      <w:r>
        <w:rPr>
          <w:rFonts w:ascii="Arial" w:cs="Arial" w:eastAsia="Arial" w:hAnsi="Arial"/>
          <w:b/>
          <w:bCs/>
          <w:color w:val="1A1A1A"/>
          <w:sz w:val="22"/>
          <w:szCs w:val="22"/>
        </w:rPr>
        <w:t xml:space="preserve">Feasibility and compliance pathway review. </w:t>
      </w:r>
      <w:r>
        <w:rPr>
          <w:rFonts w:ascii="Arial" w:cs="Arial" w:eastAsia="Arial" w:hAnsi="Arial"/>
          <w:color w:val="4A4A4A"/>
          <w:sz w:val="22"/>
          <w:szCs w:val="22"/>
        </w:rPr>
        <w:t xml:space="preserve">MCF.digital confirms the gas volume and quality are within deployment parameters and verifies that on-site use satisfies the NDIC’s gas capture calculation for the pad. Compliance credit is documented in the proposal.</w:t>
      </w:r>
    </w:p>
    <w:p>
      <w:pPr>
        <w:pStyle w:val="ListParagraph"/>
        <w:numPr>
          <w:ilvl w:val="0"/>
          <w:numId w:val="2"/>
        </w:numPr>
        <w:spacing w:before="80" w:after="80"/>
      </w:pPr>
      <w:r>
        <w:rPr>
          <w:rFonts w:ascii="Arial" w:cs="Arial" w:eastAsia="Arial" w:hAnsi="Arial"/>
          <w:b/>
          <w:bCs/>
          <w:color w:val="1A1A1A"/>
          <w:sz w:val="22"/>
          <w:szCs w:val="22"/>
        </w:rPr>
        <w:t xml:space="preserve">Cold-weather engineering specification. </w:t>
      </w:r>
      <w:r>
        <w:rPr>
          <w:rFonts w:ascii="Arial" w:cs="Arial" w:eastAsia="Arial" w:hAnsi="Arial"/>
          <w:color w:val="4A4A4A"/>
          <w:sz w:val="22"/>
          <w:szCs w:val="22"/>
        </w:rPr>
        <w:t xml:space="preserve">Based on pad coordinates and elevation, MCF.digital specifies the full cold-weather package for the generator set and container configuration. All specifications are included in the deployment proposal with associated costs.</w:t>
      </w:r>
    </w:p>
    <w:p>
      <w:pPr>
        <w:pStyle w:val="ListParagraph"/>
        <w:numPr>
          <w:ilvl w:val="0"/>
          <w:numId w:val="2"/>
        </w:numPr>
        <w:spacing w:before="80" w:after="80"/>
      </w:pPr>
      <w:r>
        <w:rPr>
          <w:rFonts w:ascii="Arial" w:cs="Arial" w:eastAsia="Arial" w:hAnsi="Arial"/>
          <w:b/>
          <w:bCs/>
          <w:color w:val="1A1A1A"/>
          <w:sz w:val="22"/>
          <w:szCs w:val="22"/>
        </w:rPr>
        <w:t xml:space="preserve">Site visit and logistics planning. </w:t>
      </w:r>
      <w:r>
        <w:rPr>
          <w:rFonts w:ascii="Arial" w:cs="Arial" w:eastAsia="Arial" w:hAnsi="Arial"/>
          <w:color w:val="4A4A4A"/>
          <w:sz w:val="22"/>
          <w:szCs w:val="22"/>
        </w:rPr>
        <w:t xml:space="preserve">Pad access, road conditions, and delivery timing are assessed. Spring breakup dates for the specific county road access are confirmed. Container placement and anchor options are reviewed.</w:t>
      </w:r>
    </w:p>
    <w:p>
      <w:pPr>
        <w:pStyle w:val="ListParagraph"/>
        <w:numPr>
          <w:ilvl w:val="0"/>
          <w:numId w:val="2"/>
        </w:numPr>
        <w:spacing w:before="80" w:after="80"/>
      </w:pPr>
      <w:r>
        <w:rPr>
          <w:rFonts w:ascii="Arial" w:cs="Arial" w:eastAsia="Arial" w:hAnsi="Arial"/>
          <w:b/>
          <w:bCs/>
          <w:color w:val="1A1A1A"/>
          <w:sz w:val="22"/>
          <w:szCs w:val="22"/>
        </w:rPr>
        <w:t xml:space="preserve">Pro forma with derate-adjusted economics. </w:t>
      </w:r>
      <w:r>
        <w:rPr>
          <w:rFonts w:ascii="Arial" w:cs="Arial" w:eastAsia="Arial" w:hAnsi="Arial"/>
          <w:color w:val="4A4A4A"/>
          <w:sz w:val="22"/>
          <w:szCs w:val="22"/>
        </w:rPr>
        <w:t xml:space="preserve">Bakken sites run at elevations of roughly 1,700–2,200 feet—minimal altitude derate. The primary economic adjustment is cold-weather package cost and slightly higher maintenance intervals relative to temperate-climate deployments.</w:t>
      </w:r>
    </w:p>
    <w:p>
      <w:pPr>
        <w:pStyle w:val="ListParagraph"/>
        <w:numPr>
          <w:ilvl w:val="0"/>
          <w:numId w:val="2"/>
        </w:numPr>
        <w:spacing w:before="80" w:after="80"/>
      </w:pPr>
      <w:r>
        <w:rPr>
          <w:rFonts w:ascii="Arial" w:cs="Arial" w:eastAsia="Arial" w:hAnsi="Arial"/>
          <w:b/>
          <w:bCs/>
          <w:color w:val="1A1A1A"/>
          <w:sz w:val="22"/>
          <w:szCs w:val="22"/>
        </w:rPr>
        <w:t xml:space="preserve">Agreement and deployment. </w:t>
      </w:r>
      <w:r>
        <w:rPr>
          <w:rFonts w:ascii="Arial" w:cs="Arial" w:eastAsia="Arial" w:hAnsi="Arial"/>
          <w:color w:val="4A4A4A"/>
          <w:sz w:val="22"/>
          <w:szCs w:val="22"/>
        </w:rPr>
        <w:t xml:space="preserve">Timeline from signed agreement to first hash: typically 6–10 weeks for Bakken deployments, accounting for cold-weather equipment lead time and road access scheduling.</w:t>
      </w:r>
    </w:p>
    <w:p>
      <w:pPr>
        <w:spacing w:before="12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Questions Bakken Operators Ask</w:t>
      </w:r>
    </w:p>
    <w:p>
      <w:pPr>
        <w:pStyle w:val="Heading3"/>
        <w:spacing w:before="240" w:after="100"/>
      </w:pPr>
      <w:r>
        <w:rPr>
          <w:rFonts w:ascii="Arial" w:cs="Arial" w:eastAsia="Arial" w:hAnsi="Arial"/>
          <w:b/>
          <w:bCs/>
          <w:color w:val="E8500A"/>
          <w:sz w:val="24"/>
          <w:szCs w:val="24"/>
        </w:rPr>
        <w:t xml:space="preserve">Does on-lease mining satisfy the NDIC’s 95% gas capture requirement?</w:t>
      </w:r>
    </w:p>
    <w:p>
      <w:pPr>
        <w:spacing w:before="100" w:after="140"/>
      </w:pPr>
      <w:r>
        <w:rPr>
          <w:rFonts w:ascii="Arial" w:cs="Arial" w:eastAsia="Arial" w:hAnsi="Arial"/>
          <w:color w:val="4A4A4A"/>
          <w:sz w:val="22"/>
          <w:szCs w:val="22"/>
        </w:rPr>
        <w:t xml:space="preserve">Yes. Gas consumed for on-site power generation counts toward the NDIC’s gas capture percentage under the same logic as pipeline delivery or gas processing—the gas is not being vented or flared. NDIC reporting for on-site use is straightforward and is documented in the deployment agreement. MCF.digital provides the documentation needed to support NDIC compliance reporting on captured volumes.</w:t>
      </w:r>
    </w:p>
    <w:p>
      <w:pPr>
        <w:pStyle w:val="Heading3"/>
        <w:spacing w:before="240" w:after="100"/>
      </w:pPr>
      <w:r>
        <w:rPr>
          <w:rFonts w:ascii="Arial" w:cs="Arial" w:eastAsia="Arial" w:hAnsi="Arial"/>
          <w:b/>
          <w:bCs/>
          <w:color w:val="E8500A"/>
          <w:sz w:val="24"/>
          <w:szCs w:val="24"/>
        </w:rPr>
        <w:t xml:space="preserve">What happens to the deployment during a North Dakota winter?</w:t>
      </w:r>
    </w:p>
    <w:p>
      <w:pPr>
        <w:spacing w:before="100" w:after="140"/>
      </w:pPr>
      <w:r>
        <w:rPr>
          <w:rFonts w:ascii="Arial" w:cs="Arial" w:eastAsia="Arial" w:hAnsi="Arial"/>
          <w:color w:val="4A4A4A"/>
          <w:sz w:val="22"/>
          <w:szCs w:val="22"/>
        </w:rPr>
        <w:t xml:space="preserve">A properly specified Bakken deployment runs through winter without interruption. The cold-weather package for generator sets and containers is not an optional add-on—it is a standard specification for any North Dakota deployment. Remote monitoring via Starlink allows real-time visibility into generator temperature, container conditions, and system status. If intervention is required, service response protocols for Bakken sites account for winter road conditions and include contingency access plans.</w:t>
      </w:r>
    </w:p>
    <w:p>
      <w:pPr>
        <w:pStyle w:val="Heading3"/>
        <w:spacing w:before="240" w:after="100"/>
      </w:pPr>
      <w:r>
        <w:rPr>
          <w:rFonts w:ascii="Arial" w:cs="Arial" w:eastAsia="Arial" w:hAnsi="Arial"/>
          <w:b/>
          <w:bCs/>
          <w:color w:val="E8500A"/>
          <w:sz w:val="24"/>
          <w:szCs w:val="24"/>
        </w:rPr>
        <w:t xml:space="preserve">What if my NDIC variance expires before deployment is complete?</w:t>
      </w:r>
    </w:p>
    <w:p>
      <w:pPr>
        <w:spacing w:before="100" w:after="140"/>
      </w:pPr>
      <w:r>
        <w:rPr>
          <w:rFonts w:ascii="Arial" w:cs="Arial" w:eastAsia="Arial" w:hAnsi="Arial"/>
          <w:color w:val="4A4A4A"/>
          <w:sz w:val="22"/>
          <w:szCs w:val="22"/>
        </w:rPr>
        <w:t xml:space="preserve">Contact MCF.digital immediately if your variance expiration is within 90 days. The evaluation-to-deployment timeline for a Bakken site runs 6–10 weeks. If the variance expiration is imminent, the evaluation process can be accelerated and a deployment agreement can be signed before the variance lapses—which puts the operator in an active compliance remediation posture with NDIC if needed. This is a situation where acting early is materially better than waiting.</w:t>
      </w:r>
    </w:p>
    <w:p>
      <w:pPr>
        <w:pStyle w:val="Heading3"/>
        <w:spacing w:before="240" w:after="100"/>
      </w:pPr>
      <w:r>
        <w:rPr>
          <w:rFonts w:ascii="Arial" w:cs="Arial" w:eastAsia="Arial" w:hAnsi="Arial"/>
          <w:b/>
          <w:bCs/>
          <w:color w:val="E8500A"/>
          <w:sz w:val="24"/>
          <w:szCs w:val="24"/>
        </w:rPr>
        <w:t xml:space="preserve">Is there a difference between flare gas and pipeline-connected gas in the Bakken compliance calculation?</w:t>
      </w:r>
    </w:p>
    <w:p>
      <w:pPr>
        <w:spacing w:before="100" w:after="140"/>
      </w:pPr>
      <w:r>
        <w:rPr>
          <w:rFonts w:ascii="Arial" w:cs="Arial" w:eastAsia="Arial" w:hAnsi="Arial"/>
          <w:color w:val="4A4A4A"/>
          <w:sz w:val="22"/>
          <w:szCs w:val="22"/>
        </w:rPr>
        <w:t xml:space="preserve">NDIC’s capture percentage calculation covers all produced associated gas—whether it is flared, vented, or delivered to a gathering system. On-site use counts toward capture regardless of whether the pad has a pipeline connection. Operators with partial pipeline connections who are still flaring a portion of their gas can deploy an on-lease system on the flared volumes while continuing pipeline delivery on the balance—and both volumes count toward the capture percentage.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Run the numbers on your Bakken pad.</w:t>
            </w:r>
          </w:p>
          <w:p>
            <w:pPr>
              <w:spacing w:before="0" w:after="120"/>
              <w:jc w:val="center"/>
            </w:pPr>
            <w:r>
              <w:rPr>
                <w:rFonts w:ascii="Arial" w:cs="Arial" w:eastAsia="Arial" w:hAnsi="Arial"/>
                <w:color w:val="CCCCCC"/>
                <w:sz w:val="22"/>
                <w:szCs w:val="22"/>
              </w:rPr>
              <w:t xml:space="preserve">Enter your gas volume, NDIC compliance status, and current flaring rate. Get a full pro forma including compliance value alongside direct mining revenue.</w:t>
            </w:r>
          </w:p>
          <w:p>
            <w:pPr>
              <w:spacing w:before="0" w:after="0"/>
              <w:jc w:val="center"/>
            </w:pPr>
            <w:r>
              <w:rPr>
                <w:rFonts w:ascii="Arial" w:cs="Arial" w:eastAsia="Arial" w:hAnsi="Arial"/>
                <w:b/>
                <w:bCs/>
                <w:color w:val="E8500A"/>
                <w:sz w:val="26"/>
                <w:szCs w:val="26"/>
              </w:rPr>
              <w:t xml:space="preserve">tools.mcf.digital</w:t>
            </w:r>
            <w:r>
              <w:rPr>
                <w:rFonts w:ascii="Arial" w:cs="Arial" w:eastAsia="Arial" w:hAnsi="Arial"/>
                <w:color w:val="555555"/>
                <w:sz w:val="24"/>
                <w:szCs w:val="24"/>
              </w:rPr>
              <w:t xml:space="preserve">   ·   </w:t>
            </w:r>
            <w:r>
              <w:rPr>
                <w:rFonts w:ascii="Arial" w:cs="Arial" w:eastAsia="Arial" w:hAnsi="Arial"/>
                <w:b/>
                <w:bCs/>
                <w:color w:val="E8500A"/>
                <w:sz w:val="24"/>
                <w:szCs w:val="24"/>
              </w:rPr>
              <w:t xml:space="preserve">Book a 15-minute fit call</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Related Resources</w:t>
      </w:r>
    </w:p>
    <w:p>
      <w:pPr>
        <w:spacing w:before="100" w:after="140"/>
      </w:pPr>
      <w:r>
        <w:rPr>
          <w:rFonts w:ascii="Arial" w:cs="Arial" w:eastAsia="Arial" w:hAnsi="Arial"/>
          <w:color w:val="4A4A4A"/>
          <w:sz w:val="22"/>
          <w:szCs w:val="22"/>
        </w:rPr>
        <w:t xml:space="preserve">Go deeper on the concepts covered in this guide:</w:t>
      </w:r>
    </w:p>
    <w:p>
      <w:pPr>
        <w:spacing w:before="60" w:after="40"/>
      </w:pPr>
      <w:r>
        <w:t xml:space="preserve"/>
      </w:r>
    </w:p>
    <w:p>
      <w:pPr>
        <w:pStyle w:val="ListParagraph"/>
        <w:numPr>
          <w:ilvl w:val="0"/>
          <w:numId w:val="3"/>
        </w:numPr>
        <w:spacing w:before="60" w:after="60"/>
      </w:pPr>
      <w:r>
        <w:rPr>
          <w:rFonts w:ascii="Arial" w:cs="Arial" w:eastAsia="Arial" w:hAnsi="Arial"/>
          <w:b/>
          <w:bCs/>
          <w:color w:val="1A1A1A"/>
          <w:sz w:val="22"/>
          <w:szCs w:val="22"/>
        </w:rPr>
        <w:t xml:space="preserve">Stranded Gas Bitcoin Mining: When It Pencils and When It Doesn’t — </w:t>
      </w:r>
      <w:r>
        <w:rPr>
          <w:rFonts w:ascii="Arial" w:cs="Arial" w:eastAsia="Arial" w:hAnsi="Arial"/>
          <w:color w:val="4A4A4A"/>
          <w:sz w:val="22"/>
          <w:szCs w:val="22"/>
        </w:rPr>
        <w:t xml:space="preserve">mcf.digital/operator-guides/stranded-gas-bitcoin-mining</w:t>
      </w:r>
    </w:p>
    <w:p>
      <w:pPr>
        <w:pStyle w:val="ListParagraph"/>
        <w:numPr>
          <w:ilvl w:val="0"/>
          <w:numId w:val="3"/>
        </w:numPr>
        <w:spacing w:before="60" w:after="60"/>
      </w:pPr>
      <w:r>
        <w:rPr>
          <w:rFonts w:ascii="Arial" w:cs="Arial" w:eastAsia="Arial" w:hAnsi="Arial"/>
          <w:b/>
          <w:bCs/>
          <w:color w:val="1A1A1A"/>
          <w:sz w:val="22"/>
          <w:szCs w:val="22"/>
        </w:rPr>
        <w:t xml:space="preserve">What Is a Genset Derate? — </w:t>
      </w:r>
      <w:r>
        <w:rPr>
          <w:rFonts w:ascii="Arial" w:cs="Arial" w:eastAsia="Arial" w:hAnsi="Arial"/>
          <w:color w:val="4A4A4A"/>
          <w:sz w:val="22"/>
          <w:szCs w:val="22"/>
        </w:rPr>
        <w:t xml:space="preserve">mcf.digital/glossary/what-is-genset-derate</w:t>
      </w:r>
    </w:p>
    <w:p>
      <w:pPr>
        <w:pStyle w:val="ListParagraph"/>
        <w:numPr>
          <w:ilvl w:val="0"/>
          <w:numId w:val="3"/>
        </w:numPr>
        <w:spacing w:before="60" w:after="60"/>
      </w:pPr>
      <w:r>
        <w:rPr>
          <w:rFonts w:ascii="Arial" w:cs="Arial" w:eastAsia="Arial" w:hAnsi="Arial"/>
          <w:b/>
          <w:bCs/>
          <w:color w:val="1A1A1A"/>
          <w:sz w:val="22"/>
          <w:szCs w:val="22"/>
        </w:rPr>
        <w:t xml:space="preserve">What Is a Methane Number? Gas Quality and Bitcoin Mining Compatibility — </w:t>
      </w:r>
      <w:r>
        <w:rPr>
          <w:rFonts w:ascii="Arial" w:cs="Arial" w:eastAsia="Arial" w:hAnsi="Arial"/>
          <w:color w:val="4A4A4A"/>
          <w:sz w:val="22"/>
          <w:szCs w:val="22"/>
        </w:rPr>
        <w:t xml:space="preserve">mcf.digital/glossary/what-is-methane-number</w:t>
      </w:r>
    </w:p>
    <w:p>
      <w:pPr>
        <w:pStyle w:val="ListParagraph"/>
        <w:numPr>
          <w:ilvl w:val="0"/>
          <w:numId w:val="3"/>
        </w:numPr>
        <w:spacing w:before="60" w:after="60"/>
      </w:pPr>
      <w:r>
        <w:rPr>
          <w:rFonts w:ascii="Arial" w:cs="Arial" w:eastAsia="Arial" w:hAnsi="Arial"/>
          <w:b/>
          <w:bCs/>
          <w:color w:val="1A1A1A"/>
          <w:sz w:val="22"/>
          <w:szCs w:val="22"/>
        </w:rPr>
        <w:t xml:space="preserve">What Is Flare Gas? — </w:t>
      </w:r>
      <w:r>
        <w:rPr>
          <w:rFonts w:ascii="Arial" w:cs="Arial" w:eastAsia="Arial" w:hAnsi="Arial"/>
          <w:color w:val="4A4A4A"/>
          <w:sz w:val="22"/>
          <w:szCs w:val="22"/>
        </w:rPr>
        <w:t xml:space="preserve">mcf.digital/glossary/what-is-flare-gas</w:t>
      </w:r>
    </w:p>
    <w:p>
      <w:pPr>
        <w:pStyle w:val="ListParagraph"/>
        <w:numPr>
          <w:ilvl w:val="0"/>
          <w:numId w:val="3"/>
        </w:numPr>
        <w:spacing w:before="60" w:after="60"/>
      </w:pPr>
      <w:r>
        <w:rPr>
          <w:rFonts w:ascii="Arial" w:cs="Arial" w:eastAsia="Arial" w:hAnsi="Arial"/>
          <w:b/>
          <w:bCs/>
          <w:color w:val="1A1A1A"/>
          <w:sz w:val="22"/>
          <w:szCs w:val="22"/>
        </w:rPr>
        <w:t xml:space="preserve">The Permian Operator’s Guide to Flare Gas Monetization — </w:t>
      </w:r>
      <w:r>
        <w:rPr>
          <w:rFonts w:ascii="Arial" w:cs="Arial" w:eastAsia="Arial" w:hAnsi="Arial"/>
          <w:color w:val="4A4A4A"/>
          <w:sz w:val="22"/>
          <w:szCs w:val="22"/>
        </w:rPr>
        <w:t xml:space="preserve">mcf.digital/operator-guides/permian-flare-gas-monetization</w:t>
      </w:r>
    </w:p>
    <w:p>
      <w:pPr>
        <w:pStyle w:val="ListParagraph"/>
        <w:numPr>
          <w:ilvl w:val="0"/>
          <w:numId w:val="3"/>
        </w:numPr>
        <w:spacing w:before="60" w:after="60"/>
      </w:pPr>
      <w:r>
        <w:rPr>
          <w:rFonts w:ascii="Arial" w:cs="Arial" w:eastAsia="Arial" w:hAnsi="Arial"/>
          <w:b/>
          <w:bCs/>
          <w:color w:val="1A1A1A"/>
          <w:sz w:val="22"/>
          <w:szCs w:val="22"/>
        </w:rPr>
        <w:t xml:space="preserve">Commodity Risk, Uptime Risk, and Site Risk: The Three Risk Categories — </w:t>
      </w:r>
      <w:r>
        <w:rPr>
          <w:rFonts w:ascii="Arial" w:cs="Arial" w:eastAsia="Arial" w:hAnsi="Arial"/>
          <w:color w:val="4A4A4A"/>
          <w:sz w:val="22"/>
          <w:szCs w:val="22"/>
        </w:rPr>
        <w:t xml:space="preserve">mcf.digital/operator-guides/three-risk-categories</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Bakken / Williston Basin O&amp;G Operators  ·  Category: Operator Guide  ·  mcf.digital/operator-guides/bakken-flare-gas-bitcoin</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mcf.digital/operator-guides/bakken-flare-gas-bitcoin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OPERATOR GUIDE  |  Bakken Flare Gas to Bitcoin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2026-02-26T18:59:47.331Z</dcterms:created>
  <dcterms:modified xsi:type="dcterms:W3CDTF">2026-02-26T18:59:47.332Z</dcterms:modified>
</cp:coreProperties>
</file>

<file path=docProps/custom.xml><?xml version="1.0" encoding="utf-8"?>
<Properties xmlns="http://schemas.openxmlformats.org/officeDocument/2006/custom-properties" xmlns:vt="http://schemas.openxmlformats.org/officeDocument/2006/docPropsVTypes"/>
</file>