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pPr>
      <w:r>
        <w:rPr>
          <w:rFonts w:ascii="Arial" w:cs="Arial" w:eastAsia="Arial" w:hAnsi="Arial"/>
          <w:caps/>
          <w:color w:val="999999"/>
          <w:sz w:val="18"/>
          <w:szCs w:val="18"/>
        </w:rPr>
        <w:t xml:space="preserve">OPERATOR GUIDE  //  EAGLE FORD  ·  HAYNESVILLE</w:t>
      </w:r>
    </w:p>
    <w:p>
      <w:pPr>
        <w:spacing w:before="0" w:after="80"/>
      </w:pPr>
      <w:r>
        <w:rPr>
          <w:rFonts w:ascii="Arial" w:cs="Arial" w:eastAsia="Arial" w:hAnsi="Arial"/>
          <w:b/>
          <w:bCs/>
          <w:color w:val="1A1A1A"/>
          <w:sz w:val="48"/>
          <w:szCs w:val="48"/>
        </w:rPr>
        <w:t xml:space="preserve">Eagle Ford and Haynesville:</w:t>
      </w:r>
    </w:p>
    <w:p>
      <w:pPr>
        <w:spacing w:before="0" w:after="200"/>
      </w:pPr>
      <w:r>
        <w:rPr>
          <w:rFonts w:ascii="Arial" w:cs="Arial" w:eastAsia="Arial" w:hAnsi="Arial"/>
          <w:b/>
          <w:bCs/>
          <w:color w:val="E8500A"/>
          <w:sz w:val="44"/>
          <w:szCs w:val="44"/>
        </w:rPr>
        <w:t xml:space="preserve">Comparing Two Gas Monetization Markets</w:t>
      </w:r>
    </w:p>
    <w:p>
      <w:pPr>
        <w:pBdr>
          <w:bottom w:val="single" w:color="E8D5CC" w:sz="6" w:space="4"/>
        </w:pBdr>
        <w:spacing w:before="0" w:after="320"/>
      </w:pPr>
      <w:r>
        <w:rPr>
          <w:rFonts w:ascii="Arial" w:cs="Arial" w:eastAsia="Arial" w:hAnsi="Arial"/>
          <w:color w:val="4A4A4A"/>
          <w:sz w:val="24"/>
          <w:szCs w:val="24"/>
        </w:rPr>
        <w:t xml:space="preserve">Two Texas–Louisiana basins. Two different gas problems. The Eagle Ford produces oil first and treats gas as an obligation. The Haynesville produces gas first and struggles with netback compression. Both have volumes that work for on-lease Bitcoin mining—but for entirely different reasons.</w:t>
      </w:r>
    </w:p>
    <w:p>
      <w:pPr>
        <w:spacing w:before="2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3840"/>
        <w:gridCol w:w="3840"/>
      </w:tblGrid>
      <w:tr>
        <w:trPr>
          <w:tblHeader/>
        </w:trPr>
        <w:tc>
          <w:tcPr>
            <w:tcW w:type="dxa" w:w="168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sz w:val="20"/>
                <w:szCs w:val="20"/>
              </w:rPr>
              <w:t xml:space="preserve"/>
            </w:r>
          </w:p>
        </w:tc>
        <w:tc>
          <w:tcPr>
            <w:tcW w:type="dxa" w:w="3840"/>
            <w:tcBorders>
              <w:top w:val="single" w:color="DDDDDD" w:sz="1"/>
              <w:left w:val="single" w:color="DDDDDD" w:sz="1"/>
              <w:bottom w:val="single" w:color="DDDDDD" w:sz="1"/>
              <w:right w:val="single" w:color="DDDDDD" w:sz="1"/>
            </w:tcBorders>
            <w:shd w:fill="1A3A5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Eagle Ford  (South Texas)</w:t>
            </w:r>
          </w:p>
        </w:tc>
        <w:tc>
          <w:tcPr>
            <w:tcW w:type="dxa" w:w="3840"/>
            <w:tcBorders>
              <w:top w:val="single" w:color="DDDDDD" w:sz="1"/>
              <w:left w:val="single" w:color="DDDDDD" w:sz="1"/>
              <w:bottom w:val="single" w:color="DDDDDD" w:sz="1"/>
              <w:right w:val="single" w:color="DDDDDD" w:sz="1"/>
            </w:tcBorders>
            <w:shd w:fill="1A4A3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Haynesville  (LA / East TX)</w:t>
            </w:r>
          </w:p>
        </w:tc>
      </w:tr>
      <w:tr>
        <w:tc>
          <w:tcPr>
            <w:tcW w:type="dxa" w:w="1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1A1A1A"/>
                <w:sz w:val="19"/>
                <w:szCs w:val="19"/>
              </w:rPr>
              <w:t xml:space="preserve">Primary product</w:t>
            </w:r>
          </w:p>
        </w:tc>
        <w:tc>
          <w:tcPr>
            <w:tcW w:type="dxa" w:w="38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4A4A4A"/>
                <w:sz w:val="19"/>
                <w:szCs w:val="19"/>
              </w:rPr>
              <w:t xml:space="preserve">Oil. Gas is associated byproduct.</w:t>
            </w:r>
          </w:p>
        </w:tc>
        <w:tc>
          <w:tcPr>
            <w:tcW w:type="dxa" w:w="38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4A4A4A"/>
                <w:sz w:val="19"/>
                <w:szCs w:val="19"/>
              </w:rPr>
              <w:t xml:space="preserve">Dry gas. Gas is the primary product.</w:t>
            </w:r>
          </w:p>
        </w:tc>
      </w:tr>
      <w:tr>
        <w:tc>
          <w:tcPr>
            <w:tcW w:type="dxa" w:w="1680"/>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b/>
                <w:bCs/>
                <w:color w:val="1A1A1A"/>
                <w:sz w:val="19"/>
                <w:szCs w:val="19"/>
              </w:rPr>
              <w:t xml:space="preserve">Gas problem type</w:t>
            </w:r>
          </w:p>
        </w:tc>
        <w:tc>
          <w:tcPr>
            <w:tcW w:type="dxa" w:w="3840"/>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color w:val="4A4A4A"/>
                <w:sz w:val="19"/>
                <w:szCs w:val="19"/>
              </w:rPr>
              <w:t xml:space="preserve">Flared / stranded associated gas</w:t>
            </w:r>
          </w:p>
        </w:tc>
        <w:tc>
          <w:tcPr>
            <w:tcW w:type="dxa" w:w="3840"/>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color w:val="4A4A4A"/>
                <w:sz w:val="19"/>
                <w:szCs w:val="19"/>
              </w:rPr>
              <w:t xml:space="preserve">Compressed netback, low Henry Hub sensitivity</w:t>
            </w:r>
          </w:p>
        </w:tc>
      </w:tr>
      <w:tr>
        <w:tc>
          <w:tcPr>
            <w:tcW w:type="dxa" w:w="1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1A1A1A"/>
                <w:sz w:val="19"/>
                <w:szCs w:val="19"/>
              </w:rPr>
              <w:t xml:space="preserve">Regulatory body</w:t>
            </w:r>
          </w:p>
        </w:tc>
        <w:tc>
          <w:tcPr>
            <w:tcW w:type="dxa" w:w="38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4A4A4A"/>
                <w:sz w:val="19"/>
                <w:szCs w:val="19"/>
              </w:rPr>
              <w:t xml:space="preserve">Texas RRC + TCEQ</w:t>
            </w:r>
          </w:p>
        </w:tc>
        <w:tc>
          <w:tcPr>
            <w:tcW w:type="dxa" w:w="38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4A4A4A"/>
                <w:sz w:val="19"/>
                <w:szCs w:val="19"/>
              </w:rPr>
              <w:t xml:space="preserve">Louisiana DNR (LA) + Texas RRC (E. TX)</w:t>
            </w:r>
          </w:p>
        </w:tc>
      </w:tr>
      <w:tr>
        <w:tc>
          <w:tcPr>
            <w:tcW w:type="dxa" w:w="1680"/>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b/>
                <w:bCs/>
                <w:color w:val="1A1A1A"/>
                <w:sz w:val="19"/>
                <w:szCs w:val="19"/>
              </w:rPr>
              <w:t xml:space="preserve">Gas quality</w:t>
            </w:r>
          </w:p>
        </w:tc>
        <w:tc>
          <w:tcPr>
            <w:tcW w:type="dxa" w:w="3840"/>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color w:val="4A4A4A"/>
                <w:sz w:val="19"/>
                <w:szCs w:val="19"/>
              </w:rPr>
              <w:t xml:space="preserve">Variable; lean to moderate richness</w:t>
            </w:r>
          </w:p>
        </w:tc>
        <w:tc>
          <w:tcPr>
            <w:tcW w:type="dxa" w:w="3840"/>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color w:val="4A4A4A"/>
                <w:sz w:val="19"/>
                <w:szCs w:val="19"/>
              </w:rPr>
              <w:t xml:space="preserve">Lean dry gas; MN 85–95+; highly consistent</w:t>
            </w:r>
          </w:p>
        </w:tc>
      </w:tr>
      <w:tr>
        <w:tc>
          <w:tcPr>
            <w:tcW w:type="dxa" w:w="1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1A1A1A"/>
                <w:sz w:val="19"/>
                <w:szCs w:val="19"/>
              </w:rPr>
              <w:t xml:space="preserve">Deployment driver</w:t>
            </w:r>
          </w:p>
        </w:tc>
        <w:tc>
          <w:tcPr>
            <w:tcW w:type="dxa" w:w="38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4A4A4A"/>
                <w:sz w:val="19"/>
                <w:szCs w:val="19"/>
              </w:rPr>
              <w:t xml:space="preserve">Compliance + incremental revenue</w:t>
            </w:r>
          </w:p>
        </w:tc>
        <w:tc>
          <w:tcPr>
            <w:tcW w:type="dxa" w:w="38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4A4A4A"/>
                <w:sz w:val="19"/>
                <w:szCs w:val="19"/>
              </w:rPr>
              <w:t xml:space="preserve">Netback improvement + marginal volume value</w:t>
            </w:r>
          </w:p>
        </w:tc>
      </w:tr>
      <w:tr>
        <w:tc>
          <w:tcPr>
            <w:tcW w:type="dxa" w:w="1680"/>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b/>
                <w:bCs/>
                <w:color w:val="1A1A1A"/>
                <w:sz w:val="19"/>
                <w:szCs w:val="19"/>
              </w:rPr>
              <w:t xml:space="preserve">Altitude / climate</w:t>
            </w:r>
          </w:p>
        </w:tc>
        <w:tc>
          <w:tcPr>
            <w:tcW w:type="dxa" w:w="3840"/>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color w:val="4A4A4A"/>
                <w:sz w:val="19"/>
                <w:szCs w:val="19"/>
              </w:rPr>
              <w:t xml:space="preserve">Sea level to 800 ft; hot summers</w:t>
            </w:r>
          </w:p>
        </w:tc>
        <w:tc>
          <w:tcPr>
            <w:tcW w:type="dxa" w:w="3840"/>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color w:val="4A4A4A"/>
                <w:sz w:val="19"/>
                <w:szCs w:val="19"/>
              </w:rPr>
              <w:t xml:space="preserve">Sea level to 500 ft; hot, humid summers</w:t>
            </w:r>
          </w:p>
        </w:tc>
      </w:tr>
    </w:tbl>
    <w:p>
      <w:pPr>
        <w:spacing w:before="240" w:after="12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The Eagle Ford: Associated Gas as a Compliance and Revenue Problem</w:t>
      </w:r>
    </w:p>
    <w:p>
      <w:pPr>
        <w:spacing w:before="100" w:after="140"/>
      </w:pPr>
      <w:r>
        <w:rPr>
          <w:rFonts w:ascii="Arial" w:cs="Arial" w:eastAsia="Arial" w:hAnsi="Arial"/>
          <w:color w:val="4A4A4A"/>
          <w:sz w:val="22"/>
          <w:szCs w:val="22"/>
        </w:rPr>
        <w:t xml:space="preserve">The Eagle Ford Shale runs across a broad arc of South Texas from Webb County in the west through DeWitt and Karnes counties in the volatile oil window to the east. It is predominantly an oil play. Operators in the Eagle Ford are in the business of producing crude—the associated gas that comes up with the oil is, for many of them, a cost center that happens to occasionally generate revenue.</w:t>
      </w:r>
    </w:p>
    <w:p>
      <w:pPr>
        <w:spacing w:before="100" w:after="140"/>
      </w:pPr>
      <w:r>
        <w:rPr>
          <w:rFonts w:ascii="Arial" w:cs="Arial" w:eastAsia="Arial" w:hAnsi="Arial"/>
          <w:color w:val="4A4A4A"/>
          <w:sz w:val="22"/>
          <w:szCs w:val="22"/>
        </w:rPr>
        <w:t xml:space="preserve">That framing shapes the gas monetization problem in the Eagle Ford. Operators are not primarily trying to maximize gas revenue—they are trying to minimize the cost and complexity of disposing of gas that they are legally obligated to manage. Flaring is one tool for that disposal, but it carries regulatory exposure under TCEQ’s flaring authorization framework and EPA’s methane rules. An on-lease deployment replaces a compliance liability with a revenue stream without requiring any change to the operator’s primary oil production focus.</w:t>
      </w:r>
    </w:p>
    <w:p>
      <w:pPr>
        <w:pStyle w:val="Heading3"/>
        <w:spacing w:before="240" w:after="100"/>
      </w:pPr>
      <w:r>
        <w:rPr>
          <w:rFonts w:ascii="Arial" w:cs="Arial" w:eastAsia="Arial" w:hAnsi="Arial"/>
          <w:b/>
          <w:bCs/>
          <w:color w:val="E8500A"/>
          <w:sz w:val="24"/>
          <w:szCs w:val="24"/>
        </w:rPr>
        <w:t xml:space="preserve">The Associated Gas Volumes That Matter</w:t>
      </w:r>
    </w:p>
    <w:p>
      <w:pPr>
        <w:spacing w:before="100" w:after="140"/>
      </w:pPr>
      <w:r>
        <w:rPr>
          <w:rFonts w:ascii="Arial" w:cs="Arial" w:eastAsia="Arial" w:hAnsi="Arial"/>
          <w:color w:val="4A4A4A"/>
          <w:sz w:val="22"/>
          <w:szCs w:val="22"/>
        </w:rPr>
        <w:t xml:space="preserve">Eagle Ford wells in the volatile oil and condensate windows can produce significant associated gas volumes—ranging from a few hundred Mcfd on leaner wells to 1–2 MMcfd on high-GOR condensate wells. The gas-to-oil ratio (GOR) increases as wells age and as operators move into more gas-prone areas of the play, meaning the associated gas problem can grow over time for a given pad.</w:t>
      </w:r>
    </w:p>
    <w:p>
      <w:pPr>
        <w:spacing w:before="100" w:after="140"/>
      </w:pPr>
      <w:r>
        <w:rPr>
          <w:rFonts w:ascii="Arial" w:cs="Arial" w:eastAsia="Arial" w:hAnsi="Arial"/>
          <w:color w:val="4A4A4A"/>
          <w:sz w:val="22"/>
          <w:szCs w:val="22"/>
        </w:rPr>
        <w:t xml:space="preserve">The most attractive Eagle Ford candidates for on-lease deployment are pads where: (1) current flaring volumes are above 100 Mcfd, (2) the gathering connection is delayed or the pipeline netback is below $1.50/Mcf after fees, or (3) the pad is approaching a TCEQ flaring authorization limit that would require either a new permit or a curtailment decision. All three conditions are common in the Eagle Ford’s more remote production areas west of the core Karnes–DeWitt sweet spot.</w:t>
      </w:r>
    </w:p>
    <w:p>
      <w:pPr>
        <w:pStyle w:val="Heading3"/>
        <w:spacing w:before="240" w:after="100"/>
      </w:pPr>
      <w:r>
        <w:rPr>
          <w:rFonts w:ascii="Arial" w:cs="Arial" w:eastAsia="Arial" w:hAnsi="Arial"/>
          <w:b/>
          <w:bCs/>
          <w:color w:val="E8500A"/>
          <w:sz w:val="24"/>
          <w:szCs w:val="24"/>
        </w:rPr>
        <w:t xml:space="preserve">Texas Regulatory Framework: TCEQ and the RRC</w:t>
      </w:r>
    </w:p>
    <w:p>
      <w:pPr>
        <w:spacing w:before="100" w:after="140"/>
      </w:pPr>
      <w:r>
        <w:rPr>
          <w:rFonts w:ascii="Arial" w:cs="Arial" w:eastAsia="Arial" w:hAnsi="Arial"/>
          <w:color w:val="4A4A4A"/>
          <w:sz w:val="22"/>
          <w:szCs w:val="22"/>
        </w:rPr>
        <w:t xml:space="preserve">Eagle Ford operators are subject to the Railroad Commission of Texas (RRC) for well permitting and production reporting, and to TCEQ for air quality authorizations related to flaring. Routine flaring without authorization is prohibited in Texas, and TCEQ’s flaring permit review process has become more stringent in recent years, particularly for operators with repeated or high-volume flaring events.</w:t>
      </w:r>
    </w:p>
    <w:p>
      <w:pPr>
        <w:spacing w:before="100" w:after="140"/>
      </w:pPr>
      <w:r>
        <w:rPr>
          <w:rFonts w:ascii="Arial" w:cs="Arial" w:eastAsia="Arial" w:hAnsi="Arial"/>
          <w:color w:val="4A4A4A"/>
          <w:sz w:val="22"/>
          <w:szCs w:val="22"/>
        </w:rPr>
        <w:t xml:space="preserve">The EPA methane waste charge applies to Eagle Ford operators above the intensity thresholds introduced under the Inflation Reduction Act, adding a federal cost layer on top of state permit exposure. For pads flaring 150+ Mcfd, the annual EPA fee exposure at $1,500/metric ton of methane (2026 rate) can exceed $50,000–$100,000 per year per pad—a material cost that an on-lease deployment eliminates entirely.</w:t>
      </w:r>
    </w:p>
    <w:p>
      <w:pPr>
        <w:pStyle w:val="Heading3"/>
        <w:spacing w:before="240" w:after="100"/>
      </w:pPr>
      <w:r>
        <w:rPr>
          <w:rFonts w:ascii="Arial" w:cs="Arial" w:eastAsia="Arial" w:hAnsi="Arial"/>
          <w:b/>
          <w:bCs/>
          <w:color w:val="E8500A"/>
          <w:sz w:val="24"/>
          <w:szCs w:val="24"/>
        </w:rPr>
        <w:t xml:space="preserve">Gas Quality in the Eagle Ford</w:t>
      </w:r>
    </w:p>
    <w:p>
      <w:pPr>
        <w:spacing w:before="100" w:after="140"/>
      </w:pPr>
      <w:r>
        <w:rPr>
          <w:rFonts w:ascii="Arial" w:cs="Arial" w:eastAsia="Arial" w:hAnsi="Arial"/>
          <w:color w:val="4A4A4A"/>
          <w:sz w:val="22"/>
          <w:szCs w:val="22"/>
        </w:rPr>
        <w:t xml:space="preserve">Eagle Ford gas quality varies significantly by window. Dry gas window and condensate window gas is lean—methane numbers in the 80–90 range, BTU around 1,050–1,100, minimal H2S. Volatile oil window gas can be richer, with higher NGL content and methane numbers in the 70–80 range. Most Eagle Ford gas falls within standard genset compatibility parameters. Rich gas streams in the oil window should be gas-analyzed before genset selection, but do not typically require conditioning.</w:t>
      </w:r>
    </w:p>
    <w:p>
      <w:pPr>
        <w:pStyle w:val="Heading3"/>
        <w:spacing w:before="240" w:after="100"/>
      </w:pPr>
      <w:r>
        <w:rPr>
          <w:rFonts w:ascii="Arial" w:cs="Arial" w:eastAsia="Arial" w:hAnsi="Arial"/>
          <w:b/>
          <w:bCs/>
          <w:color w:val="E8500A"/>
          <w:sz w:val="24"/>
          <w:szCs w:val="24"/>
        </w:rPr>
        <w:t xml:space="preserve">Climate and Site Conditions</w:t>
      </w:r>
    </w:p>
    <w:p>
      <w:pPr>
        <w:spacing w:before="100" w:after="140"/>
      </w:pPr>
      <w:r>
        <w:rPr>
          <w:rFonts w:ascii="Arial" w:cs="Arial" w:eastAsia="Arial" w:hAnsi="Arial"/>
          <w:color w:val="4A4A4A"/>
          <w:sz w:val="22"/>
          <w:szCs w:val="22"/>
        </w:rPr>
        <w:t xml:space="preserve">Eagle Ford pad elevations range from near sea level in the east to 800–1,200 feet in the western counties—altitude derate is minimal. The dominant climate challenge is summer heat: ambient temperatures of 100–110°F in July and August create temperature derate conditions and require active cooling management for mining containers. South Texas summer heat is a real engineering constraint, not a footnote. All Eagle Ford container deployments are specified with appropriate thermal management for sustained high-ambient operation.</w:t>
      </w:r>
    </w:p>
    <w:p>
      <w:pPr>
        <w:spacing w:before="80" w:after="8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The Haynesville: A Dry Gas Basin with a Netback Problem</w:t>
      </w:r>
    </w:p>
    <w:p>
      <w:pPr>
        <w:spacing w:before="100" w:after="140"/>
      </w:pPr>
      <w:r>
        <w:rPr>
          <w:rFonts w:ascii="Arial" w:cs="Arial" w:eastAsia="Arial" w:hAnsi="Arial"/>
          <w:color w:val="4A4A4A"/>
          <w:sz w:val="22"/>
          <w:szCs w:val="22"/>
        </w:rPr>
        <w:t xml:space="preserve">The Haynesville Shale sits under northwestern Louisiana and East Texas, producing predominantly dry natural gas from one of the highest-pressure, highest-temperature shale formations in North America. Unlike the Eagle Ford, Haynesville operators are in the gas business—this is not a byproduct situation. The gas is the product, and the economics of that product are the entire story.</w:t>
      </w:r>
    </w:p>
    <w:p>
      <w:pPr>
        <w:spacing w:before="100" w:after="140"/>
      </w:pPr>
      <w:r>
        <w:rPr>
          <w:rFonts w:ascii="Arial" w:cs="Arial" w:eastAsia="Arial" w:hAnsi="Arial"/>
          <w:color w:val="4A4A4A"/>
          <w:sz w:val="22"/>
          <w:szCs w:val="22"/>
        </w:rPr>
        <w:t xml:space="preserve">The Haynesville’s gas problem is not flaring—flaring rates in the Haynesville are low because the gas is the primary revenue source and there is no incentive to burn it. The problem is netback compression: the combination of gathering fees, pipeline tariffs, fuel deductions, and Henry Hub price sensitivity that can reduce a Haynesville operator’s wellhead netback to levels that barely justify continued production on marginal wells or during low-price periods.</w:t>
      </w:r>
    </w:p>
    <w:p>
      <w:pPr>
        <w:pStyle w:val="Heading3"/>
        <w:spacing w:before="240" w:after="100"/>
      </w:pPr>
      <w:r>
        <w:rPr>
          <w:rFonts w:ascii="Arial" w:cs="Arial" w:eastAsia="Arial" w:hAnsi="Arial"/>
          <w:b/>
          <w:bCs/>
          <w:color w:val="E8500A"/>
          <w:sz w:val="24"/>
          <w:szCs w:val="24"/>
        </w:rPr>
        <w:t xml:space="preserve">The Netback Compression Dynamic</w:t>
      </w:r>
    </w:p>
    <w:p>
      <w:pPr>
        <w:spacing w:before="100" w:after="140"/>
      </w:pPr>
      <w:r>
        <w:rPr>
          <w:rFonts w:ascii="Arial" w:cs="Arial" w:eastAsia="Arial" w:hAnsi="Arial"/>
          <w:color w:val="4A4A4A"/>
          <w:sz w:val="22"/>
          <w:szCs w:val="22"/>
        </w:rPr>
        <w:t xml:space="preserve">Haynesville gas production feeds predominantly into Gulf Coast export infrastructure, LNG terminals, and industrial demand centers. In a high-price environment, Haynesville netbacks are healthy. In a soft Henry Hub environment—$2.00–$2.50/MMBtu—gathering and processing fees of $0.40–$0.80/MMBtu can consume 20–40% of gross wellhead value. On marginal wells or on volumes subject to minimum volume commitment (MVC) deficiency payments, netbacks can go negative.</w:t>
      </w:r>
    </w:p>
    <w:p>
      <w:pPr>
        <w:spacing w:before="100" w:after="140"/>
      </w:pPr>
      <w:r>
        <w:rPr>
          <w:rFonts w:ascii="Arial" w:cs="Arial" w:eastAsia="Arial" w:hAnsi="Arial"/>
          <w:color w:val="4A4A4A"/>
          <w:sz w:val="22"/>
          <w:szCs w:val="22"/>
        </w:rPr>
        <w:t xml:space="preserve">The on-lease carve-out addresses the marginal Haynesville volume directly. Gas that is delivering to the pipeline at $1.00/Mcf net or below—or gas triggering MVC deficiency payments—is a better candidate for on-lease use than continued pipeline delivery. The comparison is not between on-lease mining and flaring; it is between on-lease mining and a compressed or negative pipeline netback.</w:t>
      </w:r>
    </w:p>
    <w:p>
      <w:pPr>
        <w:pStyle w:val="Heading3"/>
        <w:spacing w:before="240" w:after="100"/>
      </w:pPr>
      <w:r>
        <w:rPr>
          <w:rFonts w:ascii="Arial" w:cs="Arial" w:eastAsia="Arial" w:hAnsi="Arial"/>
          <w:b/>
          <w:bCs/>
          <w:color w:val="E8500A"/>
          <w:sz w:val="24"/>
          <w:szCs w:val="24"/>
        </w:rPr>
        <w:t xml:space="preserve">Haynesville Gas Quality: The Best in the Guide</w:t>
      </w:r>
    </w:p>
    <w:p>
      <w:pPr>
        <w:spacing w:before="100" w:after="140"/>
      </w:pPr>
      <w:r>
        <w:rPr>
          <w:rFonts w:ascii="Arial" w:cs="Arial" w:eastAsia="Arial" w:hAnsi="Arial"/>
          <w:color w:val="4A4A4A"/>
          <w:sz w:val="22"/>
          <w:szCs w:val="22"/>
        </w:rPr>
        <w:t xml:space="preserve">Haynesville gas is among the highest-quality fuel gas available for generator operation in any U.S. producing basin. It is dry, lean, and consistent: methane content typically runs 90–95%+, methane numbers in the 88–95 range, BTU around 1,020–1,050, and H2S near zero. There is essentially no gas quality risk in a Haynesville deployment. The gas will run any standard spark-ignited genset at rated efficiency, without conditioning, without derate, and without variability between pads.</w:t>
      </w:r>
    </w:p>
    <w:p>
      <w:pPr>
        <w:spacing w:before="100" w:after="140"/>
      </w:pPr>
      <w:r>
        <w:rPr>
          <w:rFonts w:ascii="Arial" w:cs="Arial" w:eastAsia="Arial" w:hAnsi="Arial"/>
          <w:color w:val="4A4A4A"/>
          <w:sz w:val="22"/>
          <w:szCs w:val="22"/>
        </w:rPr>
        <w:t xml:space="preserve">This consistency matters for fleet-level planning. An operator deploying on-lease systems across multiple Haynesville pads can use standardized genset configurations without pad-by-pad gas analysis. That simplifies logistics, reduces procurement lead time, and makes the economics more predictable.</w:t>
      </w:r>
    </w:p>
    <w:p>
      <w:pPr>
        <w:pStyle w:val="Heading3"/>
        <w:spacing w:before="240" w:after="100"/>
      </w:pPr>
      <w:r>
        <w:rPr>
          <w:rFonts w:ascii="Arial" w:cs="Arial" w:eastAsia="Arial" w:hAnsi="Arial"/>
          <w:b/>
          <w:bCs/>
          <w:color w:val="E8500A"/>
          <w:sz w:val="24"/>
          <w:szCs w:val="24"/>
        </w:rPr>
        <w:t xml:space="preserve">Louisiana and East Texas Regulatory Frameworks</w:t>
      </w:r>
    </w:p>
    <w:p>
      <w:pPr>
        <w:spacing w:before="100" w:after="140"/>
      </w:pPr>
      <w:r>
        <w:rPr>
          <w:rFonts w:ascii="Arial" w:cs="Arial" w:eastAsia="Arial" w:hAnsi="Arial"/>
          <w:color w:val="4A4A4A"/>
          <w:sz w:val="22"/>
          <w:szCs w:val="22"/>
        </w:rPr>
        <w:t xml:space="preserve">Louisiana Haynesville operations are regulated by the Louisiana Department of Natural Resources (DNR) Office of Conservation for production matters. Louisiana does not have the same strict routine flaring prohibition framework as Colorado, but flaring of produced gas is subject to DNR reporting and is not treated as a default gas management option for producing wells. On-site use for power generation is a recognized alternative with no unique permitting barrier beyond standard air quality registration for the engine.</w:t>
      </w:r>
    </w:p>
    <w:p>
      <w:pPr>
        <w:spacing w:before="100" w:after="140"/>
      </w:pPr>
      <w:r>
        <w:rPr>
          <w:rFonts w:ascii="Arial" w:cs="Arial" w:eastAsia="Arial" w:hAnsi="Arial"/>
          <w:color w:val="4A4A4A"/>
          <w:sz w:val="22"/>
          <w:szCs w:val="22"/>
        </w:rPr>
        <w:t xml:space="preserve">East Texas Haynesville operations fall under the Texas RRC and TCEQ frameworks described in the Eagle Ford section. The same flaring authorization requirements apply. Because Haynesville operators in East Texas are typically not flaring (the gas has value), the relevant regulatory consideration is the air quality permitting for the genset, not flaring authorization.</w:t>
      </w:r>
    </w:p>
    <w:p>
      <w:pPr>
        <w:pStyle w:val="Heading3"/>
        <w:spacing w:before="240" w:after="100"/>
      </w:pPr>
      <w:r>
        <w:rPr>
          <w:rFonts w:ascii="Arial" w:cs="Arial" w:eastAsia="Arial" w:hAnsi="Arial"/>
          <w:b/>
          <w:bCs/>
          <w:color w:val="E8500A"/>
          <w:sz w:val="24"/>
          <w:szCs w:val="24"/>
        </w:rPr>
        <w:t xml:space="preserve">Climate and Site Conditions</w:t>
      </w:r>
    </w:p>
    <w:p>
      <w:pPr>
        <w:spacing w:before="100" w:after="140"/>
      </w:pPr>
      <w:r>
        <w:rPr>
          <w:rFonts w:ascii="Arial" w:cs="Arial" w:eastAsia="Arial" w:hAnsi="Arial"/>
          <w:color w:val="4A4A4A"/>
          <w:sz w:val="22"/>
          <w:szCs w:val="22"/>
        </w:rPr>
        <w:t xml:space="preserve">The Haynesville basin runs from the piney woods of East Texas across into northern Louisiana—flat terrain, near sea level, no altitude derate concern. The climate challenge is humidity combined with heat: summer temperatures of 95–100°F with high relative humidity create thermal management demands for mining containers that differ from the dry heat of South Texas or the Permian. Container cooling systems in the Haynesville are specified for high-humidity operation, which affects airflow design and corrosion protection requirements.</w:t>
      </w:r>
    </w:p>
    <w:p>
      <w:pPr>
        <w:spacing w:before="80" w:after="8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Side-by-Side: Eagle Ford vs. Haynesville Deployment Profile</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420"/>
        <w:gridCol w:w="3420"/>
      </w:tblGrid>
      <w:tr>
        <w:trPr>
          <w:tblHeader/>
        </w:trPr>
        <w:tc>
          <w:tcPr>
            <w:tcW w:type="dxa" w:w="252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FFFFFF"/>
                <w:sz w:val="20"/>
                <w:szCs w:val="20"/>
              </w:rPr>
              <w:t xml:space="preserve">Factor</w:t>
            </w:r>
          </w:p>
        </w:tc>
        <w:tc>
          <w:tcPr>
            <w:tcW w:type="dxa" w:w="3420"/>
            <w:tcBorders>
              <w:top w:val="single" w:color="DDDDDD" w:sz="1"/>
              <w:left w:val="single" w:color="DDDDDD" w:sz="1"/>
              <w:bottom w:val="single" w:color="DDDDDD" w:sz="1"/>
              <w:right w:val="single" w:color="DDDDDD"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Eagle Ford (TX)</w:t>
            </w:r>
          </w:p>
        </w:tc>
        <w:tc>
          <w:tcPr>
            <w:tcW w:type="dxa" w:w="3420"/>
            <w:tcBorders>
              <w:top w:val="single" w:color="DDDDDD" w:sz="1"/>
              <w:left w:val="single" w:color="DDDDDD" w:sz="1"/>
              <w:bottom w:val="single" w:color="DDDDDD" w:sz="1"/>
              <w:right w:val="single" w:color="DDDDDD" w:sz="1"/>
            </w:tcBorders>
            <w:shd w:fill="1A4A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Haynesville (LA/E. TX)</w:t>
            </w:r>
          </w:p>
        </w:tc>
      </w:tr>
      <w:tr>
        <w:tc>
          <w:tcPr>
            <w:tcW w:type="dxa" w:w="25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Primary gas problem</w:t>
            </w:r>
          </w:p>
        </w:tc>
        <w:tc>
          <w:tcPr>
            <w:tcW w:type="dxa" w:w="34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A4A4A"/>
                <w:sz w:val="20"/>
                <w:szCs w:val="20"/>
              </w:rPr>
              <w:t xml:space="preserve">Associated gas from oil wells. Flaring compliance + revenue generation.</w:t>
            </w:r>
          </w:p>
        </w:tc>
        <w:tc>
          <w:tcPr>
            <w:tcW w:type="dxa" w:w="34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A4A4A"/>
                <w:sz w:val="20"/>
                <w:szCs w:val="20"/>
              </w:rPr>
              <w:t xml:space="preserve">Marginal dry gas. Netback compression + MVC deficiency exposure.</w:t>
            </w:r>
          </w:p>
        </w:tc>
      </w:tr>
      <w:tr>
        <w:tc>
          <w:tcPr>
            <w:tcW w:type="dxa" w:w="252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Minimum viable volume</w:t>
            </w:r>
          </w:p>
        </w:tc>
        <w:tc>
          <w:tcPr>
            <w:tcW w:type="dxa" w:w="342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color w:val="4A4A4A"/>
                <w:sz w:val="20"/>
                <w:szCs w:val="20"/>
              </w:rPr>
              <w:t xml:space="preserve">100 Mcfd at pad</w:t>
            </w:r>
          </w:p>
        </w:tc>
        <w:tc>
          <w:tcPr>
            <w:tcW w:type="dxa" w:w="342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color w:val="4A4A4A"/>
                <w:sz w:val="20"/>
                <w:szCs w:val="20"/>
              </w:rPr>
              <w:t xml:space="preserve">100 Mcfd at pad (same threshold)</w:t>
            </w:r>
          </w:p>
        </w:tc>
      </w:tr>
      <w:tr>
        <w:tc>
          <w:tcPr>
            <w:tcW w:type="dxa" w:w="25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Gas quality risk</w:t>
            </w:r>
          </w:p>
        </w:tc>
        <w:tc>
          <w:tcPr>
            <w:tcW w:type="dxa" w:w="34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A4A4A"/>
                <w:sz w:val="20"/>
                <w:szCs w:val="20"/>
              </w:rPr>
              <w:t xml:space="preserve">Moderate. Rich oil-window gas may need MN check. Dry/condensate window: low risk.</w:t>
            </w:r>
          </w:p>
        </w:tc>
        <w:tc>
          <w:tcPr>
            <w:tcW w:type="dxa" w:w="34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A4A4A"/>
                <w:sz w:val="20"/>
                <w:szCs w:val="20"/>
              </w:rPr>
              <w:t xml:space="preserve">Very low. Consistently lean dry gas. Plug-and-play genset selection.</w:t>
            </w:r>
          </w:p>
        </w:tc>
      </w:tr>
      <w:tr>
        <w:tc>
          <w:tcPr>
            <w:tcW w:type="dxa" w:w="252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Altitude derate</w:t>
            </w:r>
          </w:p>
        </w:tc>
        <w:tc>
          <w:tcPr>
            <w:tcW w:type="dxa" w:w="342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color w:val="4A4A4A"/>
                <w:sz w:val="20"/>
                <w:szCs w:val="20"/>
              </w:rPr>
              <w:t xml:space="preserve">Minimal (0–6%). Near sea level across most of play.</w:t>
            </w:r>
          </w:p>
        </w:tc>
        <w:tc>
          <w:tcPr>
            <w:tcW w:type="dxa" w:w="342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color w:val="4A4A4A"/>
                <w:sz w:val="20"/>
                <w:szCs w:val="20"/>
              </w:rPr>
              <w:t xml:space="preserve">None (≤2%). Entirely flat, near sea level.</w:t>
            </w:r>
          </w:p>
        </w:tc>
      </w:tr>
      <w:tr>
        <w:tc>
          <w:tcPr>
            <w:tcW w:type="dxa" w:w="25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Climate engineering</w:t>
            </w:r>
          </w:p>
        </w:tc>
        <w:tc>
          <w:tcPr>
            <w:tcW w:type="dxa" w:w="34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A4A4A"/>
                <w:sz w:val="20"/>
                <w:szCs w:val="20"/>
              </w:rPr>
              <w:t xml:space="preserve">Summer heat package required. 100–110°F ambient temps in July–August.</w:t>
            </w:r>
          </w:p>
        </w:tc>
        <w:tc>
          <w:tcPr>
            <w:tcW w:type="dxa" w:w="34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A4A4A"/>
                <w:sz w:val="20"/>
                <w:szCs w:val="20"/>
              </w:rPr>
              <w:t xml:space="preserve">Humidity + heat package required. 95–100°F with high RH.</w:t>
            </w:r>
          </w:p>
        </w:tc>
      </w:tr>
      <w:tr>
        <w:tc>
          <w:tcPr>
            <w:tcW w:type="dxa" w:w="252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Regulatory driver</w:t>
            </w:r>
          </w:p>
        </w:tc>
        <w:tc>
          <w:tcPr>
            <w:tcW w:type="dxa" w:w="342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color w:val="4A4A4A"/>
                <w:sz w:val="20"/>
                <w:szCs w:val="20"/>
              </w:rPr>
              <w:t xml:space="preserve">TCEQ flaring authorization + EPA methane fee. Non-compliance has permit risk.</w:t>
            </w:r>
          </w:p>
        </w:tc>
        <w:tc>
          <w:tcPr>
            <w:tcW w:type="dxa" w:w="342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color w:val="4A4A4A"/>
                <w:sz w:val="20"/>
                <w:szCs w:val="20"/>
              </w:rPr>
              <w:t xml:space="preserve">Louisiana DNR / Texas RRC reporting. Compliance is lower urgency but cost of poor netback is real.</w:t>
            </w:r>
          </w:p>
        </w:tc>
      </w:tr>
      <w:tr>
        <w:tc>
          <w:tcPr>
            <w:tcW w:type="dxa" w:w="25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Best deployment trigger</w:t>
            </w:r>
          </w:p>
        </w:tc>
        <w:tc>
          <w:tcPr>
            <w:tcW w:type="dxa" w:w="34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A4A4A"/>
                <w:sz w:val="20"/>
                <w:szCs w:val="20"/>
              </w:rPr>
              <w:t xml:space="preserve">Flaring volume above 100 Mcfd; approaching permit limit; pipeline delayed.</w:t>
            </w:r>
          </w:p>
        </w:tc>
        <w:tc>
          <w:tcPr>
            <w:tcW w:type="dxa" w:w="34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A4A4A"/>
                <w:sz w:val="20"/>
                <w:szCs w:val="20"/>
              </w:rPr>
              <w:t xml:space="preserve">Pipeline netback below $1.50/Mcf; MVC deficiency charges accruing; low Henry Hub period.</w:t>
            </w:r>
          </w:p>
        </w:tc>
      </w:tr>
      <w:tr>
        <w:tc>
          <w:tcPr>
            <w:tcW w:type="dxa" w:w="252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Deal structure fit</w:t>
            </w:r>
          </w:p>
        </w:tc>
        <w:tc>
          <w:tcPr>
            <w:tcW w:type="dxa" w:w="342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color w:val="4A4A4A"/>
                <w:sz w:val="20"/>
                <w:szCs w:val="20"/>
              </w:rPr>
              <w:t xml:space="preserve">Hosting most common. Operators want USD revenue and compliance relief, not BTC exposure.</w:t>
            </w:r>
          </w:p>
        </w:tc>
        <w:tc>
          <w:tcPr>
            <w:tcW w:type="dxa" w:w="342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color w:val="4A4A4A"/>
                <w:sz w:val="20"/>
                <w:szCs w:val="20"/>
              </w:rPr>
              <w:t xml:space="preserve">Revenue share viable. Haynesville operators are sophisticated gas marketers—some are open to BTC upside.</w:t>
            </w:r>
          </w:p>
        </w:tc>
      </w:tr>
      <w:tr>
        <w:tc>
          <w:tcPr>
            <w:tcW w:type="dxa" w:w="25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Pro forma comparison point</w:t>
            </w:r>
          </w:p>
        </w:tc>
        <w:tc>
          <w:tcPr>
            <w:tcW w:type="dxa" w:w="34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A4A4A"/>
                <w:sz w:val="20"/>
                <w:szCs w:val="20"/>
              </w:rPr>
              <w:t xml:space="preserve">Current netback is flare = $0. Any on-lease revenue is improvement.</w:t>
            </w:r>
          </w:p>
        </w:tc>
        <w:tc>
          <w:tcPr>
            <w:tcW w:type="dxa" w:w="34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A4A4A"/>
                <w:sz w:val="20"/>
                <w:szCs w:val="20"/>
              </w:rPr>
              <w:t xml:space="preserve">Current netback is compressed positive (e.g. $0.80–$1.20/Mcf). On-lease must beat that specific number.</w:t>
            </w:r>
          </w:p>
        </w:tc>
      </w:tr>
    </w:tbl>
    <w:p>
      <w:pPr>
        <w:spacing w:before="200" w:after="12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Pro Forma Comparison: What the Numbers Look Like in Each Basin</w:t>
      </w:r>
    </w:p>
    <w:p>
      <w:pPr>
        <w:pStyle w:val="Heading3"/>
        <w:spacing w:before="240" w:after="100"/>
      </w:pPr>
      <w:r>
        <w:rPr>
          <w:rFonts w:ascii="Arial" w:cs="Arial" w:eastAsia="Arial" w:hAnsi="Arial"/>
          <w:b/>
          <w:bCs/>
          <w:color w:val="E8500A"/>
          <w:sz w:val="24"/>
          <w:szCs w:val="24"/>
        </w:rPr>
        <w:t xml:space="preserve">Eagle Ford: 200 Mcfd Associated Gas, Currently Flared</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Scenario</w:t>
            </w:r>
          </w:p>
        </w:tc>
        <w:tc>
          <w:tcPr>
            <w:tcW w:type="dxa" w:w="468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Monthly Revenue / Cost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Continue flaring (current baseline)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$0 gas revenue + EPA fee exposure (~$30,000–60,000/yr)</w:t>
            </w:r>
          </w:p>
        </w:tc>
      </w:tr>
      <w:tr>
        <w:tc>
          <w:tcPr>
            <w:tcW w:type="dxa" w:w="46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On-lease hosting (200 Mcfd)</w:t>
            </w:r>
          </w:p>
        </w:tc>
        <w:tc>
          <w:tcPr>
            <w:tcW w:type="dxa" w:w="46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~$9,000–14,000/month (est., current hashprice)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EPA fee eliminated</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+$2,500–5,000/month saved</w:t>
            </w:r>
          </w:p>
        </w:tc>
      </w:tr>
      <w:tr>
        <w:tc>
          <w:tcPr>
            <w:tcW w:type="dxa" w:w="468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r>
              <w:rPr>
                <w:rFonts w:ascii="Arial" w:cs="Arial" w:eastAsia="Arial" w:hAnsi="Arial"/>
                <w:b/>
                <w:bCs/>
                <w:color w:val="1A1A1A"/>
                <w:sz w:val="20"/>
                <w:szCs w:val="20"/>
              </w:rPr>
              <w:t xml:space="preserve">Combined improvement over baseline</w:t>
            </w:r>
          </w:p>
        </w:tc>
        <w:tc>
          <w:tcPr>
            <w:tcW w:type="dxa" w:w="468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r>
              <w:rPr>
                <w:rFonts w:ascii="Arial" w:cs="Arial" w:eastAsia="Arial" w:hAnsi="Arial"/>
                <w:b w:val="false"/>
                <w:bCs w:val="false"/>
                <w:color w:val="4A4A4A"/>
                <w:sz w:val="20"/>
                <w:szCs w:val="20"/>
              </w:rPr>
              <w:t xml:space="preserve">~$11,500–19,000/month</w:t>
            </w:r>
          </w:p>
        </w:tc>
      </w:tr>
    </w:tbl>
    <w:p>
      <w:pPr>
        <w:spacing w:before="160" w:after="100"/>
      </w:pPr>
      <w:r>
        <w:t xml:space="preserve"/>
      </w:r>
    </w:p>
    <w:p>
      <w:pPr>
        <w:pStyle w:val="Heading3"/>
        <w:spacing w:before="240" w:after="100"/>
      </w:pPr>
      <w:r>
        <w:rPr>
          <w:rFonts w:ascii="Arial" w:cs="Arial" w:eastAsia="Arial" w:hAnsi="Arial"/>
          <w:b/>
          <w:bCs/>
          <w:color w:val="E8500A"/>
          <w:sz w:val="24"/>
          <w:szCs w:val="24"/>
        </w:rPr>
        <w:t xml:space="preserve">Haynesville: 200 Mcfd with $0.95/Mcf Pipeline Netback</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Scenario</w:t>
            </w:r>
          </w:p>
        </w:tc>
        <w:tc>
          <w:tcPr>
            <w:tcW w:type="dxa" w:w="468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Monthly Revenue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Current pipeline netback (200 Mcfd @ $0.95/Mcf)</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~$5,700/month</w:t>
            </w:r>
          </w:p>
        </w:tc>
      </w:tr>
      <w:tr>
        <w:tc>
          <w:tcPr>
            <w:tcW w:type="dxa" w:w="46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On-lease hosting (200 Mcfd)</w:t>
            </w:r>
          </w:p>
        </w:tc>
        <w:tc>
          <w:tcPr>
            <w:tcW w:type="dxa" w:w="46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~$9,000–14,000/month (est., current hashprice)</w:t>
            </w:r>
          </w:p>
        </w:tc>
      </w:tr>
      <w:tr>
        <w:tc>
          <w:tcPr>
            <w:tcW w:type="dxa" w:w="468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r>
              <w:rPr>
                <w:rFonts w:ascii="Arial" w:cs="Arial" w:eastAsia="Arial" w:hAnsi="Arial"/>
                <w:b/>
                <w:bCs/>
                <w:color w:val="1A1A1A"/>
                <w:sz w:val="20"/>
                <w:szCs w:val="20"/>
              </w:rPr>
              <w:t xml:space="preserve">Improvement over pipeline baseline</w:t>
            </w:r>
          </w:p>
        </w:tc>
        <w:tc>
          <w:tcPr>
            <w:tcW w:type="dxa" w:w="468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r>
              <w:rPr>
                <w:rFonts w:ascii="Arial" w:cs="Arial" w:eastAsia="Arial" w:hAnsi="Arial"/>
                <w:b w:val="false"/>
                <w:bCs w:val="false"/>
                <w:color w:val="4A4A4A"/>
                <w:sz w:val="20"/>
                <w:szCs w:val="20"/>
              </w:rPr>
              <w:t xml:space="preserve">+$3,300–8,300/month</w:t>
            </w:r>
          </w:p>
        </w:tc>
      </w:tr>
      <w:tr>
        <w:tc>
          <w:tcPr>
            <w:tcW w:type="dxa" w:w="468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r>
              <w:rPr>
                <w:rFonts w:ascii="Arial" w:cs="Arial" w:eastAsia="Arial" w:hAnsi="Arial"/>
                <w:b/>
                <w:bCs/>
                <w:color w:val="1A1A1A"/>
                <w:sz w:val="20"/>
                <w:szCs w:val="20"/>
              </w:rPr>
              <w:t xml:space="preserve">MVC deficiency eliminated (if applicable)</w:t>
            </w:r>
          </w:p>
        </w:tc>
        <w:tc>
          <w:tcPr>
            <w:tcW w:type="dxa" w:w="468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r>
              <w:rPr>
                <w:rFonts w:ascii="Arial" w:cs="Arial" w:eastAsia="Arial" w:hAnsi="Arial"/>
                <w:b w:val="false"/>
                <w:bCs w:val="false"/>
                <w:color w:val="4A4A4A"/>
                <w:sz w:val="20"/>
                <w:szCs w:val="20"/>
              </w:rPr>
              <w:t xml:space="preserve">Additional $500–2,000+/month saved</w:t>
            </w:r>
          </w:p>
        </w:tc>
      </w:tr>
    </w:tbl>
    <w:p>
      <w:pPr>
        <w:spacing w:before="120" w:after="80"/>
      </w:pPr>
      <w:r>
        <w:t xml:space="preserve"/>
      </w:r>
    </w:p>
    <w:p>
      <w:pPr>
        <w:spacing w:before="100" w:after="140"/>
      </w:pPr>
      <w:r>
        <w:rPr>
          <w:rFonts w:ascii="Arial" w:cs="Arial" w:eastAsia="Arial" w:hAnsi="Arial"/>
          <w:i/>
          <w:iCs/>
          <w:color w:val="999999"/>
          <w:sz w:val="22"/>
          <w:szCs w:val="22"/>
        </w:rPr>
        <w:t xml:space="preserve">Revenue estimates reflect current average hashprice on a sea-level, derate-minimal deployment. Actual output varies with gas composition, Bitcoin network conditions, and deal structure selected. Run site-specific numbers at tools.mcf.digital.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0A" w:sz="8"/>
              <w:left w:val="single" w:color="E8500A" w:sz="8"/>
              <w:bottom w:val="single" w:color="DDDDDD" w:sz="1"/>
              <w:right w:val="single" w:color="DDDDDD" w:sz="1"/>
            </w:tcBorders>
            <w:shd w:fill="FFF6F2" w:val="clear"/>
            <w:tcMar>
              <w:top w:type="dxa" w:w="160"/>
              <w:left w:type="dxa" w:w="200"/>
              <w:bottom w:type="dxa" w:w="160"/>
              <w:right w:type="dxa" w:w="200"/>
            </w:tcMar>
          </w:tcPr>
          <w:p>
            <w:pPr>
              <w:spacing w:before="0" w:after="80"/>
            </w:pPr>
            <w:r>
              <w:rPr>
                <w:rFonts w:ascii="Arial" w:cs="Arial" w:eastAsia="Arial" w:hAnsi="Arial"/>
                <w:b/>
                <w:bCs/>
                <w:color w:val="E8500A"/>
                <w:sz w:val="22"/>
                <w:szCs w:val="22"/>
              </w:rPr>
              <w:t xml:space="preserve">THE KEY DISTINCTION</w:t>
            </w:r>
          </w:p>
          <w:p>
            <w:pPr>
              <w:spacing w:before="0" w:after="0"/>
            </w:pPr>
            <w:r>
              <w:rPr>
                <w:rFonts w:ascii="Arial" w:cs="Arial" w:eastAsia="Arial" w:hAnsi="Arial"/>
                <w:color w:val="4A4A4A"/>
                <w:sz w:val="22"/>
                <w:szCs w:val="22"/>
              </w:rPr>
              <w:t xml:space="preserve">In the Eagle Ford, the economic comparison is against a baseline of zero—you are replacing flared gas with revenue. In the Haynesville, you are replacing a compressed positive netback with a higher one. Both cases are compelling, but the analysis is different. Eagle Ford operators should focus on the absolute revenue gain. Haynesville operators should model the per-Mcf comparison against their current actual netback—not the posted pipeline price.</w:t>
            </w:r>
          </w:p>
        </w:tc>
      </w:tr>
    </w:tbl>
    <w:p>
      <w:pPr>
        <w:spacing w:before="200" w:after="12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Questions Eagle Ford and Haynesville Operators Ask</w:t>
      </w:r>
    </w:p>
    <w:p>
      <w:pPr>
        <w:pStyle w:val="Heading3"/>
        <w:spacing w:before="240" w:after="100"/>
      </w:pPr>
      <w:r>
        <w:rPr>
          <w:rFonts w:ascii="Arial" w:cs="Arial" w:eastAsia="Arial" w:hAnsi="Arial"/>
          <w:b/>
          <w:bCs/>
          <w:color w:val="E8500A"/>
          <w:sz w:val="24"/>
          <w:szCs w:val="24"/>
        </w:rPr>
        <w:t xml:space="preserve">Eagle Ford: My pipeline contract has no carve-out language. Can I still do this?</w:t>
      </w:r>
    </w:p>
    <w:p>
      <w:pPr>
        <w:spacing w:before="100" w:after="140"/>
      </w:pPr>
      <w:r>
        <w:rPr>
          <w:rFonts w:ascii="Arial" w:cs="Arial" w:eastAsia="Arial" w:hAnsi="Arial"/>
          <w:color w:val="4A4A4A"/>
          <w:sz w:val="22"/>
          <w:szCs w:val="22"/>
        </w:rPr>
        <w:t xml:space="preserve">Most gathering agreements in the Eagle Ford contain provisions for on-lease fuel use or operational use that cover gas consumed at the pad—even if the carve-out is not explicitly labeled as such. MCF.digital reviews the relevant contract language as part of every evaluation. In the majority of Eagle Ford situations, the volume being flared is gas that was never delivered to the gathering system in the first place, which means gathering agreement restrictions on pipeline-delivered volumes may not apply at all to the flared volumes.</w:t>
      </w:r>
    </w:p>
    <w:p>
      <w:pPr>
        <w:pStyle w:val="Heading3"/>
        <w:spacing w:before="240" w:after="100"/>
      </w:pPr>
      <w:r>
        <w:rPr>
          <w:rFonts w:ascii="Arial" w:cs="Arial" w:eastAsia="Arial" w:hAnsi="Arial"/>
          <w:b/>
          <w:bCs/>
          <w:color w:val="E8500A"/>
          <w:sz w:val="24"/>
          <w:szCs w:val="24"/>
        </w:rPr>
        <w:t xml:space="preserve">Eagle Ford: Does the deployment affect my oil production in any way?</w:t>
      </w:r>
    </w:p>
    <w:p>
      <w:pPr>
        <w:spacing w:before="100" w:after="140"/>
      </w:pPr>
      <w:r>
        <w:rPr>
          <w:rFonts w:ascii="Arial" w:cs="Arial" w:eastAsia="Arial" w:hAnsi="Arial"/>
          <w:color w:val="4A4A4A"/>
          <w:sz w:val="22"/>
          <w:szCs w:val="22"/>
        </w:rPr>
        <w:t xml:space="preserve">No. The generator set and mining containers operate independently of the oil production equipment. The gas consumed is drawn from the wellhead gas stream upstream of the point where the gas would otherwise be flared or piped. Oil production equipment, separators, and surface handling infrastructure are unaffected. The deployment is additive to the existing pad operation, not integrated with it.</w:t>
      </w:r>
    </w:p>
    <w:p>
      <w:pPr>
        <w:pStyle w:val="Heading3"/>
        <w:spacing w:before="240" w:after="100"/>
      </w:pPr>
      <w:r>
        <w:rPr>
          <w:rFonts w:ascii="Arial" w:cs="Arial" w:eastAsia="Arial" w:hAnsi="Arial"/>
          <w:b/>
          <w:bCs/>
          <w:color w:val="E8500A"/>
          <w:sz w:val="24"/>
          <w:szCs w:val="24"/>
        </w:rPr>
        <w:t xml:space="preserve">Haynesville: Henry Hub is at $2.20 right now. Does this still pencil?</w:t>
      </w:r>
    </w:p>
    <w:p>
      <w:pPr>
        <w:spacing w:before="100" w:after="140"/>
      </w:pPr>
      <w:r>
        <w:rPr>
          <w:rFonts w:ascii="Arial" w:cs="Arial" w:eastAsia="Arial" w:hAnsi="Arial"/>
          <w:color w:val="4A4A4A"/>
          <w:sz w:val="22"/>
          <w:szCs w:val="22"/>
        </w:rPr>
        <w:t xml:space="preserve">At $2.20/MMBtu Henry Hub with typical Haynesville gathering fees, compressed netbacks on marginal volumes are exactly the condition where on-lease deployment is most competitive. The comparison is not between on-lease mining and a $3.00/MMBtu netback—it is between on-lease mining and the $0.80–$1.20/Mcf you are actually netting after fees. Run the site-specific numbers at tools.mcf.digital using your actual netback, not the Henry Hub price.</w:t>
      </w:r>
    </w:p>
    <w:p>
      <w:pPr>
        <w:pStyle w:val="Heading3"/>
        <w:spacing w:before="240" w:after="100"/>
      </w:pPr>
      <w:r>
        <w:rPr>
          <w:rFonts w:ascii="Arial" w:cs="Arial" w:eastAsia="Arial" w:hAnsi="Arial"/>
          <w:b/>
          <w:bCs/>
          <w:color w:val="E8500A"/>
          <w:sz w:val="24"/>
          <w:szCs w:val="24"/>
        </w:rPr>
        <w:t xml:space="preserve">Haynesville: Is the revenue share structure realistic given how sophisticated LNG buyers and gas marketers are in this basin?</w:t>
      </w:r>
    </w:p>
    <w:p>
      <w:pPr>
        <w:spacing w:before="100" w:after="140"/>
      </w:pPr>
      <w:r>
        <w:rPr>
          <w:rFonts w:ascii="Arial" w:cs="Arial" w:eastAsia="Arial" w:hAnsi="Arial"/>
          <w:color w:val="4A4A4A"/>
          <w:sz w:val="22"/>
          <w:szCs w:val="22"/>
        </w:rPr>
        <w:t xml:space="preserve">Yes, and the sophistication cuts both ways. Haynesville operators who understand gas marketing are also capable of understanding hashprice dynamics and evaluating BTC exposure as a revenue diversification tool. The revenue share structure is particularly well-suited to operators who are already managing multiple gas price exposures and want to add a non-correlated revenue stream. The hosting structure remains available for operators who prefer fixed USD income—the choice depends on your treasury posture, not your technical sophistication.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0A" w:sz="16"/>
              <w:left w:val="none" w:color="FFFFFF" w:sz="0"/>
              <w:bottom w:val="single" w:color="E8500A" w:sz="16"/>
              <w:right w:val="none" w:color="FFFFFF" w:sz="0"/>
            </w:tcBorders>
            <w:shd w:fill="1A1A1A" w:val="clear"/>
            <w:tcMar>
              <w:top w:type="dxa" w:w="280"/>
              <w:left w:type="dxa" w:w="360"/>
              <w:bottom w:type="dxa" w:w="280"/>
              <w:right w:type="dxa" w:w="360"/>
            </w:tcMar>
          </w:tcPr>
          <w:p>
            <w:pPr>
              <w:spacing w:before="0" w:after="80"/>
              <w:jc w:val="center"/>
            </w:pPr>
            <w:r>
              <w:rPr>
                <w:rFonts w:ascii="Arial" w:cs="Arial" w:eastAsia="Arial" w:hAnsi="Arial"/>
                <w:b/>
                <w:bCs/>
                <w:color w:val="FFFFFF"/>
                <w:sz w:val="28"/>
                <w:szCs w:val="28"/>
              </w:rPr>
              <w:t xml:space="preserve">Run the numbers for your Eagle Ford or Haynesville pad.</w:t>
            </w:r>
          </w:p>
          <w:p>
            <w:pPr>
              <w:spacing w:before="0" w:after="120"/>
              <w:jc w:val="center"/>
            </w:pPr>
            <w:r>
              <w:rPr>
                <w:rFonts w:ascii="Arial" w:cs="Arial" w:eastAsia="Arial" w:hAnsi="Arial"/>
                <w:color w:val="CCCCCC"/>
                <w:sz w:val="22"/>
                <w:szCs w:val="22"/>
              </w:rPr>
              <w:t xml:space="preserve">Enter your gas volume, current netback (or flare baseline), and deal structure preference. Get a site-specific comparison in minutes.</w:t>
            </w:r>
          </w:p>
          <w:p>
            <w:pPr>
              <w:spacing w:before="0" w:after="0"/>
              <w:jc w:val="center"/>
            </w:pPr>
            <w:r>
              <w:rPr>
                <w:rFonts w:ascii="Arial" w:cs="Arial" w:eastAsia="Arial" w:hAnsi="Arial"/>
                <w:b/>
                <w:bCs/>
                <w:color w:val="E8500A"/>
                <w:sz w:val="26"/>
                <w:szCs w:val="26"/>
              </w:rPr>
              <w:t xml:space="preserve">tools.mcf.digital</w:t>
            </w:r>
            <w:r>
              <w:rPr>
                <w:rFonts w:ascii="Arial" w:cs="Arial" w:eastAsia="Arial" w:hAnsi="Arial"/>
                <w:color w:val="555555"/>
                <w:sz w:val="24"/>
                <w:szCs w:val="24"/>
              </w:rPr>
              <w:t xml:space="preserve">   ·   </w:t>
            </w:r>
            <w:r>
              <w:rPr>
                <w:rFonts w:ascii="Arial" w:cs="Arial" w:eastAsia="Arial" w:hAnsi="Arial"/>
                <w:b/>
                <w:bCs/>
                <w:color w:val="E8500A"/>
                <w:sz w:val="24"/>
                <w:szCs w:val="24"/>
              </w:rPr>
              <w:t xml:space="preserve">Book a 15-minute fit call</w:t>
            </w:r>
          </w:p>
        </w:tc>
      </w:tr>
    </w:tbl>
    <w:p>
      <w:pPr>
        <w:spacing w:before="240" w:after="12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Related Resources</w:t>
      </w:r>
    </w:p>
    <w:p>
      <w:pPr>
        <w:spacing w:before="100" w:after="140"/>
      </w:pPr>
      <w:r>
        <w:rPr>
          <w:rFonts w:ascii="Arial" w:cs="Arial" w:eastAsia="Arial" w:hAnsi="Arial"/>
          <w:color w:val="4A4A4A"/>
          <w:sz w:val="22"/>
          <w:szCs w:val="22"/>
        </w:rPr>
        <w:t xml:space="preserve">Continue your research with these related guides and glossary pages:</w:t>
      </w:r>
    </w:p>
    <w:p>
      <w:pPr>
        <w:spacing w:before="60" w:after="4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The Permian Operator’s Guide to Flare Gas Monetization — </w:t>
      </w:r>
      <w:r>
        <w:rPr>
          <w:rFonts w:ascii="Arial" w:cs="Arial" w:eastAsia="Arial" w:hAnsi="Arial"/>
          <w:color w:val="4A4A4A"/>
          <w:sz w:val="22"/>
          <w:szCs w:val="22"/>
        </w:rPr>
        <w:t xml:space="preserve">mcf.digital/operator-guides/permian-flare-gas-monetization</w:t>
      </w:r>
    </w:p>
    <w:p>
      <w:pPr>
        <w:pStyle w:val="ListParagraph"/>
        <w:numPr>
          <w:ilvl w:val="0"/>
          <w:numId w:val="2"/>
        </w:numPr>
        <w:spacing w:before="60" w:after="60"/>
      </w:pPr>
      <w:r>
        <w:rPr>
          <w:rFonts w:ascii="Arial" w:cs="Arial" w:eastAsia="Arial" w:hAnsi="Arial"/>
          <w:b/>
          <w:bCs/>
          <w:color w:val="1A1A1A"/>
          <w:sz w:val="22"/>
          <w:szCs w:val="22"/>
        </w:rPr>
        <w:t xml:space="preserve">How to Improve Low Gas Netbacks Without Midstream — </w:t>
      </w:r>
      <w:r>
        <w:rPr>
          <w:rFonts w:ascii="Arial" w:cs="Arial" w:eastAsia="Arial" w:hAnsi="Arial"/>
          <w:color w:val="4A4A4A"/>
          <w:sz w:val="22"/>
          <w:szCs w:val="22"/>
        </w:rPr>
        <w:t xml:space="preserve">mcf.digital/operator-guides/low-gas-netbacks</w:t>
      </w:r>
    </w:p>
    <w:p>
      <w:pPr>
        <w:pStyle w:val="ListParagraph"/>
        <w:numPr>
          <w:ilvl w:val="0"/>
          <w:numId w:val="2"/>
        </w:numPr>
        <w:spacing w:before="60" w:after="60"/>
      </w:pPr>
      <w:r>
        <w:rPr>
          <w:rFonts w:ascii="Arial" w:cs="Arial" w:eastAsia="Arial" w:hAnsi="Arial"/>
          <w:b/>
          <w:bCs/>
          <w:color w:val="1A1A1A"/>
          <w:sz w:val="22"/>
          <w:szCs w:val="22"/>
        </w:rPr>
        <w:t xml:space="preserve">Stranded Gas Bitcoin Mining: When It Pencils and When It Doesn’t — </w:t>
      </w:r>
      <w:r>
        <w:rPr>
          <w:rFonts w:ascii="Arial" w:cs="Arial" w:eastAsia="Arial" w:hAnsi="Arial"/>
          <w:color w:val="4A4A4A"/>
          <w:sz w:val="22"/>
          <w:szCs w:val="22"/>
        </w:rPr>
        <w:t xml:space="preserve">mcf.digital/operator-guides/stranded-gas-bitcoin-mining</w:t>
      </w:r>
    </w:p>
    <w:p>
      <w:pPr>
        <w:pStyle w:val="ListParagraph"/>
        <w:numPr>
          <w:ilvl w:val="0"/>
          <w:numId w:val="2"/>
        </w:numPr>
        <w:spacing w:before="60" w:after="60"/>
      </w:pPr>
      <w:r>
        <w:rPr>
          <w:rFonts w:ascii="Arial" w:cs="Arial" w:eastAsia="Arial" w:hAnsi="Arial"/>
          <w:b/>
          <w:bCs/>
          <w:color w:val="1A1A1A"/>
          <w:sz w:val="22"/>
          <w:szCs w:val="22"/>
        </w:rPr>
        <w:t xml:space="preserve">What Is Gas Netback? The Complete Operator Definition — </w:t>
      </w:r>
      <w:r>
        <w:rPr>
          <w:rFonts w:ascii="Arial" w:cs="Arial" w:eastAsia="Arial" w:hAnsi="Arial"/>
          <w:color w:val="4A4A4A"/>
          <w:sz w:val="22"/>
          <w:szCs w:val="22"/>
        </w:rPr>
        <w:t xml:space="preserve">mcf.digital/glossary/what-is-gas-netback</w:t>
      </w:r>
    </w:p>
    <w:p>
      <w:pPr>
        <w:pStyle w:val="ListParagraph"/>
        <w:numPr>
          <w:ilvl w:val="0"/>
          <w:numId w:val="2"/>
        </w:numPr>
        <w:spacing w:before="60" w:after="60"/>
      </w:pPr>
      <w:r>
        <w:rPr>
          <w:rFonts w:ascii="Arial" w:cs="Arial" w:eastAsia="Arial" w:hAnsi="Arial"/>
          <w:b/>
          <w:bCs/>
          <w:color w:val="1A1A1A"/>
          <w:sz w:val="22"/>
          <w:szCs w:val="22"/>
        </w:rPr>
        <w:t xml:space="preserve">What Is Flare Gas? — </w:t>
      </w:r>
      <w:r>
        <w:rPr>
          <w:rFonts w:ascii="Arial" w:cs="Arial" w:eastAsia="Arial" w:hAnsi="Arial"/>
          <w:color w:val="4A4A4A"/>
          <w:sz w:val="22"/>
          <w:szCs w:val="22"/>
        </w:rPr>
        <w:t xml:space="preserve">mcf.digital/glossary/what-is-flare-gas</w:t>
      </w:r>
    </w:p>
    <w:p>
      <w:pPr>
        <w:pStyle w:val="ListParagraph"/>
        <w:numPr>
          <w:ilvl w:val="0"/>
          <w:numId w:val="2"/>
        </w:numPr>
        <w:spacing w:before="60" w:after="60"/>
      </w:pPr>
      <w:r>
        <w:rPr>
          <w:rFonts w:ascii="Arial" w:cs="Arial" w:eastAsia="Arial" w:hAnsi="Arial"/>
          <w:b/>
          <w:bCs/>
          <w:color w:val="1A1A1A"/>
          <w:sz w:val="22"/>
          <w:szCs w:val="22"/>
        </w:rPr>
        <w:t xml:space="preserve">Stranded Gas vs. Flare Gas: What’s the Difference? — </w:t>
      </w:r>
      <w:r>
        <w:rPr>
          <w:rFonts w:ascii="Arial" w:cs="Arial" w:eastAsia="Arial" w:hAnsi="Arial"/>
          <w:color w:val="4A4A4A"/>
          <w:sz w:val="22"/>
          <w:szCs w:val="22"/>
        </w:rPr>
        <w:t xml:space="preserve">mcf.digital/glossary/stranded-gas-vs-flare-gas</w:t>
      </w:r>
    </w:p>
    <w:p>
      <w:pPr>
        <w:spacing w:before="200" w:after="100"/>
      </w:pPr>
      <w:r>
        <w:t xml:space="preserve"/>
      </w:r>
    </w:p>
    <w:p>
      <w:pPr>
        <w:pBdr>
          <w:top w:val="single" w:color="DDDDDD" w:sz="4" w:space="4"/>
        </w:pBdr>
        <w:spacing w:before="0" w:after="0"/>
      </w:pPr>
      <w:r>
        <w:rPr>
          <w:sz w:val="20"/>
          <w:szCs w:val="20"/>
        </w:rPr>
        <w:t xml:space="preserve"/>
      </w:r>
    </w:p>
    <w:p>
      <w:pPr>
        <w:spacing w:before="120" w:after="0"/>
      </w:pPr>
      <w:r>
        <w:rPr>
          <w:rFonts w:ascii="Arial" w:cs="Arial" w:eastAsia="Arial" w:hAnsi="Arial"/>
          <w:b/>
          <w:bCs/>
          <w:color w:val="1A1A1A"/>
          <w:sz w:val="20"/>
          <w:szCs w:val="20"/>
        </w:rPr>
        <w:t xml:space="preserve">MCF.digital</w:t>
      </w:r>
      <w:r>
        <w:rPr>
          <w:rFonts w:ascii="Arial" w:cs="Arial" w:eastAsia="Arial" w:hAnsi="Arial"/>
          <w:color w:val="999999"/>
          <w:sz w:val="18"/>
          <w:szCs w:val="18"/>
        </w:rPr>
        <w:t xml:space="preserve">  ·  On-Lease Bitcoin Mining  ·  Flare Gas Monetization  ·  Gas-to-Hash Operator</w:t>
      </w:r>
    </w:p>
    <w:p>
      <w:pPr>
        <w:spacing w:before="60" w:after="0"/>
      </w:pPr>
      <w:r>
        <w:rPr>
          <w:rFonts w:ascii="Arial" w:cs="Arial" w:eastAsia="Arial" w:hAnsi="Arial"/>
          <w:color w:val="BBBBBB"/>
          <w:sz w:val="16"/>
          <w:szCs w:val="16"/>
        </w:rPr>
        <w:t xml:space="preserve">Audience: Eagle Ford &amp; Haynesville O&amp;G Operators  ·  Category: Operator Guide  ·  mcf.digital/operator-guides/eagle-ford-haynesville-gas-monetization</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500A" w:sz="4" w:space="2"/>
      </w:pBdr>
      <w:tabs>
        <w:tab w:val="right" w:pos="9360"/>
      </w:tabs>
      <w:spacing w:before="120" w:after="0"/>
    </w:pPr>
    <w:r>
      <w:rPr>
        <w:rFonts w:ascii="Arial" w:cs="Arial" w:eastAsia="Arial" w:hAnsi="Arial"/>
        <w:color w:val="999999"/>
        <w:sz w:val="18"/>
        <w:szCs w:val="18"/>
      </w:rPr>
      <w:t xml:space="preserve">mcf.digital</w:t>
    </w:r>
    <w:r>
      <w:rPr>
        <w:rFonts w:ascii="Arial" w:cs="Arial" w:eastAsia="Arial" w:hAnsi="Arial"/>
        <w:color w:val="BBBBBB"/>
        <w:sz w:val="18"/>
        <w:szCs w:val="18"/>
      </w:rPr>
      <w:t xml:space="preserve">	mcf.digital/operator-guides/eagle-ford-haynesville-gas-monetization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00A" w:sz="6" w:space="2"/>
      </w:pBdr>
      <w:spacing w:before="0" w:after="160"/>
    </w:pPr>
    <w:r>
      <w:rPr>
        <w:rFonts w:ascii="Arial" w:cs="Arial" w:eastAsia="Arial" w:hAnsi="Arial"/>
        <w:b/>
        <w:bCs/>
        <w:color w:val="E8500A"/>
        <w:sz w:val="22"/>
        <w:szCs w:val="22"/>
      </w:rPr>
      <w:t xml:space="preserve">MCF</w:t>
    </w:r>
    <w:r>
      <w:rPr>
        <w:rFonts w:ascii="Arial" w:cs="Arial" w:eastAsia="Arial" w:hAnsi="Arial"/>
        <w:b/>
        <w:bCs/>
        <w:color w:val="1A1A1A"/>
        <w:sz w:val="22"/>
        <w:szCs w:val="22"/>
      </w:rPr>
      <w:t xml:space="preserve">.DIGITAL</w:t>
    </w:r>
    <w:r>
      <w:rPr>
        <w:rFonts w:ascii="Arial" w:cs="Arial" w:eastAsia="Arial" w:hAnsi="Arial"/>
        <w:color w:val="999999"/>
        <w:sz w:val="18"/>
        <w:szCs w:val="18"/>
      </w:rPr>
      <w:t xml:space="preserve">   OPERATOR GUIDE  |  Eagle Ford &amp; Haynesville Gas Monetization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1A"/>
      <w:sz w:val="36"/>
      <w:szCs w:val="36"/>
    </w:rPr>
  </w:style>
  <w:style w:type="paragraph" w:styleId="Heading2">
    <w:name w:val="Heading 2"/>
    <w:basedOn w:val="Normal"/>
    <w:next w:val="Normal"/>
    <w:qFormat/>
    <w:pPr>
      <w:spacing w:before="340" w:after="120"/>
      <w:outlineLvl w:val="1"/>
    </w:pPr>
    <w:rPr>
      <w:rFonts w:ascii="Arial" w:cs="Arial" w:eastAsia="Arial" w:hAnsi="Arial"/>
      <w:b/>
      <w:bCs/>
      <w:color w:val="1A1A1A"/>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E850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2026-02-26T19:07:00.851Z</dcterms:created>
  <dcterms:modified xsi:type="dcterms:W3CDTF">2026-02-26T19:07:00.852Z</dcterms:modified>
</cp:coreProperties>
</file>

<file path=docProps/custom.xml><?xml version="1.0" encoding="utf-8"?>
<Properties xmlns="http://schemas.openxmlformats.org/officeDocument/2006/custom-properties" xmlns:vt="http://schemas.openxmlformats.org/officeDocument/2006/docPropsVTypes"/>
</file>