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caps/>
          <w:color w:val="999999"/>
          <w:sz w:val="18"/>
          <w:szCs w:val="18"/>
        </w:rPr>
        <w:t xml:space="preserve">OPERATOR GUIDE  //  RISK &amp; DOWNSIDE ANALYSIS</w:t>
      </w:r>
    </w:p>
    <w:p>
      <w:pPr>
        <w:spacing w:before="0" w:after="80"/>
      </w:pPr>
      <w:r>
        <w:rPr>
          <w:rFonts w:ascii="Arial" w:cs="Arial" w:eastAsia="Arial" w:hAnsi="Arial"/>
          <w:b/>
          <w:bCs/>
          <w:color w:val="1A1A1A"/>
          <w:sz w:val="48"/>
          <w:szCs w:val="48"/>
        </w:rPr>
        <w:t xml:space="preserve">What Happens to Your Pad</w:t>
      </w:r>
    </w:p>
    <w:p>
      <w:pPr>
        <w:spacing w:before="0" w:after="200"/>
      </w:pPr>
      <w:r>
        <w:rPr>
          <w:rFonts w:ascii="Arial" w:cs="Arial" w:eastAsia="Arial" w:hAnsi="Arial"/>
          <w:b/>
          <w:bCs/>
          <w:color w:val="E8500A"/>
          <w:sz w:val="48"/>
          <w:szCs w:val="48"/>
        </w:rPr>
        <w:t xml:space="preserve">When Bitcoin Price Drops 50%?</w:t>
      </w:r>
    </w:p>
    <w:p>
      <w:pPr>
        <w:pBdr>
          <w:bottom w:val="single" w:color="E8D5CC" w:sz="6" w:space="4"/>
        </w:pBdr>
        <w:spacing w:before="0" w:after="320"/>
      </w:pPr>
      <w:r>
        <w:rPr>
          <w:rFonts w:ascii="Arial" w:cs="Arial" w:eastAsia="Arial" w:hAnsi="Arial"/>
          <w:color w:val="4A4A4A"/>
          <w:sz w:val="24"/>
          <w:szCs w:val="24"/>
        </w:rPr>
        <w:t xml:space="preserve">The most common reason operators pause on gas-to-hash is Bitcoin price risk. It’s a fair concern. Here is a direct answer: what actually happens to your gas revenue under each deal structure when BTC drops in half—and why the answer depends almost entirely on which structure you chose.</w:t>
      </w:r>
    </w:p>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Hosting Structure</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Share</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Direct Mining</w:t>
            </w:r>
          </w:p>
        </w:tc>
      </w:tr>
      <w:tr>
        <w:tc>
          <w:tcPr>
            <w:tcW w:type="dxa" w:w="312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BTC drops 50%.
Your revenue: unchanged.</w:t>
            </w:r>
          </w:p>
        </w:tc>
        <w:tc>
          <w:tcPr>
            <w:tcW w:type="dxa" w:w="31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BTC drops 50%.
Your revenue: drops ~50%.</w:t>
            </w:r>
          </w:p>
        </w:tc>
        <w:tc>
          <w:tcPr>
            <w:tcW w:type="dxa" w:w="31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BTC drops 50%.
Your revenue: drops ~50%.</w:t>
            </w:r>
          </w:p>
        </w:tc>
      </w:tr>
    </w:tbl>
    <w:p>
      <w:pPr>
        <w:spacing w:before="24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Ask the Right Question First</w:t>
      </w:r>
    </w:p>
    <w:p>
      <w:pPr>
        <w:spacing w:before="100" w:after="140"/>
      </w:pPr>
      <w:r>
        <w:rPr>
          <w:rFonts w:ascii="Arial" w:cs="Arial" w:eastAsia="Arial" w:hAnsi="Arial"/>
          <w:color w:val="4A4A4A"/>
          <w:sz w:val="22"/>
          <w:szCs w:val="22"/>
        </w:rPr>
        <w:t xml:space="preserve">When an operator asks “what happens if Bitcoin drops 50%?” the honest answer is: it depends on which deal structure you chose. That’s not a dodge—it’s the most important thing to understand about gas-to-hash deployment economics. The deal structure is the primary risk management instrument. Getting it right at the outset determines whether a Bitcoin price decline affects your revenue at all.</w:t>
      </w:r>
    </w:p>
    <w:p>
      <w:pPr>
        <w:spacing w:before="100" w:after="140"/>
      </w:pPr>
      <w:r>
        <w:rPr>
          <w:rFonts w:ascii="Arial" w:cs="Arial" w:eastAsia="Arial" w:hAnsi="Arial"/>
          <w:color w:val="4A4A4A"/>
          <w:sz w:val="22"/>
          <w:szCs w:val="22"/>
        </w:rPr>
        <w:t xml:space="preserve">There is also a prior question that most Bitcoin-risk conversations skip: compared to what? Your gas has a current value—whatever it is generating today through pipeline netback, flaring (zero), or nothing. The correct comparison is not “on-lease mining revenue at stressed BTC prices vs. on-lease mining revenue at current BTC prices.” It is “on-lease mining revenue at stressed BTC prices vs. your current gas revenue today.” That comparison almost always looks different than the one operators are imagining.</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The Gas Floor Value: What Your Gas Is Worth Independent of Bitcoin</w:t>
      </w:r>
    </w:p>
    <w:p>
      <w:pPr>
        <w:spacing w:before="100" w:after="140"/>
      </w:pPr>
      <w:r>
        <w:rPr>
          <w:rFonts w:ascii="Arial" w:cs="Arial" w:eastAsia="Arial" w:hAnsi="Arial"/>
          <w:color w:val="4A4A4A"/>
          <w:sz w:val="22"/>
          <w:szCs w:val="22"/>
        </w:rPr>
        <w:t xml:space="preserve">Every gas stream has an intrinsic value that exists regardless of Bitcoin’s price. That value is the floor beneath your on-lease revenue—the minimum economic outcome from the gas even under the worst Bitcoin price scenarios.</w:t>
      </w:r>
    </w:p>
    <w:p>
      <w:pPr>
        <w:spacing w:before="100" w:after="140"/>
      </w:pPr>
      <w:r>
        <w:rPr>
          <w:rFonts w:ascii="Arial" w:cs="Arial" w:eastAsia="Arial" w:hAnsi="Arial"/>
          <w:color w:val="4A4A4A"/>
          <w:sz w:val="22"/>
          <w:szCs w:val="22"/>
        </w:rPr>
        <w:t xml:space="preserve">For gas that is currently being flared, the floor value is zero. That’s your baseline today. Any on-lease revenue—even under a severe Bitcoin price decline—is above that floor.</w:t>
      </w:r>
    </w:p>
    <w:p>
      <w:pPr>
        <w:spacing w:before="100" w:after="140"/>
      </w:pPr>
      <w:r>
        <w:rPr>
          <w:rFonts w:ascii="Arial" w:cs="Arial" w:eastAsia="Arial" w:hAnsi="Arial"/>
          <w:color w:val="4A4A4A"/>
          <w:sz w:val="22"/>
          <w:szCs w:val="22"/>
        </w:rPr>
        <w:t xml:space="preserve">For gas that is currently being sold to the pipeline at a compressed netback, the floor value is that pipeline netback. If Bitcoin prices collapse to levels where on-lease mining revenue falls below your pipeline alternative, the deployment can be wound down and gas returned to pipeline delivery. The floor is not zero—it’s the value of your existing gas disposition alternative.</w:t>
      </w:r>
    </w:p>
    <w:p>
      <w:pPr>
        <w:spacing w:before="100" w:after="140"/>
      </w:pPr>
      <w:r>
        <w:rPr>
          <w:rFonts w:ascii="Arial" w:cs="Arial" w:eastAsia="Arial" w:hAnsi="Arial"/>
          <w:color w:val="4A4A4A"/>
          <w:sz w:val="22"/>
          <w:szCs w:val="22"/>
        </w:rPr>
        <w:t xml:space="preserve">The gas floor concept matters because it reframes the risk question. You are not asking “will Bitcoin price go to zero?” You are asking “will on-lease revenue under stressed Bitcoin conditions exceed my current gas alternative?” That is a much more tractable comparison—and for most operators, the answer is yes, even under significant Bitcoin price stress.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YOUR GAS HAS A FLOOR VALUE</w:t>
            </w:r>
          </w:p>
          <w:p>
            <w:pPr>
              <w:spacing w:before="0" w:after="0"/>
            </w:pPr>
            <w:r>
              <w:rPr>
                <w:rFonts w:ascii="Arial" w:cs="Arial" w:eastAsia="Arial" w:hAnsi="Arial"/>
                <w:color w:val="4A4A4A"/>
                <w:sz w:val="22"/>
                <w:szCs w:val="22"/>
              </w:rPr>
              <w:t xml:space="preserve">A Permian operator currently flaring 150 Mcfd has a gas floor value of $0. Under the most severe realistic Bitcoin price scenario—a 75% price decline from today—a properly sized on-lease hosting deployment on that gas would still generate $2,000–4,000/month. The downside is not zero. The downside is better than today.</w:t>
            </w:r>
          </w:p>
        </w:tc>
      </w:tr>
    </w:tbl>
    <w:p>
      <w:pPr>
        <w:spacing w:before="20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The Three Deal Structures Under Stress: What Actually Happens</w:t>
      </w:r>
    </w:p>
    <w:p>
      <w:pPr>
        <w:spacing w:before="100" w:after="140"/>
      </w:pPr>
      <w:r>
        <w:rPr>
          <w:rFonts w:ascii="Arial" w:cs="Arial" w:eastAsia="Arial" w:hAnsi="Arial"/>
          <w:color w:val="4A4A4A"/>
          <w:sz w:val="22"/>
          <w:szCs w:val="22"/>
        </w:rPr>
        <w:t xml:space="preserve">Here is what each deal structure delivers when Bitcoin price falls 50% from its level at the time of deployment. The example uses a 150 Mcfd gas stream with estimated baseline revenue at current hashprice.</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tblHeader/>
        </w:trPr>
        <w:tc>
          <w:tcPr>
            <w:tcW w:type="dxa" w:w="21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FFFFFF"/>
                <w:sz w:val="20"/>
                <w:szCs w:val="20"/>
              </w:rPr>
              <w:t xml:space="preserve">Bitcoin Scenario</w:t>
            </w:r>
          </w:p>
        </w:tc>
        <w:tc>
          <w:tcPr>
            <w:tcW w:type="dxa" w:w="2420"/>
            <w:tcBorders>
              <w:top w:val="single" w:color="DDDDDD" w:sz="1"/>
              <w:left w:val="single" w:color="DDDDDD" w:sz="1"/>
              <w:bottom w:val="single" w:color="DDDDDD" w:sz="1"/>
              <w:right w:val="single" w:color="DDDDDD"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Hosting
(Fixed Power Rate)</w:t>
            </w:r>
          </w:p>
        </w:tc>
        <w:tc>
          <w:tcPr>
            <w:tcW w:type="dxa" w:w="2420"/>
            <w:tcBorders>
              <w:top w:val="single" w:color="DDDDDD" w:sz="1"/>
              <w:left w:val="single" w:color="DDDDDD" w:sz="1"/>
              <w:bottom w:val="single" w:color="DDDDDD" w:sz="1"/>
              <w:right w:val="single" w:color="DDDDDD" w:sz="1"/>
            </w:tcBorders>
            <w:shd w:fill="2E5F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Share
(50/50 BTC Split)</w:t>
            </w:r>
          </w:p>
        </w:tc>
        <w:tc>
          <w:tcPr>
            <w:tcW w:type="dxa" w:w="2420"/>
            <w:tcBorders>
              <w:top w:val="single" w:color="DDDDDD" w:sz="1"/>
              <w:left w:val="single" w:color="DDDDDD" w:sz="1"/>
              <w:bottom w:val="single" w:color="DDDDDD" w:sz="1"/>
              <w:right w:val="single" w:color="DDDDDD" w:sz="1"/>
            </w:tcBorders>
            <w:shd w:fill="5C2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Direct Mining
(Full BTC Exposure)</w:t>
            </w:r>
          </w:p>
        </w:tc>
      </w:tr>
      <w:tr>
        <w:tc>
          <w:tcPr>
            <w:tcW w:type="dxa" w:w="21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Current baseline</w:t>
            </w:r>
          </w:p>
        </w:tc>
        <w:tc>
          <w:tcPr>
            <w:tcW w:type="dxa" w:w="242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bCs/>
                <w:color w:val="2E7D32"/>
                <w:sz w:val="20"/>
                <w:szCs w:val="20"/>
              </w:rPr>
              <w:t xml:space="preserve">$5,500–7,500/mo (est.)</w:t>
            </w:r>
          </w:p>
        </w:tc>
        <w:tc>
          <w:tcPr>
            <w:tcW w:type="dxa" w:w="242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bCs/>
                <w:color w:val="2E7D32"/>
                <w:sz w:val="20"/>
                <w:szCs w:val="20"/>
              </w:rPr>
              <w:t xml:space="preserve">$7,000–10,500/mo (est.)</w:t>
            </w:r>
          </w:p>
        </w:tc>
        <w:tc>
          <w:tcPr>
            <w:tcW w:type="dxa" w:w="242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bCs/>
                <w:color w:val="2E7D32"/>
                <w:sz w:val="20"/>
                <w:szCs w:val="20"/>
              </w:rPr>
              <w:t xml:space="preserve">$11,000–17,000/mo (est.)</w:t>
            </w:r>
          </w:p>
        </w:tc>
      </w:tr>
      <w:tr>
        <w:tc>
          <w:tcPr>
            <w:tcW w:type="dxa" w:w="21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1A1A1A"/>
                <w:sz w:val="20"/>
                <w:szCs w:val="20"/>
              </w:rPr>
              <w:t xml:space="preserve">BTC −25%</w:t>
            </w:r>
          </w:p>
        </w:tc>
        <w:tc>
          <w:tcPr>
            <w:tcW w:type="dxa" w:w="242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bCs/>
                <w:color w:val="2E7D32"/>
                <w:sz w:val="20"/>
                <w:szCs w:val="20"/>
              </w:rPr>
              <w:t xml:space="preserve">$5,500–7,500/mo
No change.</w:t>
            </w:r>
          </w:p>
        </w:tc>
        <w:tc>
          <w:tcPr>
            <w:tcW w:type="dxa" w:w="24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bCs/>
                <w:color w:val="E65100"/>
                <w:sz w:val="20"/>
                <w:szCs w:val="20"/>
              </w:rPr>
              <w:t xml:space="preserve">$5,250–7,875/mo
~25% reduction.</w:t>
            </w:r>
          </w:p>
        </w:tc>
        <w:tc>
          <w:tcPr>
            <w:tcW w:type="dxa" w:w="24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bCs/>
                <w:color w:val="E65100"/>
                <w:sz w:val="20"/>
                <w:szCs w:val="20"/>
              </w:rPr>
              <w:t xml:space="preserve">$8,250–12,750/mo
~25% reduction.</w:t>
            </w:r>
          </w:p>
        </w:tc>
      </w:tr>
      <w:tr>
        <w:tc>
          <w:tcPr>
            <w:tcW w:type="dxa" w:w="21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BTC −50%</w:t>
            </w:r>
          </w:p>
        </w:tc>
        <w:tc>
          <w:tcPr>
            <w:tcW w:type="dxa" w:w="242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bCs/>
                <w:color w:val="2E7D32"/>
                <w:sz w:val="20"/>
                <w:szCs w:val="20"/>
              </w:rPr>
              <w:t xml:space="preserve">$5,500–7,500/mo
No change.</w:t>
            </w:r>
          </w:p>
        </w:tc>
        <w:tc>
          <w:tcPr>
            <w:tcW w:type="dxa" w:w="24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bCs/>
                <w:color w:val="E65100"/>
                <w:sz w:val="20"/>
                <w:szCs w:val="20"/>
              </w:rPr>
              <w:t xml:space="preserve">$3,500–5,250/mo
~50% reduction.</w:t>
            </w:r>
          </w:p>
        </w:tc>
        <w:tc>
          <w:tcPr>
            <w:tcW w:type="dxa" w:w="24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bCs/>
                <w:color w:val="E65100"/>
                <w:sz w:val="20"/>
                <w:szCs w:val="20"/>
              </w:rPr>
              <w:t xml:space="preserve">$5,500–8,500/mo
~50% reduction.</w:t>
            </w:r>
          </w:p>
        </w:tc>
      </w:tr>
      <w:tr>
        <w:tc>
          <w:tcPr>
            <w:tcW w:type="dxa" w:w="21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1A1A1A"/>
                <w:sz w:val="20"/>
                <w:szCs w:val="20"/>
              </w:rPr>
              <w:t xml:space="preserve">BTC −75%</w:t>
            </w:r>
          </w:p>
        </w:tc>
        <w:tc>
          <w:tcPr>
            <w:tcW w:type="dxa" w:w="242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bCs/>
                <w:color w:val="2E7D32"/>
                <w:sz w:val="20"/>
                <w:szCs w:val="20"/>
              </w:rPr>
              <w:t xml:space="preserve">$5,500–7,500/mo
No change.</w:t>
            </w:r>
          </w:p>
        </w:tc>
        <w:tc>
          <w:tcPr>
            <w:tcW w:type="dxa" w:w="242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r>
              <w:rPr>
                <w:rFonts w:ascii="Arial" w:cs="Arial" w:eastAsia="Arial" w:hAnsi="Arial"/>
                <w:b/>
                <w:bCs/>
                <w:color w:val="C62828"/>
                <w:sz w:val="20"/>
                <w:szCs w:val="20"/>
              </w:rPr>
              <w:t xml:space="preserve">$1,750–2,625/mo
~75% reduction.</w:t>
            </w:r>
          </w:p>
        </w:tc>
        <w:tc>
          <w:tcPr>
            <w:tcW w:type="dxa" w:w="242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r>
              <w:rPr>
                <w:rFonts w:ascii="Arial" w:cs="Arial" w:eastAsia="Arial" w:hAnsi="Arial"/>
                <w:b/>
                <w:bCs/>
                <w:color w:val="C62828"/>
                <w:sz w:val="20"/>
                <w:szCs w:val="20"/>
              </w:rPr>
              <w:t xml:space="preserve">$2,750–4,250/mo
~75% reduction.</w:t>
            </w:r>
          </w:p>
        </w:tc>
      </w:tr>
      <w:tr>
        <w:tc>
          <w:tcPr>
            <w:tcW w:type="dxa" w:w="21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20"/>
                <w:szCs w:val="20"/>
              </w:rPr>
              <w:t xml:space="preserve">Pipeline alternative
(current baseline)</w:t>
            </w:r>
          </w:p>
        </w:tc>
        <w:tc>
          <w:tcPr>
            <w:tcW w:type="dxa" w:w="2420"/>
            <w:tcBorders>
              <w:top w:val="single" w:color="DDDDDD" w:sz="1"/>
              <w:left w:val="single" w:color="DDDDDD" w:sz="1"/>
              <w:bottom w:val="single" w:color="DDDDDD" w:sz="1"/>
              <w:right w:val="single" w:color="DDDDDD" w:sz="1"/>
            </w:tcBorders>
            <w:shd w:fill="F0F0F0" w:val="clear"/>
            <w:tcMar>
              <w:top w:type="dxa" w:w="100"/>
              <w:left w:type="dxa" w:w="150"/>
              <w:bottom w:type="dxa" w:w="100"/>
              <w:right w:type="dxa" w:w="150"/>
            </w:tcMar>
          </w:tcPr>
          <w:p>
            <w:r>
              <w:rPr>
                <w:rFonts w:ascii="Arial" w:cs="Arial" w:eastAsia="Arial" w:hAnsi="Arial"/>
                <w:b/>
                <w:bCs/>
                <w:color w:val="888888"/>
                <w:sz w:val="20"/>
                <w:szCs w:val="20"/>
              </w:rPr>
              <w:t xml:space="preserve">N/A—this IS the alternative</w:t>
            </w:r>
          </w:p>
        </w:tc>
        <w:tc>
          <w:tcPr>
            <w:tcW w:type="dxa" w:w="2420"/>
            <w:tcBorders>
              <w:top w:val="single" w:color="DDDDDD" w:sz="1"/>
              <w:left w:val="single" w:color="DDDDDD" w:sz="1"/>
              <w:bottom w:val="single" w:color="DDDDDD" w:sz="1"/>
              <w:right w:val="single" w:color="DDDDDD" w:sz="1"/>
            </w:tcBorders>
            <w:shd w:fill="F0F0F0" w:val="clear"/>
            <w:tcMar>
              <w:top w:type="dxa" w:w="100"/>
              <w:left w:type="dxa" w:w="150"/>
              <w:bottom w:type="dxa" w:w="100"/>
              <w:right w:type="dxa" w:w="150"/>
            </w:tcMar>
          </w:tcPr>
          <w:p>
            <w:r>
              <w:rPr>
                <w:rFonts w:ascii="Arial" w:cs="Arial" w:eastAsia="Arial" w:hAnsi="Arial"/>
                <w:b/>
                <w:bCs/>
                <w:color w:val="888888"/>
                <w:sz w:val="20"/>
                <w:szCs w:val="20"/>
              </w:rPr>
              <w:t xml:space="preserve">~$3,000–4,500/mo
(compressed netback)</w:t>
            </w:r>
          </w:p>
        </w:tc>
        <w:tc>
          <w:tcPr>
            <w:tcW w:type="dxa" w:w="2420"/>
            <w:tcBorders>
              <w:top w:val="single" w:color="DDDDDD" w:sz="1"/>
              <w:left w:val="single" w:color="DDDDDD" w:sz="1"/>
              <w:bottom w:val="single" w:color="DDDDDD" w:sz="1"/>
              <w:right w:val="single" w:color="DDDDDD" w:sz="1"/>
            </w:tcBorders>
            <w:shd w:fill="F0F0F0" w:val="clear"/>
            <w:tcMar>
              <w:top w:type="dxa" w:w="100"/>
              <w:left w:type="dxa" w:w="150"/>
              <w:bottom w:type="dxa" w:w="100"/>
              <w:right w:type="dxa" w:w="150"/>
            </w:tcMar>
          </w:tcPr>
          <w:p>
            <w:r>
              <w:rPr>
                <w:rFonts w:ascii="Arial" w:cs="Arial" w:eastAsia="Arial" w:hAnsi="Arial"/>
                <w:b/>
                <w:bCs/>
                <w:color w:val="888888"/>
                <w:sz w:val="20"/>
                <w:szCs w:val="20"/>
              </w:rPr>
              <w:t xml:space="preserve">~$3,000–4,500/mo
(compressed netback)</w:t>
            </w:r>
          </w:p>
        </w:tc>
      </w:tr>
    </w:tbl>
    <w:p>
      <w:pPr>
        <w:spacing w:before="120" w:after="80"/>
      </w:pPr>
      <w:r>
        <w:t xml:space="preserve"/>
      </w:r>
    </w:p>
    <w:p>
      <w:pPr>
        <w:spacing w:before="100" w:after="140"/>
      </w:pPr>
      <w:r>
        <w:rPr>
          <w:rFonts w:ascii="Arial" w:cs="Arial" w:eastAsia="Arial" w:hAnsi="Arial"/>
          <w:i/>
          <w:iCs/>
          <w:color w:val="999999"/>
          <w:sz w:val="22"/>
          <w:szCs w:val="22"/>
        </w:rPr>
        <w:t xml:space="preserve">Revenue estimates based on 150 Mcfd powering approximately 250–350 kW of mining capacity. Pipeline alternative assumes $1.00–$1.50/Mcf net after midstream fees. Actual figures vary with gas quality, elevation, Bitcoin network difficulty, and current hashprice.</w:t>
      </w:r>
    </w:p>
    <w:p>
      <w:pPr>
        <w:spacing w:before="80" w:after="80"/>
      </w:pPr>
      <w:r>
        <w:t xml:space="preserve"/>
      </w:r>
    </w:p>
    <w:p>
      <w:pPr>
        <w:pStyle w:val="Heading3"/>
        <w:spacing w:before="240" w:after="100"/>
      </w:pPr>
      <w:r>
        <w:rPr>
          <w:rFonts w:ascii="Arial" w:cs="Arial" w:eastAsia="Arial" w:hAnsi="Arial"/>
          <w:b/>
          <w:bCs/>
          <w:color w:val="E8500A"/>
          <w:sz w:val="24"/>
          <w:szCs w:val="24"/>
        </w:rPr>
        <w:t xml:space="preserve">What the Table Shows</w:t>
      </w:r>
    </w:p>
    <w:p>
      <w:pPr>
        <w:spacing w:before="100" w:after="140"/>
      </w:pPr>
      <w:r>
        <w:rPr>
          <w:rFonts w:ascii="Arial" w:cs="Arial" w:eastAsia="Arial" w:hAnsi="Arial"/>
          <w:color w:val="4A4A4A"/>
          <w:sz w:val="22"/>
          <w:szCs w:val="22"/>
        </w:rPr>
        <w:t xml:space="preserve">Three things stand out from the stress analysis:</w:t>
      </w:r>
    </w:p>
    <w:p>
      <w:pPr>
        <w:spacing w:before="40" w:after="2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Hosting is completely insulated from Bitcoin price movement.</w:t>
      </w:r>
      <w:r>
        <w:rPr>
          <w:rFonts w:ascii="Arial" w:cs="Arial" w:eastAsia="Arial" w:hAnsi="Arial"/>
          <w:color w:val="4A4A4A"/>
          <w:sz w:val="22"/>
          <w:szCs w:val="22"/>
        </w:rPr>
        <w:t xml:space="preserve"> The power rate is fixed. A 50% Bitcoin price decline does not reduce hosting revenue by a single dollar. This is the structure for operators whose primary concern is predictability.</w:t>
      </w:r>
    </w:p>
    <w:p>
      <w:pPr>
        <w:pStyle w:val="ListParagraph"/>
        <w:numPr>
          <w:ilvl w:val="0"/>
          <w:numId w:val="2"/>
        </w:numPr>
        <w:spacing w:before="60" w:after="60"/>
      </w:pPr>
      <w:r>
        <w:rPr>
          <w:rFonts w:ascii="Arial" w:cs="Arial" w:eastAsia="Arial" w:hAnsi="Arial"/>
          <w:b/>
          <w:bCs/>
          <w:color w:val="1A1A1A"/>
          <w:sz w:val="22"/>
          <w:szCs w:val="22"/>
        </w:rPr>
        <w:t xml:space="preserve">Revenue share and direct mining are correlated with Bitcoin—but even at −75%, the numbers for most operators exceed the pipeline alternative.</w:t>
      </w:r>
      <w:r>
        <w:rPr>
          <w:rFonts w:ascii="Arial" w:cs="Arial" w:eastAsia="Arial" w:hAnsi="Arial"/>
          <w:color w:val="4A4A4A"/>
          <w:sz w:val="22"/>
          <w:szCs w:val="22"/>
        </w:rPr>
        <w:t xml:space="preserve"> At a 75% Bitcoin price decline from today, revenue share on 150 Mcfd still generates $1,750–2,625/month. For a pad that was flaring that gas at $0, that is still an improvement. For a pad netbacking at $1.00/Mcf pipeline, the comparison is closer—but not necessarily negative.</w:t>
      </w:r>
    </w:p>
    <w:p>
      <w:pPr>
        <w:pStyle w:val="ListParagraph"/>
        <w:numPr>
          <w:ilvl w:val="0"/>
          <w:numId w:val="2"/>
        </w:numPr>
        <w:spacing w:before="60" w:after="60"/>
      </w:pPr>
      <w:r>
        <w:rPr>
          <w:rFonts w:ascii="Arial" w:cs="Arial" w:eastAsia="Arial" w:hAnsi="Arial"/>
          <w:b/>
          <w:bCs/>
          <w:color w:val="1A1A1A"/>
          <w:sz w:val="22"/>
          <w:szCs w:val="22"/>
        </w:rPr>
        <w:t xml:space="preserve">The pipeline alternative is the real floor, not zero.</w:t>
      </w:r>
      <w:r>
        <w:rPr>
          <w:rFonts w:ascii="Arial" w:cs="Arial" w:eastAsia="Arial" w:hAnsi="Arial"/>
          <w:color w:val="4A4A4A"/>
          <w:sz w:val="22"/>
          <w:szCs w:val="22"/>
        </w:rPr>
        <w:t xml:space="preserve"> If Bitcoin prices fall to a level where on-lease revenue no longer beats your pipeline netback, you have a decision to make about continuing the deployment. That decision point is well-defined and manageable—it is not a surprise.</w:t>
      </w:r>
    </w:p>
    <w:p>
      <w:pPr>
        <w:spacing w:before="12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How Hosting Structures Eliminate Bitcoin Price Risk</w:t>
      </w:r>
    </w:p>
    <w:p>
      <w:pPr>
        <w:spacing w:before="100" w:after="140"/>
      </w:pPr>
      <w:r>
        <w:rPr>
          <w:rFonts w:ascii="Arial" w:cs="Arial" w:eastAsia="Arial" w:hAnsi="Arial"/>
          <w:color w:val="4A4A4A"/>
          <w:sz w:val="22"/>
          <w:szCs w:val="22"/>
        </w:rPr>
        <w:t xml:space="preserve">Under a hosting arrangement, the operator earns a fixed rate per kilowatt-hour of electricity consumed by the mining equipment. MCF.digital deploys and operates the generator and miners. The miner—whoever owns the ASIC machines—absorbs all Bitcoin price exposure. The operator receives USD payments regardless of what Bitcoin does.</w:t>
      </w:r>
    </w:p>
    <w:p>
      <w:pPr>
        <w:spacing w:before="100" w:after="140"/>
      </w:pPr>
      <w:r>
        <w:rPr>
          <w:rFonts w:ascii="Arial" w:cs="Arial" w:eastAsia="Arial" w:hAnsi="Arial"/>
          <w:color w:val="4A4A4A"/>
          <w:sz w:val="22"/>
          <w:szCs w:val="22"/>
        </w:rPr>
        <w:t xml:space="preserve">The mechanics of this are straightforward: the miner is paying for power because they believe the Bitcoin they mine will be worth more than the power costs them. When Bitcoin price falls, the miner’s margin compresses. Their break-even power rate declines. At some Bitcoin price level, the miner may reduce operations or suspend mining at the site. But in a properly structured hosting agreement, the operator’s minimum payment terms and notice requirements are contractually defined—the operator is not exposed to a sudden stop without compensation.</w:t>
      </w:r>
    </w:p>
    <w:p>
      <w:pPr>
        <w:spacing w:before="100" w:after="140"/>
      </w:pPr>
      <w:r>
        <w:rPr>
          <w:rFonts w:ascii="Arial" w:cs="Arial" w:eastAsia="Arial" w:hAnsi="Arial"/>
          <w:color w:val="4A4A4A"/>
          <w:sz w:val="22"/>
          <w:szCs w:val="22"/>
        </w:rPr>
        <w:t xml:space="preserve">Hosting is not risk-free. Extreme, sustained Bitcoin price declines could ultimately trigger a miner’s decision to suspend operations, which would reduce the operator’s revenue. But the threshold at which this becomes the miner’s rational decision is well below the −50% scenario most operators worry about. Bitcoin would need to decline to levels where the miner’s total cost of mining—power plus equipment amortization—exceeds the value of the Bitcoin produced. At current efficiency levels for modern ASIC miners, that threshold is significantly lower than a simple −50% price move.</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How Custody-First Payout Structures Protect Operator Economics</w:t>
      </w:r>
    </w:p>
    <w:p>
      <w:pPr>
        <w:spacing w:before="100" w:after="140"/>
      </w:pPr>
      <w:r>
        <w:rPr>
          <w:rFonts w:ascii="Arial" w:cs="Arial" w:eastAsia="Arial" w:hAnsi="Arial"/>
          <w:color w:val="4A4A4A"/>
          <w:sz w:val="22"/>
          <w:szCs w:val="22"/>
        </w:rPr>
        <w:t xml:space="preserve">For operators who choose a revenue share or direct mining structure—accepting some BTC price exposure in exchange for upside participation—custody-first payout design provides a layer of protection that is independent of Bitcoin’s price movements.</w:t>
      </w:r>
    </w:p>
    <w:p>
      <w:pPr>
        <w:pStyle w:val="Heading3"/>
        <w:spacing w:before="240" w:after="100"/>
      </w:pPr>
      <w:r>
        <w:rPr>
          <w:rFonts w:ascii="Arial" w:cs="Arial" w:eastAsia="Arial" w:hAnsi="Arial"/>
          <w:b/>
          <w:bCs/>
          <w:color w:val="E8500A"/>
          <w:sz w:val="24"/>
          <w:szCs w:val="24"/>
        </w:rPr>
        <w:t xml:space="preserve">What Custody-First Means</w:t>
      </w:r>
    </w:p>
    <w:p>
      <w:pPr>
        <w:spacing w:before="100" w:after="140"/>
      </w:pPr>
      <w:r>
        <w:rPr>
          <w:rFonts w:ascii="Arial" w:cs="Arial" w:eastAsia="Arial" w:hAnsi="Arial"/>
          <w:color w:val="4A4A4A"/>
          <w:sz w:val="22"/>
          <w:szCs w:val="22"/>
        </w:rPr>
        <w:t xml:space="preserve">In a custody-first structure, the operator’s share of Bitcoin is distributed directly to the operator’s own wallet before any other distributions are made. The Bitcoin is not held by MCF.digital, not pooled with other operators’ funds, and not subject to any counterparty’s financial position. The operator receives Bitcoin—or its USD equivalent at their election—promptly after each mining period, with full transparency into the calculation.</w:t>
      </w:r>
    </w:p>
    <w:p>
      <w:pPr>
        <w:spacing w:before="100" w:after="140"/>
      </w:pPr>
      <w:r>
        <w:rPr>
          <w:rFonts w:ascii="Arial" w:cs="Arial" w:eastAsia="Arial" w:hAnsi="Arial"/>
          <w:color w:val="4A4A4A"/>
          <w:sz w:val="22"/>
          <w:szCs w:val="22"/>
        </w:rPr>
        <w:t xml:space="preserve">The protection this provides is counterparty protection, not Bitcoin price protection. It ensures that a decline in Bitcoin’s price does not expose the operator to any additional risk beyond the price decline itself. There is no scenario in which a custody-first operator loses more than the market value change of Bitcoin they were owed. Their principal is denominated in BTC at the moment of payout—not held in a pool that could be subject to other claims.</w:t>
      </w:r>
    </w:p>
    <w:p>
      <w:pPr>
        <w:pStyle w:val="Heading3"/>
        <w:spacing w:before="240" w:after="100"/>
      </w:pPr>
      <w:r>
        <w:rPr>
          <w:rFonts w:ascii="Arial" w:cs="Arial" w:eastAsia="Arial" w:hAnsi="Arial"/>
          <w:b/>
          <w:bCs/>
          <w:color w:val="E8500A"/>
          <w:sz w:val="24"/>
          <w:szCs w:val="24"/>
        </w:rPr>
        <w:t xml:space="preserve">Why This Matters for Institutional and Investor Capital</w:t>
      </w:r>
    </w:p>
    <w:p>
      <w:pPr>
        <w:spacing w:before="100" w:after="140"/>
      </w:pPr>
      <w:r>
        <w:rPr>
          <w:rFonts w:ascii="Arial" w:cs="Arial" w:eastAsia="Arial" w:hAnsi="Arial"/>
          <w:color w:val="4A4A4A"/>
          <w:sz w:val="22"/>
          <w:szCs w:val="22"/>
        </w:rPr>
        <w:t xml:space="preserve">For family offices, HNWIs, and institutional capital partners participating as investors in gas-to-hash deployments, custody-first payout is not optional—it is the baseline requirement for serious capital allocation. The failure modes of crypto-adjacent structures that held investor funds—exchanges, yield platforms, custodians—demonstrated why counterparty exposure is a separate and more serious risk than Bitcoin price exposure. Custody-first eliminates the counterparty layer entirely.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CUSTODY-FIRST PROTECTS AGAINST COUNTERPARTY RISK, NOT PRICE RISK</w:t>
            </w:r>
          </w:p>
          <w:p>
            <w:pPr>
              <w:spacing w:before="0" w:after="0"/>
            </w:pPr>
            <w:r>
              <w:rPr>
                <w:rFonts w:ascii="Arial" w:cs="Arial" w:eastAsia="Arial" w:hAnsi="Arial"/>
                <w:color w:val="4A4A4A"/>
                <w:sz w:val="22"/>
                <w:szCs w:val="22"/>
              </w:rPr>
              <w:t xml:space="preserve">Custody-first means your Bitcoin is in your wallet, not someone else’s. If Bitcoin falls 50% after you receive it, that is Bitcoin price risk—which you accepted when you chose a revenue share or direct mining structure. What custody-first prevents is someone else’s problem becoming your problem. Those are different risks, and conflating them is a common source of confusion in investor conversations.</w:t>
            </w:r>
          </w:p>
        </w:tc>
      </w:tr>
    </w:tbl>
    <w:p>
      <w:pPr>
        <w:spacing w:before="20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Matching Structure to Your Risk Tolerance: A Decision Framework</w:t>
      </w:r>
    </w:p>
    <w:p>
      <w:pPr>
        <w:spacing w:before="100" w:after="140"/>
      </w:pPr>
      <w:r>
        <w:rPr>
          <w:rFonts w:ascii="Arial" w:cs="Arial" w:eastAsia="Arial" w:hAnsi="Arial"/>
          <w:color w:val="4A4A4A"/>
          <w:sz w:val="22"/>
          <w:szCs w:val="22"/>
        </w:rPr>
        <w:t xml:space="preserve">The question is not whether Bitcoin is volatile—it is. The question is how much of that volatility you want to absorb, and whether the upside participation is worth the exposure. Here is a direct framework for the decision.</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rPr>
          <w:tblHeader/>
        </w:trPr>
        <w:tc>
          <w:tcPr>
            <w:tcW w:type="dxa" w:w="25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Your Priority</w:t>
            </w:r>
          </w:p>
        </w:tc>
        <w:tc>
          <w:tcPr>
            <w:tcW w:type="dxa" w:w="34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The Right Structure</w:t>
            </w:r>
          </w:p>
        </w:tc>
        <w:tc>
          <w:tcPr>
            <w:tcW w:type="dxa" w:w="34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You Give Up</w:t>
            </w:r>
          </w:p>
        </w:tc>
      </w:tr>
      <w:tr>
        <w:tc>
          <w:tcPr>
            <w:tcW w:type="dxa" w:w="25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Predictable USD revenue. Zero crypto exposure on books.</w:t>
            </w:r>
          </w:p>
        </w:tc>
        <w:tc>
          <w:tcPr>
            <w:tcW w:type="dxa" w:w="34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Hosting (fixed power rate)</w:t>
            </w:r>
          </w:p>
        </w:tc>
        <w:tc>
          <w:tcPr>
            <w:tcW w:type="dxa" w:w="34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Bitcoin upside. Revenue is capped at the fixed rate regardless of BTC price gains.</w:t>
            </w:r>
          </w:p>
        </w:tc>
      </w:tr>
      <w:tr>
        <w:tc>
          <w:tcPr>
            <w:tcW w:type="dxa" w:w="25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Participation in Bitcoin upside with limited downside.</w:t>
            </w:r>
          </w:p>
        </w:tc>
        <w:tc>
          <w:tcPr>
            <w:tcW w:type="dxa" w:w="34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Revenue share (partial BTC exposure)</w:t>
            </w:r>
          </w:p>
        </w:tc>
        <w:tc>
          <w:tcPr>
            <w:tcW w:type="dxa" w:w="34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Revenue predictability. Monthly income varies with hashprice. In a down market, revenue declines proportionally.</w:t>
            </w:r>
          </w:p>
        </w:tc>
      </w:tr>
      <w:tr>
        <w:tc>
          <w:tcPr>
            <w:tcW w:type="dxa" w:w="25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Full Bitcoin economics from your gas. Maximum upside.</w:t>
            </w:r>
          </w:p>
        </w:tc>
        <w:tc>
          <w:tcPr>
            <w:tcW w:type="dxa" w:w="34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Direct mining (full BTC exposure)</w:t>
            </w:r>
          </w:p>
        </w:tc>
        <w:tc>
          <w:tcPr>
            <w:tcW w:type="dxa" w:w="34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Stability. All revenue is BTC-denominated and fully correlated with hashprice movement.</w:t>
            </w:r>
          </w:p>
        </w:tc>
      </w:tr>
      <w:tr>
        <w:tc>
          <w:tcPr>
            <w:tcW w:type="dxa" w:w="25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Deployment without capital. Shared upside and risk.</w:t>
            </w:r>
          </w:p>
        </w:tc>
        <w:tc>
          <w:tcPr>
            <w:tcW w:type="dxa" w:w="34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Capital partner structure</w:t>
            </w:r>
          </w:p>
        </w:tc>
        <w:tc>
          <w:tcPr>
            <w:tcW w:type="dxa" w:w="34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Full economics. A portion of revenue flows to the capital partner who funded the CapEx.</w:t>
            </w:r>
          </w:p>
        </w:tc>
      </w:tr>
    </w:tbl>
    <w:p>
      <w:pPr>
        <w:spacing w:before="160" w:after="100"/>
      </w:pPr>
      <w:r>
        <w:t xml:space="preserve"/>
      </w:r>
    </w:p>
    <w:p>
      <w:pPr>
        <w:spacing w:before="100" w:after="140"/>
      </w:pPr>
      <w:r>
        <w:rPr>
          <w:rFonts w:ascii="Arial" w:cs="Arial" w:eastAsia="Arial" w:hAnsi="Arial"/>
          <w:color w:val="4A4A4A"/>
          <w:sz w:val="22"/>
          <w:szCs w:val="22"/>
        </w:rPr>
        <w:t xml:space="preserve">One practical note: operators do not have to choose a single structure for all of their gas. An operator with 500 Mcfd available might deploy 200 Mcfd under a hosting structure—locking in stable USD revenue—and another 300 Mcfd under a revenue share for upside participation. The structures can be layered. The flexibility is there.</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The Honest Answer to the Bitcoin Volatility Objection</w:t>
      </w:r>
    </w:p>
    <w:p>
      <w:pPr>
        <w:spacing w:before="100" w:after="140"/>
      </w:pPr>
      <w:r>
        <w:rPr>
          <w:rFonts w:ascii="Arial" w:cs="Arial" w:eastAsia="Arial" w:hAnsi="Arial"/>
          <w:color w:val="4A4A4A"/>
          <w:sz w:val="22"/>
          <w:szCs w:val="22"/>
        </w:rPr>
        <w:t xml:space="preserve">Here is what an honest conversation about Bitcoin price risk in a gas-to-hash deployment looks like:</w:t>
      </w:r>
    </w:p>
    <w:p>
      <w:pPr>
        <w:spacing w:before="60" w:after="4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Bitcoin is volatile.</w:t>
      </w:r>
      <w:r>
        <w:rPr>
          <w:rFonts w:ascii="Arial" w:cs="Arial" w:eastAsia="Arial" w:hAnsi="Arial"/>
          <w:color w:val="4A4A4A"/>
          <w:sz w:val="22"/>
          <w:szCs w:val="22"/>
        </w:rPr>
        <w:t xml:space="preserve"> A 50% price decline from any given starting point has happened multiple times in Bitcoin’s history. It will probably happen again. Anyone who tells you otherwise is not being straight with you.</w:t>
      </w:r>
    </w:p>
    <w:p>
      <w:pPr>
        <w:pStyle w:val="ListParagraph"/>
        <w:numPr>
          <w:ilvl w:val="0"/>
          <w:numId w:val="2"/>
        </w:numPr>
        <w:spacing w:before="60" w:after="60"/>
      </w:pPr>
      <w:r>
        <w:rPr>
          <w:rFonts w:ascii="Arial" w:cs="Arial" w:eastAsia="Arial" w:hAnsi="Arial"/>
          <w:b/>
          <w:bCs/>
          <w:color w:val="1A1A1A"/>
          <w:sz w:val="22"/>
          <w:szCs w:val="22"/>
        </w:rPr>
        <w:t xml:space="preserve">Under a hosting structure, it doesn’t matter.</w:t>
      </w:r>
      <w:r>
        <w:rPr>
          <w:rFonts w:ascii="Arial" w:cs="Arial" w:eastAsia="Arial" w:hAnsi="Arial"/>
          <w:color w:val="4A4A4A"/>
          <w:sz w:val="22"/>
          <w:szCs w:val="22"/>
        </w:rPr>
        <w:t xml:space="preserve"> Your revenue is tied to electrical output, not Bitcoin’s price. A 50% Bitcoin decline has no effect on your monthly income.</w:t>
      </w:r>
    </w:p>
    <w:p>
      <w:pPr>
        <w:pStyle w:val="ListParagraph"/>
        <w:numPr>
          <w:ilvl w:val="0"/>
          <w:numId w:val="2"/>
        </w:numPr>
        <w:spacing w:before="60" w:after="60"/>
      </w:pPr>
      <w:r>
        <w:rPr>
          <w:rFonts w:ascii="Arial" w:cs="Arial" w:eastAsia="Arial" w:hAnsi="Arial"/>
          <w:b/>
          <w:bCs/>
          <w:color w:val="1A1A1A"/>
          <w:sz w:val="22"/>
          <w:szCs w:val="22"/>
        </w:rPr>
        <w:t xml:space="preserve">Under revenue share and direct mining, it matters—but so does the baseline you’re comparing against.</w:t>
      </w:r>
      <w:r>
        <w:rPr>
          <w:rFonts w:ascii="Arial" w:cs="Arial" w:eastAsia="Arial" w:hAnsi="Arial"/>
          <w:color w:val="4A4A4A"/>
          <w:sz w:val="22"/>
          <w:szCs w:val="22"/>
        </w:rPr>
        <w:t xml:space="preserve"> If your gas is currently being flared at zero revenue, a 75% Bitcoin decline still generates positive income. If your gas is generating $1.50/Mcf pipeline netback, the stress scenarios need to be modeled against that specific number for your specific site.</w:t>
      </w:r>
    </w:p>
    <w:p>
      <w:pPr>
        <w:pStyle w:val="ListParagraph"/>
        <w:numPr>
          <w:ilvl w:val="0"/>
          <w:numId w:val="2"/>
        </w:numPr>
        <w:spacing w:before="60" w:after="60"/>
      </w:pPr>
      <w:r>
        <w:rPr>
          <w:rFonts w:ascii="Arial" w:cs="Arial" w:eastAsia="Arial" w:hAnsi="Arial"/>
          <w:b/>
          <w:bCs/>
          <w:color w:val="1A1A1A"/>
          <w:sz w:val="22"/>
          <w:szCs w:val="22"/>
        </w:rPr>
        <w:t xml:space="preserve">Custody-first payout eliminates counterparty risk.</w:t>
      </w:r>
      <w:r>
        <w:rPr>
          <w:rFonts w:ascii="Arial" w:cs="Arial" w:eastAsia="Arial" w:hAnsi="Arial"/>
          <w:color w:val="4A4A4A"/>
          <w:sz w:val="22"/>
          <w:szCs w:val="22"/>
        </w:rPr>
        <w:t xml:space="preserve"> Regardless of which structure you choose, your Bitcoin or USD equivalent is in your accounts—not held by someone else. The price of Bitcoin is not someone else’s problem. It is yours if you chose to take BTC exposure.</w:t>
      </w:r>
    </w:p>
    <w:p>
      <w:pPr>
        <w:pStyle w:val="ListParagraph"/>
        <w:numPr>
          <w:ilvl w:val="0"/>
          <w:numId w:val="2"/>
        </w:numPr>
        <w:spacing w:before="60" w:after="60"/>
      </w:pPr>
      <w:r>
        <w:rPr>
          <w:rFonts w:ascii="Arial" w:cs="Arial" w:eastAsia="Arial" w:hAnsi="Arial"/>
          <w:b/>
          <w:bCs/>
          <w:color w:val="1A1A1A"/>
          <w:sz w:val="22"/>
          <w:szCs w:val="22"/>
        </w:rPr>
        <w:t xml:space="preserve">The decision is reversible.</w:t>
      </w:r>
      <w:r>
        <w:rPr>
          <w:rFonts w:ascii="Arial" w:cs="Arial" w:eastAsia="Arial" w:hAnsi="Arial"/>
          <w:color w:val="4A4A4A"/>
          <w:sz w:val="22"/>
          <w:szCs w:val="22"/>
        </w:rPr>
        <w:t xml:space="preserve"> If Bitcoin prices fall to levels where on-lease revenue no longer makes sense for your site, the deployment agreement contains defined wind-down provisions. You are not locked in indefinitely regardless of market conditions.</w:t>
      </w:r>
    </w:p>
    <w:p>
      <w:pPr>
        <w:spacing w:before="120" w:after="80"/>
      </w:pPr>
      <w:r>
        <w:t xml:space="preserve"/>
      </w:r>
    </w:p>
    <w:p>
      <w:pPr>
        <w:spacing w:before="100" w:after="140"/>
      </w:pPr>
      <w:r>
        <w:rPr>
          <w:rFonts w:ascii="Arial" w:cs="Arial" w:eastAsia="Arial" w:hAnsi="Arial"/>
          <w:b w:val="false"/>
          <w:bCs w:val="false"/>
          <w:color w:val="1A1A1A"/>
          <w:sz w:val="22"/>
          <w:szCs w:val="22"/>
        </w:rPr>
        <w:t xml:space="preserve">The operators who have the worst outcomes in volatile markets are the ones who chose a structure that doesn’t match their actual risk tolerance—not the ones who chose gas-to-hash deployment. The structure decision is the risk management decision. Make it deliberately.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16"/>
              <w:left w:val="none" w:color="FFFFFF" w:sz="0"/>
              <w:bottom w:val="single" w:color="E8500A" w:sz="16"/>
              <w:right w:val="none" w:color="FFFFFF" w:sz="0"/>
            </w:tcBorders>
            <w:shd w:fill="1A1A1A" w:val="clear"/>
            <w:tcMar>
              <w:top w:type="dxa" w:w="280"/>
              <w:left w:type="dxa" w:w="360"/>
              <w:bottom w:type="dxa" w:w="280"/>
              <w:right w:type="dxa" w:w="360"/>
            </w:tcMar>
          </w:tcPr>
          <w:p>
            <w:pPr>
              <w:spacing w:before="0" w:after="80"/>
              <w:jc w:val="center"/>
            </w:pPr>
            <w:r>
              <w:rPr>
                <w:rFonts w:ascii="Arial" w:cs="Arial" w:eastAsia="Arial" w:hAnsi="Arial"/>
                <w:b/>
                <w:bCs/>
                <w:color w:val="FFFFFF"/>
                <w:sz w:val="28"/>
                <w:szCs w:val="28"/>
              </w:rPr>
              <w:t xml:space="preserve">Model your specific downside scenario.</w:t>
            </w:r>
          </w:p>
          <w:p>
            <w:pPr>
              <w:spacing w:before="0" w:after="120"/>
              <w:jc w:val="center"/>
            </w:pPr>
            <w:r>
              <w:rPr>
                <w:rFonts w:ascii="Arial" w:cs="Arial" w:eastAsia="Arial" w:hAnsi="Arial"/>
                <w:color w:val="CCCCCC"/>
                <w:sz w:val="22"/>
                <w:szCs w:val="22"/>
              </w:rPr>
              <w:t xml:space="preserve">Enter your gas volume and current alternative netback. See how each deal structure performs across BTC price scenarios—including a 50% and 75% decline from today.</w:t>
            </w:r>
          </w:p>
          <w:p>
            <w:pPr>
              <w:spacing w:before="0" w:after="0"/>
              <w:jc w:val="center"/>
            </w:pPr>
            <w:r>
              <w:rPr>
                <w:rFonts w:ascii="Arial" w:cs="Arial" w:eastAsia="Arial" w:hAnsi="Arial"/>
                <w:b/>
                <w:bCs/>
                <w:color w:val="E8500A"/>
                <w:sz w:val="26"/>
                <w:szCs w:val="26"/>
              </w:rPr>
              <w:t xml:space="preserve">tools.mcf.digital</w:t>
            </w:r>
            <w:r>
              <w:rPr>
                <w:rFonts w:ascii="Arial" w:cs="Arial" w:eastAsia="Arial" w:hAnsi="Arial"/>
                <w:color w:val="555555"/>
                <w:sz w:val="24"/>
                <w:szCs w:val="24"/>
              </w:rPr>
              <w:t xml:space="preserve">   ·   </w:t>
            </w:r>
            <w:r>
              <w:rPr>
                <w:rFonts w:ascii="Arial" w:cs="Arial" w:eastAsia="Arial" w:hAnsi="Arial"/>
                <w:b/>
                <w:bCs/>
                <w:color w:val="E8500A"/>
                <w:sz w:val="24"/>
                <w:szCs w:val="24"/>
              </w:rPr>
              <w:t xml:space="preserve">Book a 15-minute fit call</w:t>
            </w:r>
          </w:p>
        </w:tc>
      </w:tr>
    </w:tbl>
    <w:p>
      <w:pPr>
        <w:spacing w:before="24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Related Resources</w:t>
      </w:r>
    </w:p>
    <w:p>
      <w:pPr>
        <w:spacing w:before="100" w:after="140"/>
      </w:pPr>
      <w:r>
        <w:rPr>
          <w:rFonts w:ascii="Arial" w:cs="Arial" w:eastAsia="Arial" w:hAnsi="Arial"/>
          <w:color w:val="4A4A4A"/>
          <w:sz w:val="22"/>
          <w:szCs w:val="22"/>
        </w:rPr>
        <w:t xml:space="preserve">Continue your research on risk, deal structures, and downside protection:</w:t>
      </w:r>
    </w:p>
    <w:p>
      <w:pPr>
        <w:spacing w:before="60" w:after="4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Commodity Risk, Uptime Risk, and Site Risk: The Three Risk Categories — </w:t>
      </w:r>
      <w:r>
        <w:rPr>
          <w:rFonts w:ascii="Arial" w:cs="Arial" w:eastAsia="Arial" w:hAnsi="Arial"/>
          <w:color w:val="4A4A4A"/>
          <w:sz w:val="22"/>
          <w:szCs w:val="22"/>
        </w:rPr>
        <w:t xml:space="preserve">mcf.digital/operator-guides/three-risk-categories</w:t>
      </w:r>
    </w:p>
    <w:p>
      <w:pPr>
        <w:pStyle w:val="ListParagraph"/>
        <w:numPr>
          <w:ilvl w:val="0"/>
          <w:numId w:val="2"/>
        </w:numPr>
        <w:spacing w:before="60" w:after="60"/>
      </w:pPr>
      <w:r>
        <w:rPr>
          <w:rFonts w:ascii="Arial" w:cs="Arial" w:eastAsia="Arial" w:hAnsi="Arial"/>
          <w:b/>
          <w:bCs/>
          <w:color w:val="1A1A1A"/>
          <w:sz w:val="22"/>
          <w:szCs w:val="22"/>
        </w:rPr>
        <w:t xml:space="preserve">What Is Custody-First Bitcoin Payout? — </w:t>
      </w:r>
      <w:r>
        <w:rPr>
          <w:rFonts w:ascii="Arial" w:cs="Arial" w:eastAsia="Arial" w:hAnsi="Arial"/>
          <w:color w:val="4A4A4A"/>
          <w:sz w:val="22"/>
          <w:szCs w:val="22"/>
        </w:rPr>
        <w:t xml:space="preserve">mcf.digital/glossary/what-is-custody-first-bitcoin-payout</w:t>
      </w:r>
    </w:p>
    <w:p>
      <w:pPr>
        <w:pStyle w:val="ListParagraph"/>
        <w:numPr>
          <w:ilvl w:val="0"/>
          <w:numId w:val="2"/>
        </w:numPr>
        <w:spacing w:before="60" w:after="60"/>
      </w:pPr>
      <w:r>
        <w:rPr>
          <w:rFonts w:ascii="Arial" w:cs="Arial" w:eastAsia="Arial" w:hAnsi="Arial"/>
          <w:b/>
          <w:bCs/>
          <w:color w:val="1A1A1A"/>
          <w:sz w:val="22"/>
          <w:szCs w:val="22"/>
        </w:rPr>
        <w:t xml:space="preserve">What Is Hashprice? — </w:t>
      </w:r>
      <w:r>
        <w:rPr>
          <w:rFonts w:ascii="Arial" w:cs="Arial" w:eastAsia="Arial" w:hAnsi="Arial"/>
          <w:color w:val="4A4A4A"/>
          <w:sz w:val="22"/>
          <w:szCs w:val="22"/>
        </w:rPr>
        <w:t xml:space="preserve">mcf.digital/glossary/what-is-hashprice</w:t>
      </w:r>
    </w:p>
    <w:p>
      <w:pPr>
        <w:pStyle w:val="ListParagraph"/>
        <w:numPr>
          <w:ilvl w:val="0"/>
          <w:numId w:val="2"/>
        </w:numPr>
        <w:spacing w:before="60" w:after="60"/>
      </w:pPr>
      <w:r>
        <w:rPr>
          <w:rFonts w:ascii="Arial" w:cs="Arial" w:eastAsia="Arial" w:hAnsi="Arial"/>
          <w:b/>
          <w:bCs/>
          <w:color w:val="1A1A1A"/>
          <w:sz w:val="22"/>
          <w:szCs w:val="22"/>
        </w:rPr>
        <w:t xml:space="preserve">Bitcoin Mining Hosting vs. Mining Yourself: Which Structure Fits Your Pad? — </w:t>
      </w:r>
      <w:r>
        <w:rPr>
          <w:rFonts w:ascii="Arial" w:cs="Arial" w:eastAsia="Arial" w:hAnsi="Arial"/>
          <w:color w:val="4A4A4A"/>
          <w:sz w:val="22"/>
          <w:szCs w:val="22"/>
        </w:rPr>
        <w:t xml:space="preserve">mcf.digital/guides/bitcoin-mining-hosting-vs-mining-yourself</w:t>
      </w:r>
    </w:p>
    <w:p>
      <w:pPr>
        <w:pStyle w:val="ListParagraph"/>
        <w:numPr>
          <w:ilvl w:val="0"/>
          <w:numId w:val="2"/>
        </w:numPr>
        <w:spacing w:before="60" w:after="60"/>
      </w:pPr>
      <w:r>
        <w:rPr>
          <w:rFonts w:ascii="Arial" w:cs="Arial" w:eastAsia="Arial" w:hAnsi="Arial"/>
          <w:b/>
          <w:bCs/>
          <w:color w:val="1A1A1A"/>
          <w:sz w:val="22"/>
          <w:szCs w:val="22"/>
        </w:rPr>
        <w:t xml:space="preserve">Stranded Gas Bitcoin Mining: When It Pencils and When It Doesn’t — </w:t>
      </w:r>
      <w:r>
        <w:rPr>
          <w:rFonts w:ascii="Arial" w:cs="Arial" w:eastAsia="Arial" w:hAnsi="Arial"/>
          <w:color w:val="4A4A4A"/>
          <w:sz w:val="22"/>
          <w:szCs w:val="22"/>
        </w:rPr>
        <w:t xml:space="preserve">mcf.digital/operator-guides/stranded-gas-bitcoin-mining</w:t>
      </w:r>
    </w:p>
    <w:p>
      <w:pPr>
        <w:pStyle w:val="ListParagraph"/>
        <w:numPr>
          <w:ilvl w:val="0"/>
          <w:numId w:val="2"/>
        </w:numPr>
        <w:spacing w:before="60" w:after="60"/>
      </w:pPr>
      <w:r>
        <w:rPr>
          <w:rFonts w:ascii="Arial" w:cs="Arial" w:eastAsia="Arial" w:hAnsi="Arial"/>
          <w:b/>
          <w:bCs/>
          <w:color w:val="1A1A1A"/>
          <w:sz w:val="22"/>
          <w:szCs w:val="22"/>
        </w:rPr>
        <w:t xml:space="preserve">The Bitcoin Treasury Paradox: How O&amp;G Operators Can Hold BTC Without Holding BTC — </w:t>
      </w:r>
      <w:r>
        <w:rPr>
          <w:rFonts w:ascii="Arial" w:cs="Arial" w:eastAsia="Arial" w:hAnsi="Arial"/>
          <w:color w:val="4A4A4A"/>
          <w:sz w:val="22"/>
          <w:szCs w:val="22"/>
        </w:rPr>
        <w:t xml:space="preserve">mcf.digital/white-papers/bitcoin-treasury-paradox</w:t>
      </w:r>
    </w:p>
    <w:p>
      <w:pPr>
        <w:spacing w:before="200" w:after="100"/>
      </w:pPr>
      <w:r>
        <w:t xml:space="preserve"/>
      </w:r>
    </w:p>
    <w:p>
      <w:pPr>
        <w:pBdr>
          <w:top w:val="single" w:color="DDDDDD" w:sz="4" w:space="4"/>
        </w:pBdr>
        <w:spacing w:before="0" w:after="0"/>
      </w:pPr>
      <w:r>
        <w:rPr>
          <w:sz w:val="20"/>
          <w:szCs w:val="20"/>
        </w:rPr>
        <w:t xml:space="preserve"/>
      </w:r>
    </w:p>
    <w:p>
      <w:pPr>
        <w:spacing w:before="120" w:after="0"/>
      </w:pPr>
      <w:r>
        <w:rPr>
          <w:rFonts w:ascii="Arial" w:cs="Arial" w:eastAsia="Arial" w:hAnsi="Arial"/>
          <w:b/>
          <w:bCs/>
          <w:color w:val="1A1A1A"/>
          <w:sz w:val="20"/>
          <w:szCs w:val="20"/>
        </w:rPr>
        <w:t xml:space="preserve">MCF.digital</w:t>
      </w:r>
      <w:r>
        <w:rPr>
          <w:rFonts w:ascii="Arial" w:cs="Arial" w:eastAsia="Arial" w:hAnsi="Arial"/>
          <w:color w:val="999999"/>
          <w:sz w:val="18"/>
          <w:szCs w:val="18"/>
        </w:rPr>
        <w:t xml:space="preserve">  ·  On-Lease Bitcoin Mining  ·  Flare Gas Monetization  ·  Gas-to-Hash Operator</w:t>
      </w:r>
    </w:p>
    <w:p>
      <w:pPr>
        <w:spacing w:before="60" w:after="0"/>
      </w:pPr>
      <w:r>
        <w:rPr>
          <w:rFonts w:ascii="Arial" w:cs="Arial" w:eastAsia="Arial" w:hAnsi="Arial"/>
          <w:color w:val="BBBBBB"/>
          <w:sz w:val="16"/>
          <w:szCs w:val="16"/>
        </w:rPr>
        <w:t xml:space="preserve">Audience: Operators, Investors  ·  Category: Operator Guide  ·  mcf.digital/operator-guides/bitcoin-price-downside-scenarios</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936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mcf.digital/operator-guides/bitcoin-price-downside-scenarios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OPERATOR GUIDE  |  Bitcoin Downside Scenarios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4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2026-02-26T19:10:44.485Z</dcterms:created>
  <dcterms:modified xsi:type="dcterms:W3CDTF">2026-02-26T19:10:44.485Z</dcterms:modified>
</cp:coreProperties>
</file>

<file path=docProps/custom.xml><?xml version="1.0" encoding="utf-8"?>
<Properties xmlns="http://schemas.openxmlformats.org/officeDocument/2006/custom-properties" xmlns:vt="http://schemas.openxmlformats.org/officeDocument/2006/docPropsVTypes"/>
</file>