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PRE-AGREEMENT CHECKLIST</w:t>
      </w:r>
    </w:p>
    <w:p>
      <w:pPr>
        <w:spacing w:before="0" w:after="80"/>
      </w:pPr>
      <w:r>
        <w:rPr>
          <w:rFonts w:ascii="Arial" w:cs="Arial" w:eastAsia="Arial" w:hAnsi="Arial"/>
          <w:b/>
          <w:bCs/>
          <w:color w:val="1A1A1A"/>
          <w:sz w:val="46"/>
          <w:szCs w:val="46"/>
        </w:rPr>
        <w:t xml:space="preserve">The Operator’s Due Diligence Checklist</w:t>
      </w:r>
    </w:p>
    <w:p>
      <w:pPr>
        <w:spacing w:before="0" w:after="200"/>
      </w:pPr>
      <w:r>
        <w:rPr>
          <w:rFonts w:ascii="Arial" w:cs="Arial" w:eastAsia="Arial" w:hAnsi="Arial"/>
          <w:b/>
          <w:bCs/>
          <w:color w:val="E8500A"/>
          <w:sz w:val="46"/>
          <w:szCs w:val="46"/>
        </w:rPr>
        <w:t xml:space="preserve">for a Gas-to-Hash Deployment</w:t>
      </w:r>
    </w:p>
    <w:p>
      <w:pPr>
        <w:pBdr>
          <w:bottom w:val="single" w:color="E8D5CC" w:sz="6" w:space="4"/>
        </w:pBdr>
        <w:spacing w:before="0" w:after="200"/>
      </w:pPr>
      <w:r>
        <w:rPr>
          <w:rFonts w:ascii="Arial" w:cs="Arial" w:eastAsia="Arial" w:hAnsi="Arial"/>
          <w:color w:val="4A4A4A"/>
          <w:sz w:val="24"/>
          <w:szCs w:val="24"/>
        </w:rPr>
        <w:t xml:space="preserve">Seven categories. Forty-two items. Everything you should confirm before signing a deployment agreement—and the questions that separate credible operators from those who are winging it.</w:t>
      </w:r>
    </w:p>
    <w:p>
      <w:pPr>
        <w:spacing w:before="160" w:after="80"/>
      </w:pPr>
      <w:r>
        <w:t xml:space="preserve"/>
      </w:r>
    </w:p>
    <w:p>
      <w:pPr>
        <w:spacing w:before="80" w:after="120"/>
      </w:pPr>
      <w:r>
        <w:rPr>
          <w:rFonts w:ascii="Arial" w:cs="Arial" w:eastAsia="Arial" w:hAnsi="Arial"/>
          <w:color w:val="4A4A4A"/>
          <w:sz w:val="22"/>
          <w:szCs w:val="22"/>
        </w:rPr>
        <w:t xml:space="preserve">Gas-to-hash deployment agreements are not commodity purchases. They involve equipment installed at your pad, operational dependencies, regulatory implications, and financial structures that run for 12–24+ months. The operator you choose—and the terms you agree to—matter more than the headline revenue number.</w:t>
      </w:r>
    </w:p>
    <w:p>
      <w:pPr>
        <w:spacing w:before="80" w:after="120"/>
      </w:pPr>
      <w:r>
        <w:rPr>
          <w:rFonts w:ascii="Arial" w:cs="Arial" w:eastAsia="Arial" w:hAnsi="Arial"/>
          <w:color w:val="4A4A4A"/>
          <w:sz w:val="22"/>
          <w:szCs w:val="22"/>
        </w:rPr>
        <w:t xml:space="preserve">This checklist is designed to be used before you sign anything. Work through it against any operator proposal you receive, including MCF.digital’s. A credible operator will welcome these questions. An operator who deflects or rushes past them is telling you something important.</w:t>
      </w:r>
    </w:p>
    <w:p>
      <w:pPr>
        <w:spacing w:before="80" w:after="120"/>
      </w:pPr>
      <w:r>
        <w:rPr>
          <w:rFonts w:ascii="Arial" w:cs="Arial" w:eastAsia="Arial" w:hAnsi="Arial"/>
          <w:color w:val="4A4A4A"/>
          <w:sz w:val="22"/>
          <w:szCs w:val="22"/>
        </w:rPr>
        <w:t xml:space="preserve">Items marked RED FLAG indicate conditions that should either disqualify the proposal or require substantial explanation before proceeding. Items marked CONFIRM require a documented, specific answer—not a general assurance.</w:t>
      </w:r>
    </w:p>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REQUIRED  </w:t>
            </w:r>
            <w:r>
              <w:rPr>
                <w:rFonts w:ascii="Arial" w:cs="Arial" w:eastAsia="Arial" w:hAnsi="Arial"/>
                <w:color w:val="4A4A4A"/>
                <w:sz w:val="18"/>
                <w:szCs w:val="18"/>
              </w:rPr>
              <w:t xml:space="preserve">Must be confirmed. Standard pre-agreement item.</w:t>
            </w:r>
          </w:p>
        </w:tc>
        <w:tc>
          <w:tcPr>
            <w:tcW w:type="dxa" w:w="31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CONFIRM  </w:t>
            </w:r>
            <w:r>
              <w:rPr>
                <w:rFonts w:ascii="Arial" w:cs="Arial" w:eastAsia="Arial" w:hAnsi="Arial"/>
                <w:color w:val="4A4A4A"/>
                <w:sz w:val="18"/>
                <w:szCs w:val="18"/>
              </w:rPr>
              <w:t xml:space="preserve">Requires a specific documented answer, not a general assurance.</w:t>
            </w:r>
          </w:p>
        </w:tc>
        <w:tc>
          <w:tcPr>
            <w:tcW w:type="dxa" w:w="31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62828"/>
                <w:sz w:val="20"/>
                <w:szCs w:val="20"/>
              </w:rPr>
              <w:t xml:space="preserve">RED FLAG  </w:t>
            </w:r>
            <w:r>
              <w:rPr>
                <w:rFonts w:ascii="Arial" w:cs="Arial" w:eastAsia="Arial" w:hAnsi="Arial"/>
                <w:color w:val="4A4A4A"/>
                <w:sz w:val="18"/>
                <w:szCs w:val="18"/>
              </w:rPr>
              <w:t xml:space="preserve">Disqualifying condition or requires substantial explanation.</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2A4A6A" w:val="clear"/>
            <w:tcMar>
              <w:top w:type="dxa" w:w="120"/>
              <w:left w:type="dxa" w:w="180"/>
              <w:bottom w:type="dxa" w:w="120"/>
              <w:right w:type="dxa" w:w="180"/>
            </w:tcMar>
          </w:tcPr>
          <w:p>
            <w:r>
              <w:rPr>
                <w:rFonts w:ascii="Arial" w:cs="Arial" w:eastAsia="Arial" w:hAnsi="Arial"/>
                <w:b/>
                <w:bCs/>
                <w:color w:val="FFFFFF"/>
                <w:sz w:val="22"/>
                <w:szCs w:val="22"/>
              </w:rPr>
              <w:t xml:space="preserve">1.  Gas Volume and Quality Confirmation</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30-day gas production history obtained</w:t>
                  </w:r>
                </w:p>
                <w:p>
                  <w:pPr>
                    <w:spacing w:before="0" w:after="0"/>
                  </w:pPr>
                  <w:r>
                    <w:rPr>
                      <w:rFonts w:ascii="Arial" w:cs="Arial" w:eastAsia="Arial" w:hAnsi="Arial"/>
                      <w:color w:val="777777"/>
                      <w:sz w:val="18"/>
                      <w:szCs w:val="18"/>
                    </w:rPr>
                    <w:t xml:space="preserve">Average and range, not a single-point estimate.</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Stability matters as much as average volume.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Gas analysis completed within 90 days</w:t>
                  </w:r>
                </w:p>
                <w:p>
                  <w:pPr>
                    <w:spacing w:before="0" w:after="0"/>
                  </w:pPr>
                  <w:r>
                    <w:rPr>
                      <w:rFonts w:ascii="Arial" w:cs="Arial" w:eastAsia="Arial" w:hAnsi="Arial"/>
                      <w:color w:val="777777"/>
                      <w:sz w:val="18"/>
                      <w:szCs w:val="18"/>
                    </w:rPr>
                    <w:t xml:space="preserve">BTU content, methane %, H2S, CO2, NGL composition.</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Stale gas analysis is a common source of pro forma error.</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Methane number confirmed or calculated</w:t>
                  </w:r>
                </w:p>
                <w:p>
                  <w:pPr>
                    <w:spacing w:before="0" w:after="0"/>
                  </w:pPr>
                  <w:r>
                    <w:rPr>
                      <w:rFonts w:ascii="Arial" w:cs="Arial" w:eastAsia="Arial" w:hAnsi="Arial"/>
                      <w:color w:val="777777"/>
                      <w:sz w:val="18"/>
                      <w:szCs w:val="18"/>
                    </w:rPr>
                    <w:t xml:space="preserve">From gas composition. Must be above 70 for standard genset.</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Ask for the operator’s methane number calculation methodology.</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H2S content disclosed and documented</w:t>
                  </w:r>
                </w:p>
                <w:p>
                  <w:pPr>
                    <w:spacing w:before="0" w:after="0"/>
                  </w:pPr>
                  <w:r>
                    <w:rPr>
                      <w:rFonts w:ascii="Arial" w:cs="Arial" w:eastAsia="Arial" w:hAnsi="Arial"/>
                      <w:color w:val="777777"/>
                      <w:sz w:val="18"/>
                      <w:szCs w:val="18"/>
                    </w:rPr>
                    <w:t xml:space="preserve">Above 100 ppm requires H2S-rated equipment and disclosure.</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H2S above 500 ppm: full sweetening discussion required.</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Wellhead pressure confirmed at minimum inlet spec</w:t>
                  </w:r>
                </w:p>
                <w:p>
                  <w:pPr>
                    <w:spacing w:before="0" w:after="0"/>
                  </w:pPr>
                  <w:r>
                    <w:rPr>
                      <w:rFonts w:ascii="Arial" w:cs="Arial" w:eastAsia="Arial" w:hAnsi="Arial"/>
                      <w:color w:val="777777"/>
                      <w:sz w:val="18"/>
                      <w:szCs w:val="18"/>
                    </w:rPr>
                    <w:t xml:space="preserve">25+ psi preferred. 10 psi absolute minimum without compression.</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Confirm minimum winter pressure, not average annual.</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Production decline curve reviewed for deployment window</w:t>
                  </w:r>
                </w:p>
                <w:p>
                  <w:pPr>
                    <w:spacing w:before="0" w:after="0"/>
                  </w:pPr>
                  <w:r>
                    <w:rPr>
                      <w:rFonts w:ascii="Arial" w:cs="Arial" w:eastAsia="Arial" w:hAnsi="Arial"/>
                      <w:color w:val="777777"/>
                      <w:sz w:val="18"/>
                      <w:szCs w:val="18"/>
                    </w:rPr>
                    <w:t xml:space="preserve">Will volume remain above 100 Mcfd for the contract term?</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 well at 120 Mcfd in decline may fall below threshold in 6 months.</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2A4A3A" w:val="clear"/>
            <w:tcMar>
              <w:top w:type="dxa" w:w="120"/>
              <w:left w:type="dxa" w:w="180"/>
              <w:bottom w:type="dxa" w:w="120"/>
              <w:right w:type="dxa" w:w="180"/>
            </w:tcMar>
          </w:tcPr>
          <w:p>
            <w:r>
              <w:rPr>
                <w:rFonts w:ascii="Arial" w:cs="Arial" w:eastAsia="Arial" w:hAnsi="Arial"/>
                <w:b/>
                <w:bCs/>
                <w:color w:val="FFFFFF"/>
                <w:sz w:val="22"/>
                <w:szCs w:val="22"/>
              </w:rPr>
              <w:t xml:space="preserve">2.  Regulatory Permit Review</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Current flaring permit status confirmed</w:t>
                  </w:r>
                </w:p>
                <w:p>
                  <w:pPr>
                    <w:spacing w:before="0" w:after="0"/>
                  </w:pPr>
                  <w:r>
                    <w:rPr>
                      <w:rFonts w:ascii="Arial" w:cs="Arial" w:eastAsia="Arial" w:hAnsi="Arial"/>
                      <w:color w:val="777777"/>
                      <w:sz w:val="18"/>
                      <w:szCs w:val="18"/>
                    </w:rPr>
                    <w:t xml:space="preserve">Active authorization, variance, or no flaring—confirm which.</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Variance expiration date should be in the deployment timeline.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On-site engine air permit pathway identified</w:t>
                  </w:r>
                </w:p>
                <w:p>
                  <w:pPr>
                    <w:spacing w:before="0" w:after="0"/>
                  </w:pPr>
                  <w:r>
                    <w:rPr>
                      <w:rFonts w:ascii="Arial" w:cs="Arial" w:eastAsia="Arial" w:hAnsi="Arial"/>
                      <w:color w:val="777777"/>
                      <w:sz w:val="18"/>
                      <w:szCs w:val="18"/>
                    </w:rPr>
                    <w:t xml:space="preserve">TCEQ APEN (TX), COGCC/AQCC (CO), NDIC (ND), Louisiana DNR (LA).</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Permit lead time must be built into deployment schedule.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Gathering agreement reviewed for carve-out language</w:t>
                  </w:r>
                </w:p>
                <w:p>
                  <w:pPr>
                    <w:spacing w:before="0" w:after="0"/>
                  </w:pPr>
                  <w:r>
                    <w:rPr>
                      <w:rFonts w:ascii="Arial" w:cs="Arial" w:eastAsia="Arial" w:hAnsi="Arial"/>
                      <w:color w:val="777777"/>
                      <w:sz w:val="18"/>
                      <w:szCs w:val="18"/>
                    </w:rPr>
                    <w:t xml:space="preserve">Confirm on-lease use of carved-out volumes is permitted.</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Ask for the specific contract section number, not a general statement.</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MVC provisions reviewed for impact of volume carve-out</w:t>
                  </w:r>
                </w:p>
                <w:p>
                  <w:pPr>
                    <w:spacing w:before="0" w:after="0"/>
                  </w:pPr>
                  <w:r>
                    <w:rPr>
                      <w:rFonts w:ascii="Arial" w:cs="Arial" w:eastAsia="Arial" w:hAnsi="Arial"/>
                      <w:color w:val="777777"/>
                      <w:sz w:val="18"/>
                      <w:szCs w:val="18"/>
                    </w:rPr>
                    <w:t xml:space="preserve">Does reducing delivered pipeline volume trigger deficiency payments?</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RED FLAG if operator cannot identify the relevant MVC clause.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No outstanding environmental violations or orders at pad</w:t>
                  </w:r>
                </w:p>
                <w:p>
                  <w:pPr>
                    <w:spacing w:before="0" w:after="0"/>
                  </w:pPr>
                  <w:r>
                    <w:rPr>
                      <w:rFonts w:ascii="Arial" w:cs="Arial" w:eastAsia="Arial" w:hAnsi="Arial"/>
                      <w:color w:val="777777"/>
                      <w:sz w:val="18"/>
                      <w:szCs w:val="18"/>
                    </w:rPr>
                    <w:t xml:space="preserve">Check state environmental agency violation history.</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Open violations can complicate permit issuance for new equipment.</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Setback requirements confirmed for equipment placement</w:t>
                  </w:r>
                </w:p>
                <w:p>
                  <w:pPr>
                    <w:spacing w:before="0" w:after="0"/>
                  </w:pPr>
                  <w:r>
                    <w:rPr>
                      <w:rFonts w:ascii="Arial" w:cs="Arial" w:eastAsia="Arial" w:hAnsi="Arial"/>
                      <w:color w:val="777777"/>
                      <w:sz w:val="18"/>
                      <w:szCs w:val="18"/>
                    </w:rPr>
                    <w:t xml:space="preserve">Critical for DJ Basin (CO) and any pad near occupied structures.</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Container placement must comply with applicable setback rules.</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4A3A1A" w:val="clear"/>
            <w:tcMar>
              <w:top w:type="dxa" w:w="120"/>
              <w:left w:type="dxa" w:w="180"/>
              <w:bottom w:type="dxa" w:w="120"/>
              <w:right w:type="dxa" w:w="180"/>
            </w:tcMar>
          </w:tcPr>
          <w:p>
            <w:r>
              <w:rPr>
                <w:rFonts w:ascii="Arial" w:cs="Arial" w:eastAsia="Arial" w:hAnsi="Arial"/>
                <w:b/>
                <w:bCs/>
                <w:color w:val="FFFFFF"/>
                <w:sz w:val="22"/>
                <w:szCs w:val="22"/>
              </w:rPr>
              <w:t xml:space="preserve">3.  Site Access and Security</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All-weather road access to pad confirmed</w:t>
                  </w:r>
                </w:p>
                <w:p>
                  <w:pPr>
                    <w:spacing w:before="0" w:after="0"/>
                  </w:pPr>
                  <w:r>
                    <w:rPr>
                      <w:rFonts w:ascii="Arial" w:cs="Arial" w:eastAsia="Arial" w:hAnsi="Arial"/>
                      <w:color w:val="777777"/>
                      <w:sz w:val="18"/>
                      <w:szCs w:val="18"/>
                    </w:rPr>
                    <w:t xml:space="preserve">Passable by service vehicle year-round, including spring breakup.</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Seasonal restrictions must be documented and addressed in agreement.</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Pad space confirmed for equipment footprint</w:t>
                  </w:r>
                </w:p>
                <w:p>
                  <w:pPr>
                    <w:spacing w:before="0" w:after="0"/>
                  </w:pPr>
                  <w:r>
                    <w:rPr>
                      <w:rFonts w:ascii="Arial" w:cs="Arial" w:eastAsia="Arial" w:hAnsi="Arial"/>
                      <w:color w:val="777777"/>
                      <w:sz w:val="18"/>
                      <w:szCs w:val="18"/>
                    </w:rPr>
                    <w:t xml:space="preserve">Minimum 40–60 ft clear space for containers + genset + clearances.</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Confirm with site photos or video walkthrough before finalizing layout.</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Site photos or video walkthrough completed</w:t>
                  </w:r>
                </w:p>
                <w:p>
                  <w:pPr>
                    <w:spacing w:before="0" w:after="0"/>
                  </w:pPr>
                  <w:r>
                    <w:rPr>
                      <w:rFonts w:ascii="Arial" w:cs="Arial" w:eastAsia="Arial" w:hAnsi="Arial"/>
                      <w:color w:val="777777"/>
                      <w:sz w:val="18"/>
                      <w:szCs w:val="18"/>
                    </w:rPr>
                    <w:t xml:space="preserve">Including access road, pad surface condition, and utilities.</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Do not finalize layout without visual confirmation.</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Security and access control plan defined</w:t>
                  </w:r>
                </w:p>
                <w:p>
                  <w:pPr>
                    <w:spacing w:before="0" w:after="0"/>
                  </w:pPr>
                  <w:r>
                    <w:rPr>
                      <w:rFonts w:ascii="Arial" w:cs="Arial" w:eastAsia="Arial" w:hAnsi="Arial"/>
                      <w:color w:val="777777"/>
                      <w:sz w:val="18"/>
                      <w:szCs w:val="18"/>
                    </w:rPr>
                    <w:t xml:space="preserve">Fencing, lighting, cameras, and authorized personnel access.</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Ask who is responsible for security under the agreement.</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Connectivity confirmed (Starlink or equivalent)</w:t>
                  </w:r>
                </w:p>
                <w:p>
                  <w:pPr>
                    <w:spacing w:before="0" w:after="0"/>
                  </w:pPr>
                  <w:r>
                    <w:rPr>
                      <w:rFonts w:ascii="Arial" w:cs="Arial" w:eastAsia="Arial" w:hAnsi="Arial"/>
                      <w:color w:val="777777"/>
                      <w:sz w:val="18"/>
                      <w:szCs w:val="18"/>
                    </w:rPr>
                    <w:t xml:space="preserve">Verify Starlink availability for specific pad coordinates.</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Check obstruction map for the pad’s GPS coordinates before ordering.</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Utilities and interconnect point identified</w:t>
                  </w:r>
                </w:p>
                <w:p>
                  <w:pPr>
                    <w:spacing w:before="0" w:after="0"/>
                  </w:pPr>
                  <w:r>
                    <w:rPr>
                      <w:rFonts w:ascii="Arial" w:cs="Arial" w:eastAsia="Arial" w:hAnsi="Arial"/>
                      <w:color w:val="777777"/>
                      <w:sz w:val="18"/>
                      <w:szCs w:val="18"/>
                    </w:rPr>
                    <w:t xml:space="preserve">Transformer placement, ground bus, and single-line diagram.</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Electrical interconnect design should be in the proposal, not vague.</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3A1A4A" w:val="clear"/>
            <w:tcMar>
              <w:top w:type="dxa" w:w="120"/>
              <w:left w:type="dxa" w:w="180"/>
              <w:bottom w:type="dxa" w:w="120"/>
              <w:right w:type="dxa" w:w="180"/>
            </w:tcMar>
          </w:tcPr>
          <w:p>
            <w:r>
              <w:rPr>
                <w:rFonts w:ascii="Arial" w:cs="Arial" w:eastAsia="Arial" w:hAnsi="Arial"/>
                <w:b/>
                <w:bCs/>
                <w:color w:val="FFFFFF"/>
                <w:sz w:val="22"/>
                <w:szCs w:val="22"/>
              </w:rPr>
              <w:t xml:space="preserve">4.  Genset Sizing and Derate Calculation</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Generator sized against derated output, not nameplate</w:t>
                  </w:r>
                </w:p>
                <w:p>
                  <w:pPr>
                    <w:spacing w:before="0" w:after="0"/>
                  </w:pPr>
                  <w:r>
                    <w:rPr>
                      <w:rFonts w:ascii="Arial" w:cs="Arial" w:eastAsia="Arial" w:hAnsi="Arial"/>
                      <w:color w:val="777777"/>
                      <w:sz w:val="18"/>
                      <w:szCs w:val="18"/>
                    </w:rPr>
                    <w:t xml:space="preserve">Altitude and temperature derate must be applied before sizing.</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Any pro forma using nameplate capacity without derate is overstating revenue.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Altitude derate calculation documented</w:t>
                  </w:r>
                </w:p>
                <w:p>
                  <w:pPr>
                    <w:spacing w:before="0" w:after="0"/>
                  </w:pPr>
                  <w:r>
                    <w:rPr>
                      <w:rFonts w:ascii="Arial" w:cs="Arial" w:eastAsia="Arial" w:hAnsi="Arial"/>
                      <w:color w:val="777777"/>
                      <w:sz w:val="18"/>
                      <w:szCs w:val="18"/>
                    </w:rPr>
                    <w:t xml:space="preserve">~3–4% per 1,000 ft above sea level. DJ Basin: 14–20% derate.</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Ask for the specific derate factor used and the elevation data source.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Temperature derate documented for peak summer</w:t>
                  </w:r>
                </w:p>
                <w:p>
                  <w:pPr>
                    <w:spacing w:before="0" w:after="0"/>
                  </w:pPr>
                  <w:r>
                    <w:rPr>
                      <w:rFonts w:ascii="Arial" w:cs="Arial" w:eastAsia="Arial" w:hAnsi="Arial"/>
                      <w:color w:val="777777"/>
                      <w:sz w:val="18"/>
                      <w:szCs w:val="18"/>
                    </w:rPr>
                    <w:t xml:space="preserve">0.5–1.0% per 10°F above 77°F. Compounds with altitude derate.</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Permian summer: +8–12% additional derate on top of altitude.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Cold-weather package specified (if applicable)</w:t>
                  </w:r>
                </w:p>
                <w:p>
                  <w:pPr>
                    <w:spacing w:before="0" w:after="0"/>
                  </w:pPr>
                  <w:r>
                    <w:rPr>
                      <w:rFonts w:ascii="Arial" w:cs="Arial" w:eastAsia="Arial" w:hAnsi="Arial"/>
                      <w:color w:val="777777"/>
                      <w:sz w:val="18"/>
                      <w:szCs w:val="18"/>
                    </w:rPr>
                    <w:t xml:space="preserve">Required for Bakken, DJ Basin, Pinedale, and any site below 0°F.</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Absence of cold-weather spec for northern deployments is a disqualifier.</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Methane number derate factored into genset selection</w:t>
                  </w:r>
                </w:p>
                <w:p>
                  <w:pPr>
                    <w:spacing w:before="0" w:after="0"/>
                  </w:pPr>
                  <w:r>
                    <w:rPr>
                      <w:rFonts w:ascii="Arial" w:cs="Arial" w:eastAsia="Arial" w:hAnsi="Arial"/>
                      <w:color w:val="777777"/>
                      <w:sz w:val="18"/>
                      <w:szCs w:val="18"/>
                    </w:rPr>
                    <w:t xml:space="preserve">Rich gas (MN &lt; 70): requires MN-rated genset. Confirm specification.</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Ask for the genset model and its rated methane number range.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Fuel conditioning requirements identified and costed</w:t>
                  </w:r>
                </w:p>
                <w:p>
                  <w:pPr>
                    <w:spacing w:before="0" w:after="0"/>
                  </w:pPr>
                  <w:r>
                    <w:rPr>
                      <w:rFonts w:ascii="Arial" w:cs="Arial" w:eastAsia="Arial" w:hAnsi="Arial"/>
                      <w:color w:val="777777"/>
                      <w:sz w:val="18"/>
                      <w:szCs w:val="18"/>
                    </w:rPr>
                    <w:t xml:space="preserve">H2S treatment, pressure regulation, hydrate inhibition if applicable.</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Conditioning costs should appear in the CapEx schedule, not footnotes.</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4A2A1A" w:val="clear"/>
            <w:tcMar>
              <w:top w:type="dxa" w:w="120"/>
              <w:left w:type="dxa" w:w="180"/>
              <w:bottom w:type="dxa" w:w="120"/>
              <w:right w:type="dxa" w:w="180"/>
            </w:tcMar>
          </w:tcPr>
          <w:p>
            <w:r>
              <w:rPr>
                <w:rFonts w:ascii="Arial" w:cs="Arial" w:eastAsia="Arial" w:hAnsi="Arial"/>
                <w:b/>
                <w:bCs/>
                <w:color w:val="FFFFFF"/>
                <w:sz w:val="22"/>
                <w:szCs w:val="22"/>
              </w:rPr>
              <w:t xml:space="preserve">5.  Payout Structure and Economics</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All four deal structures presented and compared</w:t>
                  </w:r>
                </w:p>
                <w:p>
                  <w:pPr>
                    <w:spacing w:before="0" w:after="0"/>
                  </w:pPr>
                  <w:r>
                    <w:rPr>
                      <w:rFonts w:ascii="Arial" w:cs="Arial" w:eastAsia="Arial" w:hAnsi="Arial"/>
                      <w:color w:val="777777"/>
                      <w:sz w:val="18"/>
                      <w:szCs w:val="18"/>
                    </w:rPr>
                    <w:t xml:space="preserve">Hosting, revenue share, direct mining, capital partner.</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If only one structure is offered, ask why alternatives were not presented.</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Pro forma uses derate-adjusted capacity</w:t>
                  </w:r>
                </w:p>
                <w:p>
                  <w:pPr>
                    <w:spacing w:before="0" w:after="0"/>
                  </w:pPr>
                  <w:r>
                    <w:rPr>
                      <w:rFonts w:ascii="Arial" w:cs="Arial" w:eastAsia="Arial" w:hAnsi="Arial"/>
                      <w:color w:val="777777"/>
                      <w:sz w:val="18"/>
                      <w:szCs w:val="18"/>
                    </w:rPr>
                    <w:t xml:space="preserve">Revenue projection must reflect effective kW output, not nameplate.</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If asked about derate and the answer is vague, the pro forma is unreliable.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Downside scenarios modeled at −25%, −50%, −75% hashprice</w:t>
                  </w:r>
                </w:p>
                <w:p>
                  <w:pPr>
                    <w:spacing w:before="0" w:after="0"/>
                  </w:pPr>
                  <w:r>
                    <w:rPr>
                      <w:rFonts w:ascii="Arial" w:cs="Arial" w:eastAsia="Arial" w:hAnsi="Arial"/>
                      <w:color w:val="777777"/>
                      <w:sz w:val="18"/>
                      <w:szCs w:val="18"/>
                    </w:rPr>
                    <w:t xml:space="preserve">Revenue under stress must be compared to current gas alternative.</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Ask for the comparison against your current pipeline netback or flare baseline.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Custody-first payout confirmed in writing</w:t>
                  </w:r>
                </w:p>
                <w:p>
                  <w:pPr>
                    <w:spacing w:before="0" w:after="0"/>
                  </w:pPr>
                  <w:r>
                    <w:rPr>
                      <w:rFonts w:ascii="Arial" w:cs="Arial" w:eastAsia="Arial" w:hAnsi="Arial"/>
                      <w:color w:val="777777"/>
                      <w:sz w:val="18"/>
                      <w:szCs w:val="18"/>
                    </w:rPr>
                    <w:t xml:space="preserve">Operator/investor receives BTC or USD equivalent before other distributions.</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Get the payout mechanics in the agreement, not just a verbal assurance.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Reporting cadence and format defined</w:t>
                  </w:r>
                </w:p>
                <w:p>
                  <w:pPr>
                    <w:spacing w:before="0" w:after="0"/>
                  </w:pPr>
                  <w:r>
                    <w:rPr>
                      <w:rFonts w:ascii="Arial" w:cs="Arial" w:eastAsia="Arial" w:hAnsi="Arial"/>
                      <w:color w:val="777777"/>
                      <w:sz w:val="18"/>
                      <w:szCs w:val="18"/>
                    </w:rPr>
                    <w:t xml:space="preserve">Monthly reports: gas consumed, kWh generated, BTC mined, revenue distributed.</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Vague reporting commitments are a precursor to disputes.</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USD settlement option confirmed (if no BTC on books)</w:t>
                  </w:r>
                </w:p>
                <w:p>
                  <w:pPr>
                    <w:spacing w:before="0" w:after="0"/>
                  </w:pPr>
                  <w:r>
                    <w:rPr>
                      <w:rFonts w:ascii="Arial" w:cs="Arial" w:eastAsia="Arial" w:hAnsi="Arial"/>
                      <w:color w:val="777777"/>
                      <w:sz w:val="18"/>
                      <w:szCs w:val="18"/>
                    </w:rPr>
                    <w:t xml:space="preserve">Can operator elect USD payout at spot price rather than BTC delivery?</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Required for operators with CFO concerns about crypto accounting.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Gas valuation methodology documented</w:t>
                  </w:r>
                </w:p>
                <w:p>
                  <w:pPr>
                    <w:spacing w:before="0" w:after="0"/>
                  </w:pPr>
                  <w:r>
                    <w:rPr>
                      <w:rFonts w:ascii="Arial" w:cs="Arial" w:eastAsia="Arial" w:hAnsi="Arial"/>
                      <w:color w:val="777777"/>
                      <w:sz w:val="18"/>
                      <w:szCs w:val="18"/>
                    </w:rPr>
                    <w:t xml:space="preserve">How is the operator’s gas priced in a hosting or revenue share structure?</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Implicit gas pricing assumptions can significantly affect the pro forma.</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1A3A4A" w:val="clear"/>
            <w:tcMar>
              <w:top w:type="dxa" w:w="120"/>
              <w:left w:type="dxa" w:w="180"/>
              <w:bottom w:type="dxa" w:w="120"/>
              <w:right w:type="dxa" w:w="180"/>
            </w:tcMar>
          </w:tcPr>
          <w:p>
            <w:r>
              <w:rPr>
                <w:rFonts w:ascii="Arial" w:cs="Arial" w:eastAsia="Arial" w:hAnsi="Arial"/>
                <w:b/>
                <w:bCs/>
                <w:color w:val="FFFFFF"/>
                <w:sz w:val="22"/>
                <w:szCs w:val="22"/>
              </w:rPr>
              <w:t xml:space="preserve">6.  Operator Reference Checks</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At least two operator references provided</w:t>
                  </w:r>
                </w:p>
                <w:p>
                  <w:pPr>
                    <w:spacing w:before="0" w:after="0"/>
                  </w:pPr>
                  <w:r>
                    <w:rPr>
                      <w:rFonts w:ascii="Arial" w:cs="Arial" w:eastAsia="Arial" w:hAnsi="Arial"/>
                      <w:color w:val="777777"/>
                      <w:sz w:val="18"/>
                      <w:szCs w:val="18"/>
                    </w:rPr>
                    <w:t xml:space="preserve">References from pads currently operating, not just completed deployments.</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Ask for references from operators in similar basins and deal structures.</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References contacted directly (not managed introductions)</w:t>
                  </w:r>
                </w:p>
                <w:p>
                  <w:pPr>
                    <w:spacing w:before="0" w:after="0"/>
                  </w:pPr>
                  <w:r>
                    <w:rPr>
                      <w:rFonts w:ascii="Arial" w:cs="Arial" w:eastAsia="Arial" w:hAnsi="Arial"/>
                      <w:color w:val="777777"/>
                      <w:sz w:val="18"/>
                      <w:szCs w:val="18"/>
                    </w:rPr>
                    <w:t xml:space="preserve">Speak with the operating company’s production or field manager.</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Managed references are less valuable than cold-contact operator conversations.</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Uptime performance verified with reference operators</w:t>
                  </w:r>
                </w:p>
                <w:p>
                  <w:pPr>
                    <w:spacing w:before="0" w:after="0"/>
                  </w:pPr>
                  <w:r>
                    <w:rPr>
                      <w:rFonts w:ascii="Arial" w:cs="Arial" w:eastAsia="Arial" w:hAnsi="Arial"/>
                      <w:color w:val="777777"/>
                      <w:sz w:val="18"/>
                      <w:szCs w:val="18"/>
                    </w:rPr>
                    <w:t xml:space="preserve">Ask: what is actual uptime, and how are outages handled?</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Any operator who claims 99%+ uptime in the field deserves skepticism.</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Service response time confirmed with references</w:t>
                  </w:r>
                </w:p>
                <w:p>
                  <w:pPr>
                    <w:spacing w:before="0" w:after="0"/>
                  </w:pPr>
                  <w:r>
                    <w:rPr>
                      <w:rFonts w:ascii="Arial" w:cs="Arial" w:eastAsia="Arial" w:hAnsi="Arial"/>
                      <w:color w:val="777777"/>
                      <w:sz w:val="18"/>
                      <w:szCs w:val="18"/>
                    </w:rPr>
                    <w:t xml:space="preserve">How quickly does the operator respond to equipment failures?</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Ask about the worst service experience, not the average.</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Track record of deployed MW confirmed</w:t>
                  </w:r>
                </w:p>
                <w:p>
                  <w:pPr>
                    <w:spacing w:before="0" w:after="0"/>
                  </w:pPr>
                  <w:r>
                    <w:rPr>
                      <w:rFonts w:ascii="Arial" w:cs="Arial" w:eastAsia="Arial" w:hAnsi="Arial"/>
                      <w:color w:val="777777"/>
                      <w:sz w:val="18"/>
                      <w:szCs w:val="18"/>
                    </w:rPr>
                    <w:t xml:space="preserve">Ask for total MW deployed, not just number of sites.</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One 3 MW deployment and thirty 100 kW deployments are very different track records.</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No unresolved disputes with prior operators</w:t>
                  </w:r>
                </w:p>
                <w:p>
                  <w:pPr>
                    <w:spacing w:before="0" w:after="0"/>
                  </w:pPr>
                  <w:r>
                    <w:rPr>
                      <w:rFonts w:ascii="Arial" w:cs="Arial" w:eastAsia="Arial" w:hAnsi="Arial"/>
                      <w:color w:val="777777"/>
                      <w:sz w:val="18"/>
                      <w:szCs w:val="18"/>
                    </w:rPr>
                    <w:t xml:space="preserve">Ask references directly: were there any payment disputes or agreement violations?</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Even one unresolved dispute warrants a full explanation before proceeding.</w:t>
                  </w:r>
                </w:p>
              </w:tc>
            </w:tr>
          </w:tbl>
          <w:p/>
        </w:tc>
      </w:tr>
    </w:tbl>
    <w:p>
      <w:pPr>
        <w:spacing w:before="1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DDDDD" w:sz="1"/>
              <w:left w:val="single" w:color="DDDDDD" w:sz="1"/>
              <w:bottom w:val="single" w:color="DDDDDD" w:sz="1"/>
              <w:right w:val="single" w:color="DDDDDD" w:sz="1"/>
            </w:tcBorders>
            <w:shd w:fill="2A2A4A" w:val="clear"/>
            <w:tcMar>
              <w:top w:type="dxa" w:w="120"/>
              <w:left w:type="dxa" w:w="180"/>
              <w:bottom w:type="dxa" w:w="120"/>
              <w:right w:type="dxa" w:w="180"/>
            </w:tcMar>
          </w:tcPr>
          <w:p>
            <w:r>
              <w:rPr>
                <w:rFonts w:ascii="Arial" w:cs="Arial" w:eastAsia="Arial" w:hAnsi="Arial"/>
                <w:b/>
                <w:bCs/>
                <w:color w:val="FFFFFF"/>
                <w:sz w:val="22"/>
                <w:szCs w:val="22"/>
              </w:rPr>
              <w:t xml:space="preserve">7.  Exit Provisions and Agreement Terms</w:t>
            </w:r>
          </w:p>
        </w:tc>
      </w:tr>
      <w:tr>
        <w:tc>
          <w:tcPr>
            <w:tcW w:type="dxa" w:w="9360"/>
            <w:tcBorders>
              <w:top w:val="single" w:color="DDDDDD" w:sz="1"/>
              <w:left w:val="single" w:color="DDDDDD" w:sz="1"/>
              <w:bottom w:val="single" w:color="DDDDDD" w:sz="1"/>
              <w:right w:val="single" w:color="DDDDDD" w:sz="1"/>
            </w:tcBorders>
            <w:shd w:fill="F2F2F2"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w:t>
                  </w:r>
                </w:p>
              </w:tc>
              <w:tc>
                <w:tcPr>
                  <w:tcW w:type="dxa" w:w="4560"/>
                  <w:tcBorders>
                    <w:top w:val="none" w:color="FFFFFF" w:sz="0"/>
                    <w:left w:val="none" w:color="FFFFFF" w:sz="0"/>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Item to Evaluate</w:t>
                  </w:r>
                </w:p>
              </w:tc>
              <w:tc>
                <w:tcPr>
                  <w:tcW w:type="dxa" w:w="4200"/>
                  <w:tcBorders>
                    <w:top w:val="none" w:color="FFFFFF" w:sz="0"/>
                    <w:left w:val="none" w:color="FFFFFF" w:sz="0"/>
                    <w:bottom w:val="single" w:color="DDDDDD" w:sz="1"/>
                    <w:right w:val="none" w:color="FFFFFF" w:sz="0"/>
                  </w:tcBorders>
                  <w:shd w:fill="F2F2F2" w:val="clear"/>
                  <w:tcMar>
                    <w:top w:type="dxa" w:w="60"/>
                    <w:left w:type="dxa" w:w="120"/>
                    <w:bottom w:type="dxa" w:w="60"/>
                    <w:right w:type="dxa" w:w="120"/>
                  </w:tcMar>
                </w:tcPr>
                <w:p>
                  <w:r>
                    <w:rPr>
                      <w:rFonts w:ascii="Arial" w:cs="Arial" w:eastAsia="Arial" w:hAnsi="Arial"/>
                      <w:b/>
                      <w:bCs/>
                      <w:color w:val="999999"/>
                      <w:sz w:val="18"/>
                      <w:szCs w:val="18"/>
                    </w:rPr>
                    <w:t xml:space="preserve">Notes / Flag</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Minimum term and notice period defined</w:t>
                  </w:r>
                </w:p>
                <w:p>
                  <w:pPr>
                    <w:spacing w:before="0" w:after="0"/>
                  </w:pPr>
                  <w:r>
                    <w:rPr>
                      <w:rFonts w:ascii="Arial" w:cs="Arial" w:eastAsia="Arial" w:hAnsi="Arial"/>
                      <w:color w:val="777777"/>
                      <w:sz w:val="18"/>
                      <w:szCs w:val="18"/>
                    </w:rPr>
                    <w:t xml:space="preserve">What is the minimum commitment and the required notice for termination?</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Typical: 12–24 month minimum term with 30–90 day termination notice.</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Equipment removal responsibility defined</w:t>
                  </w:r>
                </w:p>
                <w:p>
                  <w:pPr>
                    <w:spacing w:before="0" w:after="0"/>
                  </w:pPr>
                  <w:r>
                    <w:rPr>
                      <w:rFonts w:ascii="Arial" w:cs="Arial" w:eastAsia="Arial" w:hAnsi="Arial"/>
                      <w:color w:val="777777"/>
                      <w:sz w:val="18"/>
                      <w:szCs w:val="18"/>
                    </w:rPr>
                    <w:t xml:space="preserve">Who removes equipment, at whose cost, and within what timeframe?</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Operator should not bear equipment removal cost in standard structures.</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Early termination provisions documented</w:t>
                  </w:r>
                </w:p>
                <w:p>
                  <w:pPr>
                    <w:spacing w:before="0" w:after="0"/>
                  </w:pPr>
                  <w:r>
                    <w:rPr>
                      <w:rFonts w:ascii="Arial" w:cs="Arial" w:eastAsia="Arial" w:hAnsi="Arial"/>
                      <w:color w:val="777777"/>
                      <w:sz w:val="18"/>
                      <w:szCs w:val="18"/>
                    </w:rPr>
                    <w:t xml:space="preserve">What penalties apply if operator terminates before minimum term?</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Penalty structures should be proportional and time-declining.</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Curtailment provisions defined</w:t>
                  </w:r>
                </w:p>
                <w:p>
                  <w:pPr>
                    <w:spacing w:before="0" w:after="0"/>
                  </w:pPr>
                  <w:r>
                    <w:rPr>
                      <w:rFonts w:ascii="Arial" w:cs="Arial" w:eastAsia="Arial" w:hAnsi="Arial"/>
                      <w:color w:val="777777"/>
                      <w:sz w:val="18"/>
                      <w:szCs w:val="18"/>
                    </w:rPr>
                    <w:t xml:space="preserve">What happens if gas volume falls below viable operating threshold?</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Voluntary curtailment (operator decision) vs. natural decline should be treated differently.</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Force majeure and lease termination covered</w:t>
                  </w:r>
                </w:p>
                <w:p>
                  <w:pPr>
                    <w:spacing w:before="0" w:after="0"/>
                  </w:pPr>
                  <w:r>
                    <w:rPr>
                      <w:rFonts w:ascii="Arial" w:cs="Arial" w:eastAsia="Arial" w:hAnsi="Arial"/>
                      <w:color w:val="777777"/>
                      <w:sz w:val="18"/>
                      <w:szCs w:val="18"/>
                    </w:rPr>
                    <w:t xml:space="preserve">What happens to the deployment if the operator loses the lease?</w:t>
                  </w:r>
                </w:p>
              </w:tc>
              <w:tc>
                <w:tcPr>
                  <w:tcW w:type="dxa" w:w="4200"/>
                  <w:tcBorders>
                    <w:top w:val="none" w:color="FFFFFF" w:sz="0"/>
                    <w:left w:val="none" w:color="FFFFFF" w:sz="0"/>
                    <w:bottom w:val="single" w:color="DDDDDD" w:sz="1"/>
                    <w:right w:val="none" w:color="FFFFFF" w:sz="0"/>
                  </w:tcBorders>
                  <w:shd w:fill="FEF9E7" w:val="clear"/>
                  <w:tcMar>
                    <w:top w:type="dxa" w:w="100"/>
                    <w:left w:type="dxa" w:w="120"/>
                    <w:bottom w:type="dxa" w:w="100"/>
                    <w:right w:type="dxa" w:w="120"/>
                  </w:tcMar>
                </w:tcPr>
                <w:p>
                  <w:r>
                    <w:rPr>
                      <w:rFonts w:ascii="Arial" w:cs="Arial" w:eastAsia="Arial" w:hAnsi="Arial"/>
                      <w:b/>
                      <w:bCs/>
                      <w:color w:val="E65100"/>
                      <w:sz w:val="18"/>
                      <w:szCs w:val="18"/>
                    </w:rPr>
                    <w:t xml:space="preserve">CONFIRM  </w:t>
                  </w:r>
                  <w:r>
                    <w:rPr>
                      <w:rFonts w:ascii="Arial" w:cs="Arial" w:eastAsia="Arial" w:hAnsi="Arial"/>
                      <w:color w:val="4A4A4A"/>
                      <w:sz w:val="18"/>
                      <w:szCs w:val="18"/>
                    </w:rPr>
                    <w:t xml:space="preserve">This provision matters most for operators on short-term or month-to-month leases.</w:t>
                  </w:r>
                </w:p>
              </w:tc>
            </w:tr>
          </w:tbl>
          <w:p/>
        </w:tc>
      </w:tr>
      <w:tr>
        <w:tc>
          <w:tcPr>
            <w:tcW w:type="dxa" w:w="9360"/>
            <w:tcBorders>
              <w:top w:val="single" w:color="DDDDDD" w:sz="1"/>
              <w:left w:val="single" w:color="DDDDDD" w:sz="1"/>
              <w:bottom w:val="single" w:color="DDDDDD" w:sz="1"/>
              <w:right w:val="single" w:color="DDDDDD" w:sz="1"/>
            </w:tcBorders>
            <w:shd w:fill="FAFAFA"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AFAFA"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AFAFA"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Dispute resolution mechanism defined</w:t>
                  </w:r>
                </w:p>
                <w:p>
                  <w:pPr>
                    <w:spacing w:before="0" w:after="0"/>
                  </w:pPr>
                  <w:r>
                    <w:rPr>
                      <w:rFonts w:ascii="Arial" w:cs="Arial" w:eastAsia="Arial" w:hAnsi="Arial"/>
                      <w:color w:val="777777"/>
                      <w:sz w:val="18"/>
                      <w:szCs w:val="18"/>
                    </w:rPr>
                    <w:t xml:space="preserve">Arbitration vs. litigation, venue, governing law.</w:t>
                  </w:r>
                </w:p>
              </w:tc>
              <w:tc>
                <w:tcPr>
                  <w:tcW w:type="dxa" w:w="4200"/>
                  <w:tcBorders>
                    <w:top w:val="none" w:color="FFFFFF" w:sz="0"/>
                    <w:left w:val="none" w:color="FFFFFF" w:sz="0"/>
                    <w:bottom w:val="single" w:color="DDDDDD" w:sz="1"/>
                    <w:right w:val="none" w:color="FFFFFF" w:sz="0"/>
                  </w:tcBorders>
                  <w:shd w:fill="EAF5EA" w:val="clear"/>
                  <w:tcMar>
                    <w:top w:type="dxa" w:w="100"/>
                    <w:left w:type="dxa" w:w="120"/>
                    <w:bottom w:type="dxa" w:w="100"/>
                    <w:right w:type="dxa" w:w="120"/>
                  </w:tcMar>
                </w:tcPr>
                <w:p>
                  <w:r>
                    <w:rPr>
                      <w:rFonts w:ascii="Arial" w:cs="Arial" w:eastAsia="Arial" w:hAnsi="Arial"/>
                      <w:b/>
                      <w:bCs/>
                      <w:color w:val="2E7D32"/>
                      <w:sz w:val="18"/>
                      <w:szCs w:val="18"/>
                    </w:rPr>
                    <w:t xml:space="preserve">REQUIRED  </w:t>
                  </w:r>
                  <w:r>
                    <w:rPr>
                      <w:rFonts w:ascii="Arial" w:cs="Arial" w:eastAsia="Arial" w:hAnsi="Arial"/>
                      <w:color w:val="4A4A4A"/>
                      <w:sz w:val="18"/>
                      <w:szCs w:val="18"/>
                    </w:rPr>
                    <w:t xml:space="preserve">Governing law should match the state where the pad is located.</w:t>
                  </w:r>
                </w:p>
              </w:tc>
            </w:tr>
          </w:tbl>
          <w:p/>
        </w:tc>
      </w:tr>
      <w:tr>
        <w:tc>
          <w:tcPr>
            <w:tcW w:type="dxa" w:w="9360"/>
            <w:tcBorders>
              <w:top w:val="single" w:color="DDDDDD" w:sz="1"/>
              <w:left w:val="single" w:color="DDDDDD" w:sz="1"/>
              <w:bottom w:val="single" w:color="DDDDDD" w:sz="1"/>
              <w:right w:val="single" w:color="DDDDDD" w:sz="1"/>
            </w:tcBorders>
            <w:shd w:fill="FFFFFF" w:val="clear"/>
            <w:tcMar>
              <w:top w:type="dxa" w:w="0"/>
              <w:left w:type="dxa" w:w="0"/>
              <w:bottom w:type="dxa" w:w="0"/>
              <w:right w:type="dxa" w:w="0"/>
            </w:tcMar>
          </w:tcPr>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4200"/>
            </w:tblGrid>
            <w:tr>
              <w:tc>
                <w:tcPr>
                  <w:tcW w:type="dxa" w:w="400"/>
                  <w:tcBorders>
                    <w:top w:val="none" w:color="FFFFFF" w:sz="0"/>
                    <w:left w:val="none" w:color="FFFFFF" w:sz="0"/>
                    <w:bottom w:val="single" w:color="DDDDDD" w:sz="1"/>
                    <w:right w:val="single" w:color="DDDDDD" w:sz="1"/>
                  </w:tcBorders>
                  <w:shd w:fill="FFFFFF" w:val="clear"/>
                  <w:tcMar>
                    <w:top w:type="dxa" w:w="100"/>
                    <w:left w:type="dxa" w:w="120"/>
                    <w:bottom w:type="dxa" w:w="100"/>
                    <w:right w:type="dxa" w:w="80"/>
                  </w:tcMar>
                </w:tcPr>
                <w:p>
                  <w:pPr>
                    <w:jc w:val="center"/>
                  </w:pPr>
                  <w:r>
                    <w:rPr>
                      <w:rFonts w:ascii="Arial" w:cs="Arial" w:eastAsia="Arial" w:hAnsi="Arial"/>
                      <w:color w:val="BBBBBB"/>
                      <w:sz w:val="22"/>
                      <w:szCs w:val="22"/>
                    </w:rPr>
                    <w:t xml:space="preserve">□</w:t>
                  </w:r>
                </w:p>
              </w:tc>
              <w:tc>
                <w:tcPr>
                  <w:tcW w:type="dxa" w:w="4560"/>
                  <w:tcBorders>
                    <w:top w:val="none" w:color="FFFFFF" w:sz="0"/>
                    <w:left w:val="none" w:color="FFFFFF" w:sz="0"/>
                    <w:bottom w:val="single" w:color="DDDDDD" w:sz="1"/>
                    <w:right w:val="single" w:color="DDDDDD" w:sz="1"/>
                  </w:tcBorders>
                  <w:shd w:fill="FFFFFF" w:val="clear"/>
                  <w:tcMar>
                    <w:top w:type="dxa" w:w="100"/>
                    <w:left w:type="dxa" w:w="120"/>
                    <w:bottom w:type="dxa" w:w="100"/>
                    <w:right w:type="dxa" w:w="120"/>
                  </w:tcMar>
                </w:tcPr>
                <w:p>
                  <w:pPr>
                    <w:spacing w:before="0" w:after="40"/>
                  </w:pPr>
                  <w:r>
                    <w:rPr>
                      <w:rFonts w:ascii="Arial" w:cs="Arial" w:eastAsia="Arial" w:hAnsi="Arial"/>
                      <w:b/>
                      <w:bCs/>
                      <w:color w:val="1A1A1A"/>
                      <w:sz w:val="20"/>
                      <w:szCs w:val="20"/>
                    </w:rPr>
                    <w:t xml:space="preserve">Equipment ownership clearly documented</w:t>
                  </w:r>
                </w:p>
                <w:p>
                  <w:pPr>
                    <w:spacing w:before="0" w:after="0"/>
                  </w:pPr>
                  <w:r>
                    <w:rPr>
                      <w:rFonts w:ascii="Arial" w:cs="Arial" w:eastAsia="Arial" w:hAnsi="Arial"/>
                      <w:color w:val="777777"/>
                      <w:sz w:val="18"/>
                      <w:szCs w:val="18"/>
                    </w:rPr>
                    <w:t xml:space="preserve">Who owns the generator and containers throughout and after the agreement?</w:t>
                  </w:r>
                </w:p>
              </w:tc>
              <w:tc>
                <w:tcPr>
                  <w:tcW w:type="dxa" w:w="4200"/>
                  <w:tcBorders>
                    <w:top w:val="none" w:color="FFFFFF" w:sz="0"/>
                    <w:left w:val="none" w:color="FFFFFF" w:sz="0"/>
                    <w:bottom w:val="single" w:color="DDDDDD" w:sz="1"/>
                    <w:right w:val="none" w:color="FFFFFF" w:sz="0"/>
                  </w:tcBorders>
                  <w:shd w:fill="FDECEA" w:val="clear"/>
                  <w:tcMar>
                    <w:top w:type="dxa" w:w="100"/>
                    <w:left w:type="dxa" w:w="120"/>
                    <w:bottom w:type="dxa" w:w="100"/>
                    <w:right w:type="dxa" w:w="120"/>
                  </w:tcMar>
                </w:tcPr>
                <w:p>
                  <w:r>
                    <w:rPr>
                      <w:rFonts w:ascii="Arial" w:cs="Arial" w:eastAsia="Arial" w:hAnsi="Arial"/>
                      <w:b/>
                      <w:bCs/>
                      <w:color w:val="C62828"/>
                      <w:sz w:val="18"/>
                      <w:szCs w:val="18"/>
                    </w:rPr>
                    <w:t xml:space="preserve">RED FLAG  </w:t>
                  </w:r>
                  <w:r>
                    <w:rPr>
                      <w:rFonts w:ascii="Arial" w:cs="Arial" w:eastAsia="Arial" w:hAnsi="Arial"/>
                      <w:color w:val="4A4A4A"/>
                      <w:sz w:val="18"/>
                      <w:szCs w:val="18"/>
                    </w:rPr>
                    <w:t xml:space="preserve">Any ambiguity in equipment ownership creates removal and liability disputes.</w:t>
                  </w:r>
                </w:p>
              </w:tc>
            </w:tr>
          </w:tbl>
          <w:p/>
        </w:tc>
      </w:tr>
    </w:tbl>
    <w:p>
      <w:pPr>
        <w:spacing w:before="1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HOW TO USE THIS CHECKLIST</w:t>
            </w:r>
          </w:p>
          <w:p>
            <w:pPr>
              <w:spacing w:before="0" w:after="0"/>
            </w:pPr>
            <w:r>
              <w:rPr>
                <w:rFonts w:ascii="Arial" w:cs="Arial" w:eastAsia="Arial" w:hAnsi="Arial"/>
                <w:color w:val="4A4A4A"/>
                <w:sz w:val="22"/>
                <w:szCs w:val="22"/>
              </w:rPr>
              <w:t xml:space="preserve">Print or download this checklist and use it in your first formal meeting with any gas-to-hash operator, including MCF.digital. A credible operator will be able to answer every item specifically and in writing. Bring the checklist. Ask the questions. The answers will tell you what you need to know before the pro forma ever comes up.</w:t>
            </w:r>
          </w:p>
        </w:tc>
      </w:tr>
    </w:tbl>
    <w:p>
      <w:pPr>
        <w:spacing w:before="18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Ready to run the checklist against MCF.digital?</w:t>
            </w:r>
          </w:p>
          <w:p>
            <w:pPr>
              <w:spacing w:before="0" w:after="120"/>
              <w:jc w:val="center"/>
            </w:pPr>
            <w:r>
              <w:rPr>
                <w:rFonts w:ascii="Arial" w:cs="Arial" w:eastAsia="Arial" w:hAnsi="Arial"/>
                <w:color w:val="CCCCCC"/>
                <w:sz w:val="22"/>
                <w:szCs w:val="22"/>
              </w:rPr>
              <w:t xml:space="preserve">Book a 15-minute fit call. Bring this checklist. Ask every question on it. We’ll answer each one specifically and in writing before you see a proposal.</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80" w:after="120"/>
      </w:pPr>
      <w:r>
        <w:rPr>
          <w:rFonts w:ascii="Arial" w:cs="Arial" w:eastAsia="Arial" w:hAnsi="Arial"/>
          <w:color w:val="4A4A4A"/>
          <w:sz w:val="22"/>
          <w:szCs w:val="22"/>
        </w:rPr>
        <w:t xml:space="preserve">Reference these guides alongside the checklist:</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2"/>
        </w:numPr>
        <w:spacing w:before="60" w:after="60"/>
      </w:pPr>
      <w:r>
        <w:rPr>
          <w:rFonts w:ascii="Arial" w:cs="Arial" w:eastAsia="Arial" w:hAnsi="Arial"/>
          <w:b/>
          <w:bCs/>
          <w:color w:val="1A1A1A"/>
          <w:sz w:val="22"/>
          <w:szCs w:val="22"/>
        </w:rPr>
        <w:t xml:space="preserve">What Happens to Your Pad When Bitcoin Price Drops 50%? — </w:t>
      </w:r>
      <w:r>
        <w:rPr>
          <w:rFonts w:ascii="Arial" w:cs="Arial" w:eastAsia="Arial" w:hAnsi="Arial"/>
          <w:color w:val="4A4A4A"/>
          <w:sz w:val="22"/>
          <w:szCs w:val="22"/>
        </w:rPr>
        <w:t xml:space="preserve">mcf.digital/operator-guides/bitcoin-price-downside-scenarios</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pStyle w:val="ListParagraph"/>
        <w:numPr>
          <w:ilvl w:val="0"/>
          <w:numId w:val="2"/>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O&amp;G Operators  ·  Category: Operator Guide  ·  mcf.digital/operator-guides/due-diligence-checklist</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mcf.digital/operator-guides/due-diligence-checklist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Due Diligence Checklist: Gas-to-Hash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2026-02-26T19:43:10.595Z</dcterms:created>
  <dcterms:modified xsi:type="dcterms:W3CDTF">2026-02-26T19:43:10.622Z</dcterms:modified>
</cp:coreProperties>
</file>

<file path=docProps/custom.xml><?xml version="1.0" encoding="utf-8"?>
<Properties xmlns="http://schemas.openxmlformats.org/officeDocument/2006/custom-properties" xmlns:vt="http://schemas.openxmlformats.org/officeDocument/2006/docPropsVTypes"/>
</file>