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OPERATOR GUIDE  //  RISK FRAMEWORK</w:t>
      </w:r>
    </w:p>
    <w:p>
      <w:pPr>
        <w:spacing w:before="0" w:after="80"/>
      </w:pPr>
      <w:r>
        <w:rPr>
          <w:rFonts w:ascii="Arial" w:cs="Arial" w:eastAsia="Arial" w:hAnsi="Arial"/>
          <w:b/>
          <w:bCs/>
          <w:color w:val="1A1A1A"/>
          <w:sz w:val="42"/>
          <w:szCs w:val="42"/>
        </w:rPr>
        <w:t xml:space="preserve">Commodity Risk, Uptime Risk, and Site Risk:</w:t>
      </w:r>
    </w:p>
    <w:p>
      <w:pPr>
        <w:spacing w:before="0" w:after="200"/>
      </w:pPr>
      <w:r>
        <w:rPr>
          <w:rFonts w:ascii="Arial" w:cs="Arial" w:eastAsia="Arial" w:hAnsi="Arial"/>
          <w:b/>
          <w:bCs/>
          <w:color w:val="E8500A"/>
          <w:sz w:val="42"/>
          <w:szCs w:val="42"/>
        </w:rPr>
        <w:t xml:space="preserve">The Three Risk Categories in Gas-to-Hash Deployments</w:t>
      </w:r>
    </w:p>
    <w:p>
      <w:pPr>
        <w:pBdr>
          <w:bottom w:val="single" w:color="E8D5CC" w:sz="6" w:space="4"/>
        </w:pBdr>
        <w:spacing w:before="0" w:after="320"/>
      </w:pPr>
      <w:r>
        <w:rPr>
          <w:rFonts w:ascii="Arial" w:cs="Arial" w:eastAsia="Arial" w:hAnsi="Arial"/>
          <w:color w:val="4A4A4A"/>
          <w:sz w:val="24"/>
          <w:szCs w:val="24"/>
        </w:rPr>
        <w:t xml:space="preserve">A structured framework for operators and investors evaluating deployment risk. For each of the three risk categories: what it is, how likely it is, what mitigations are available, and how MCF.digital’s structure addresses it.</w:t>
      </w:r>
    </w:p>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1A3A5C" w:val="clear"/>
            <w:tcMar>
              <w:top w:type="dxa" w:w="140"/>
              <w:left w:type="dxa" w:w="180"/>
              <w:bottom w:type="dxa" w:w="140"/>
              <w:right w:type="dxa" w:w="180"/>
            </w:tcMar>
          </w:tcPr>
          <w:p>
            <w:pPr>
              <w:jc w:val="center"/>
            </w:pPr>
            <w:r>
              <w:rPr>
                <w:rFonts w:ascii="Arial" w:cs="Arial" w:eastAsia="Arial" w:hAnsi="Arial"/>
                <w:b/>
                <w:bCs/>
                <w:color w:val="FFFFFF"/>
                <w:sz w:val="22"/>
                <w:szCs w:val="22"/>
              </w:rPr>
              <w:t xml:space="preserve">Commodity Risk</w:t>
            </w:r>
          </w:p>
        </w:tc>
        <w:tc>
          <w:tcPr>
            <w:tcW w:type="dxa" w:w="3120"/>
            <w:tcBorders>
              <w:top w:val="single" w:color="DDDDDD" w:sz="1"/>
              <w:left w:val="single" w:color="DDDDDD" w:sz="1"/>
              <w:bottom w:val="single" w:color="DDDDDD" w:sz="1"/>
              <w:right w:val="single" w:color="DDDDDD" w:sz="1"/>
            </w:tcBorders>
            <w:shd w:fill="2E5F3E" w:val="clear"/>
            <w:tcMar>
              <w:top w:type="dxa" w:w="140"/>
              <w:left w:type="dxa" w:w="180"/>
              <w:bottom w:type="dxa" w:w="140"/>
              <w:right w:type="dxa" w:w="180"/>
            </w:tcMar>
          </w:tcPr>
          <w:p>
            <w:pPr>
              <w:jc w:val="center"/>
            </w:pPr>
            <w:r>
              <w:rPr>
                <w:rFonts w:ascii="Arial" w:cs="Arial" w:eastAsia="Arial" w:hAnsi="Arial"/>
                <w:b/>
                <w:bCs/>
                <w:color w:val="FFFFFF"/>
                <w:sz w:val="22"/>
                <w:szCs w:val="22"/>
              </w:rPr>
              <w:t xml:space="preserve">Uptime Risk</w:t>
            </w:r>
          </w:p>
        </w:tc>
        <w:tc>
          <w:tcPr>
            <w:tcW w:type="dxa" w:w="3120"/>
            <w:tcBorders>
              <w:top w:val="single" w:color="DDDDDD" w:sz="1"/>
              <w:left w:val="single" w:color="DDDDDD" w:sz="1"/>
              <w:bottom w:val="single" w:color="DDDDDD" w:sz="1"/>
              <w:right w:val="single" w:color="DDDDDD" w:sz="1"/>
            </w:tcBorders>
            <w:shd w:fill="5C3A1A" w:val="clear"/>
            <w:tcMar>
              <w:top w:type="dxa" w:w="140"/>
              <w:left w:type="dxa" w:w="180"/>
              <w:bottom w:type="dxa" w:w="140"/>
              <w:right w:type="dxa" w:w="180"/>
            </w:tcMar>
          </w:tcPr>
          <w:p>
            <w:pPr>
              <w:jc w:val="center"/>
            </w:pPr>
            <w:r>
              <w:rPr>
                <w:rFonts w:ascii="Arial" w:cs="Arial" w:eastAsia="Arial" w:hAnsi="Arial"/>
                <w:b/>
                <w:bCs/>
                <w:color w:val="FFFFFF"/>
                <w:sz w:val="22"/>
                <w:szCs w:val="22"/>
              </w:rPr>
              <w:t xml:space="preserve">Site Risk</w:t>
            </w:r>
          </w:p>
        </w:tc>
      </w:tr>
      <w:tr>
        <w:tc>
          <w:tcPr>
            <w:tcW w:type="dxa" w:w="3120"/>
            <w:tcBorders>
              <w:top w:val="single" w:color="DDDDDD" w:sz="1"/>
              <w:left w:val="single" w:color="DDDDDD" w:sz="1"/>
              <w:bottom w:val="single" w:color="DDDDDD" w:sz="1"/>
              <w:right w:val="single" w:color="DDDDDD" w:sz="1"/>
            </w:tcBorders>
            <w:shd w:fill="EEF2F8" w:val="clear"/>
            <w:tcMar>
              <w:top w:type="dxa" w:w="120"/>
              <w:left w:type="dxa" w:w="160"/>
              <w:bottom w:type="dxa" w:w="120"/>
              <w:right w:type="dxa" w:w="160"/>
            </w:tcMar>
          </w:tcPr>
          <w:p>
            <w:r>
              <w:rPr>
                <w:rFonts w:ascii="Arial" w:cs="Arial" w:eastAsia="Arial" w:hAnsi="Arial"/>
                <w:color w:val="4A4A4A"/>
                <w:sz w:val="20"/>
                <w:szCs w:val="20"/>
              </w:rPr>
              <w:t xml:space="preserve">Bitcoin price volatility and gas price sensitivity. How deal structure shifts BTC exposure.</w:t>
            </w:r>
          </w:p>
        </w:tc>
        <w:tc>
          <w:tcPr>
            <w:tcW w:type="dxa" w:w="3120"/>
            <w:tcBorders>
              <w:top w:val="single" w:color="DDDDDD" w:sz="1"/>
              <w:left w:val="single" w:color="DDDDDD" w:sz="1"/>
              <w:bottom w:val="single" w:color="DDDDDD" w:sz="1"/>
              <w:right w:val="single" w:color="DDDDDD" w:sz="1"/>
            </w:tcBorders>
            <w:shd w:fill="EEF5F0" w:val="clear"/>
            <w:tcMar>
              <w:top w:type="dxa" w:w="120"/>
              <w:left w:type="dxa" w:w="160"/>
              <w:bottom w:type="dxa" w:w="120"/>
              <w:right w:type="dxa" w:w="160"/>
            </w:tcMar>
          </w:tcPr>
          <w:p>
            <w:r>
              <w:rPr>
                <w:rFonts w:ascii="Arial" w:cs="Arial" w:eastAsia="Arial" w:hAnsi="Arial"/>
                <w:color w:val="4A4A4A"/>
                <w:sz w:val="20"/>
                <w:szCs w:val="20"/>
              </w:rPr>
              <w:t xml:space="preserve">Generator reliability, ASIC degradation in field conditions, connectivity failure, and service response.</w:t>
            </w:r>
          </w:p>
        </w:tc>
        <w:tc>
          <w:tcPr>
            <w:tcW w:type="dxa" w:w="3120"/>
            <w:tcBorders>
              <w:top w:val="single" w:color="DDDDDD" w:sz="1"/>
              <w:left w:val="single" w:color="DDDDDD" w:sz="1"/>
              <w:bottom w:val="single" w:color="DDDDDD" w:sz="1"/>
              <w:right w:val="single" w:color="DDDDDD" w:sz="1"/>
            </w:tcBorders>
            <w:shd w:fill="F8F0EE" w:val="clear"/>
            <w:tcMar>
              <w:top w:type="dxa" w:w="120"/>
              <w:left w:type="dxa" w:w="160"/>
              <w:bottom w:type="dxa" w:w="120"/>
              <w:right w:type="dxa" w:w="160"/>
            </w:tcMar>
          </w:tcPr>
          <w:p>
            <w:r>
              <w:rPr>
                <w:rFonts w:ascii="Arial" w:cs="Arial" w:eastAsia="Arial" w:hAnsi="Arial"/>
                <w:color w:val="4A4A4A"/>
                <w:sz w:val="20"/>
                <w:szCs w:val="20"/>
              </w:rPr>
              <w:t xml:space="preserve">Operator curtailment, lease termination, weather and access disruptions, and infrastructure damage.</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Why Risk Categorization Matters</w:t>
      </w:r>
    </w:p>
    <w:p>
      <w:pPr>
        <w:spacing w:before="100" w:after="140"/>
      </w:pPr>
      <w:r>
        <w:rPr>
          <w:rFonts w:ascii="Arial" w:cs="Arial" w:eastAsia="Arial" w:hAnsi="Arial"/>
          <w:color w:val="4A4A4A"/>
          <w:sz w:val="22"/>
          <w:szCs w:val="22"/>
        </w:rPr>
        <w:t xml:space="preserve">Most questions about gas-to-hash risk collapse everything into a single concern: “What if Bitcoin price goes down?” That’s an important question—but it’s only one of three distinct risk categories that determine whether a deployment delivers its projected economics. Conflating them leads to poor structure decisions, misallocated mitigation efforts, and deals that fail for reasons the parties thought they’d addressed.</w:t>
      </w:r>
    </w:p>
    <w:p>
      <w:pPr>
        <w:spacing w:before="100" w:after="140"/>
      </w:pPr>
      <w:r>
        <w:rPr>
          <w:rFonts w:ascii="Arial" w:cs="Arial" w:eastAsia="Arial" w:hAnsi="Arial"/>
          <w:color w:val="4A4A4A"/>
          <w:sz w:val="22"/>
          <w:szCs w:val="22"/>
        </w:rPr>
        <w:t xml:space="preserve">The three-category framework separates risks that have different drivers, different probabilities, different mitigation tools, and different consequences. An operator who fully mitigates commodity risk through a hosting structure may still suffer poor economics from high uptime risk if equipment is unreliable. An investor who models conservative hashprice scenarios may not have thought through the site risk created by a month-to-month lease. Each category requires its own analysis.</w:t>
      </w:r>
    </w:p>
    <w:p>
      <w:pPr>
        <w:spacing w:before="100" w:after="140"/>
      </w:pPr>
      <w:r>
        <w:rPr>
          <w:rFonts w:ascii="Arial" w:cs="Arial" w:eastAsia="Arial" w:hAnsi="Arial"/>
          <w:color w:val="4A4A4A"/>
          <w:sz w:val="22"/>
          <w:szCs w:val="22"/>
        </w:rPr>
        <w:t xml:space="preserve">This guide addresses each category with the same structure: what it is, how likely it is, what mitigations exist, and how MCF.digital’s deployment framework specifically addresses it. The goal is not to minimize risk—it is to name it accurately so that operators and investors can evaluate proposals with a complete picture.</w:t>
      </w:r>
    </w:p>
    <w:p>
      <w:pPr>
        <w:spacing w:before="1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200"/>
              <w:left w:type="dxa" w:w="280"/>
              <w:bottom w:type="dxa" w:w="200"/>
              <w:right w:type="dxa" w:w="280"/>
            </w:tcMar>
          </w:tcPr>
          <w:p>
            <w:pPr>
              <w:spacing w:before="0" w:after="60"/>
            </w:pPr>
            <w:r>
              <w:rPr>
                <w:rFonts w:ascii="Arial" w:cs="Arial" w:eastAsia="Arial" w:hAnsi="Arial"/>
                <w:b/>
                <w:bCs/>
                <w:caps/>
                <w:color w:val="AAAAAA"/>
                <w:sz w:val="18"/>
                <w:szCs w:val="18"/>
              </w:rPr>
              <w:t xml:space="preserve">RISK CATEGORY 1  </w:t>
            </w:r>
          </w:p>
          <w:p>
            <w:pPr>
              <w:spacing w:before="0" w:after="60"/>
            </w:pPr>
            <w:r>
              <w:rPr>
                <w:rFonts w:ascii="Arial" w:cs="Arial" w:eastAsia="Arial" w:hAnsi="Arial"/>
                <w:b/>
                <w:bCs/>
                <w:color w:val="FFFFFF"/>
                <w:sz w:val="36"/>
                <w:szCs w:val="36"/>
              </w:rPr>
              <w:t xml:space="preserve">Commodity Risk</w:t>
            </w:r>
          </w:p>
          <w:p>
            <w:pPr>
              <w:spacing w:before="0" w:after="0"/>
            </w:pPr>
            <w:r>
              <w:rPr>
                <w:rFonts w:ascii="Arial" w:cs="Arial" w:eastAsia="Arial" w:hAnsi="Arial"/>
                <w:color w:val="CCCCCC"/>
                <w:sz w:val="20"/>
                <w:szCs w:val="20"/>
              </w:rPr>
              <w:t xml:space="preserve">Bitcoin price volatility · Gas price sensitivity · Deal structure as risk transfer mechanism</w:t>
            </w:r>
          </w:p>
        </w:tc>
      </w:tr>
    </w:tbl>
    <w:p>
      <w:pPr>
        <w:spacing w:before="160" w:after="80"/>
      </w:pPr>
      <w:r>
        <w:t xml:space="preserve"/>
      </w:r>
    </w:p>
    <w:p>
      <w:pPr>
        <w:pStyle w:val="Heading3"/>
        <w:spacing w:before="240" w:after="100"/>
      </w:pPr>
      <w:r>
        <w:rPr>
          <w:rFonts w:ascii="Arial" w:cs="Arial" w:eastAsia="Arial" w:hAnsi="Arial"/>
          <w:b/>
          <w:bCs/>
          <w:color w:val="1A3A5C"/>
          <w:sz w:val="24"/>
          <w:szCs w:val="24"/>
        </w:rPr>
        <w:t xml:space="preserve">What It Is</w:t>
      </w:r>
    </w:p>
    <w:p>
      <w:pPr>
        <w:spacing w:before="100" w:after="140"/>
      </w:pPr>
      <w:r>
        <w:rPr>
          <w:rFonts w:ascii="Arial" w:cs="Arial" w:eastAsia="Arial" w:hAnsi="Arial"/>
          <w:color w:val="4A4A4A"/>
          <w:sz w:val="22"/>
          <w:szCs w:val="22"/>
        </w:rPr>
        <w:t xml:space="preserve">Commodity risk in a gas-to-hash deployment has two dimensions: Bitcoin price risk and gas price risk. They operate differently and require separate treatment.</w:t>
      </w:r>
    </w:p>
    <w:p>
      <w:pPr>
        <w:spacing w:before="100" w:after="140"/>
      </w:pPr>
      <w:r>
        <w:rPr>
          <w:rFonts w:ascii="Arial" w:cs="Arial" w:eastAsia="Arial" w:hAnsi="Arial"/>
          <w:color w:val="4A4A4A"/>
          <w:sz w:val="22"/>
          <w:szCs w:val="22"/>
        </w:rPr>
        <w:t xml:space="preserve">Bitcoin price risk is the exposure to hashprice volatility—the daily revenue per terahash of mining power that determines how much a given mining configuration earns. Hashprice is driven by Bitcoin’s spot price, the block subsidy schedule (halving events reduce block rewards every four years), and network difficulty (which rises as more mining capacity comes online globally). A 50% Bitcoin price decline translates to approximately a 50% hashprice decline, all else equal.</w:t>
      </w:r>
    </w:p>
    <w:p>
      <w:pPr>
        <w:spacing w:before="100" w:after="140"/>
      </w:pPr>
      <w:r>
        <w:rPr>
          <w:rFonts w:ascii="Arial" w:cs="Arial" w:eastAsia="Arial" w:hAnsi="Arial"/>
          <w:color w:val="4A4A4A"/>
          <w:sz w:val="22"/>
          <w:szCs w:val="22"/>
        </w:rPr>
        <w:t xml:space="preserve">Gas price risk is different in character. In a hosting structure, the operator’s gas is valued as the power it produces—the revenue is denominated in USD at a fixed rate per kWh, not in gas price terms. In a revenue share or direct mining structure, the operator’s revenue is denominated in Bitcoin. Gas price risk in the traditional midstream sense—the risk that Henry Hub falls and compresses your netback—is largely replaced by Bitcoin price risk as the primary revenue sensitivity.</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b/>
                <w:bCs/>
                <w:color w:val="1A1A1A"/>
                <w:sz w:val="20"/>
                <w:szCs w:val="20"/>
              </w:rPr>
              <w:t xml:space="preserve">What it is</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Exposure to Bitcoin price and hashprice volatility. In hosting: zero direct BTC exposure. In revenue share/direct: revenue correlated with hashprice movement. Gas price sensitivity replaced by BTC sensitivity for carved-out volumes.</w:t>
            </w:r>
          </w:p>
        </w:tc>
      </w:tr>
      <w:tr>
        <w:tc>
          <w:tcPr>
            <w:tcW w:type="dxa" w:w="2200"/>
            <w:tcBorders>
              <w:top w:val="single" w:color="DDDDDD" w:sz="1"/>
              <w:left w:val="single" w:color="DDDDDD" w:sz="1"/>
              <w:bottom w:val="single" w:color="DDDDDD" w:sz="1"/>
              <w:right w:val="single" w:color="DDDDDD" w:sz="1"/>
            </w:tcBorders>
            <w:shd w:fill="EFEFEF" w:val="clear"/>
            <w:tcMar>
              <w:top w:type="dxa" w:w="120"/>
              <w:left w:type="dxa" w:w="160"/>
              <w:bottom w:type="dxa" w:w="120"/>
              <w:right w:type="dxa" w:w="160"/>
            </w:tcMar>
          </w:tcPr>
          <w:p>
            <w:r>
              <w:rPr>
                <w:rFonts w:ascii="Arial" w:cs="Arial" w:eastAsia="Arial" w:hAnsi="Arial"/>
                <w:b/>
                <w:bCs/>
                <w:color w:val="1A1A1A"/>
                <w:sz w:val="20"/>
                <w:szCs w:val="20"/>
              </w:rPr>
              <w:t xml:space="preserve">How likely</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Certain. Bitcoin price will be volatile. The question is not whether it will fluctuate but whether your chosen deal structure and floor value comparison make the deployment viable across the expected range of outcomes.</w:t>
            </w:r>
          </w:p>
        </w:tc>
      </w:tr>
      <w:tr>
        <w:tc>
          <w:tcPr>
            <w:tcW w:type="dxa" w:w="220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b/>
                <w:bCs/>
                <w:color w:val="1A1A1A"/>
                <w:sz w:val="20"/>
                <w:szCs w:val="20"/>
              </w:rPr>
              <w:t xml:space="preserve">Mitigations</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Deal structure selection is the primary mitigation. Hosting eliminates BTC price exposure entirely. Revenue share reduces it by sharing with the miner. Direct mining requires operator to manage BTC exposure independently. Gas floor value analysis sets the true downside.</w:t>
            </w:r>
          </w:p>
        </w:tc>
      </w:tr>
      <w:tr>
        <w:tc>
          <w:tcPr>
            <w:tcW w:type="dxa" w:w="2200"/>
            <w:tcBorders>
              <w:top w:val="single" w:color="DDDDDD" w:sz="1"/>
              <w:left w:val="single" w:color="DDDDDD" w:sz="1"/>
              <w:bottom w:val="single" w:color="DDDDDD" w:sz="1"/>
              <w:right w:val="single" w:color="DDDDDD" w:sz="1"/>
            </w:tcBorders>
            <w:shd w:fill="EFEFEF" w:val="clear"/>
            <w:tcMar>
              <w:top w:type="dxa" w:w="120"/>
              <w:left w:type="dxa" w:w="160"/>
              <w:bottom w:type="dxa" w:w="120"/>
              <w:right w:type="dxa" w:w="160"/>
            </w:tcMar>
          </w:tcPr>
          <w:p>
            <w:r>
              <w:rPr>
                <w:rFonts w:ascii="Arial" w:cs="Arial" w:eastAsia="Arial" w:hAnsi="Arial"/>
                <w:b/>
                <w:bCs/>
                <w:color w:val="1A1A1A"/>
                <w:sz w:val="20"/>
                <w:szCs w:val="20"/>
              </w:rPr>
              <w:t xml:space="preserve">MCF.digital approach</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All four structures are available. Hosting is the default recommendation for operators whose primary objective is compliance and stable USD revenue. Pro formas include stress scenarios at −25%, −50%, and −75% hashprice compared to the operator’s current gas alternative—not just current conditions.</w:t>
            </w:r>
          </w:p>
        </w:tc>
      </w:tr>
    </w:tbl>
    <w:p>
      <w:pPr>
        <w:spacing w:before="160" w:after="100"/>
      </w:pPr>
      <w:r>
        <w:t xml:space="preserve"/>
      </w:r>
    </w:p>
    <w:p>
      <w:pPr>
        <w:pStyle w:val="Heading3"/>
        <w:spacing w:before="240" w:after="100"/>
      </w:pPr>
      <w:r>
        <w:rPr>
          <w:rFonts w:ascii="Arial" w:cs="Arial" w:eastAsia="Arial" w:hAnsi="Arial"/>
          <w:b/>
          <w:bCs/>
          <w:color w:val="1A3A5C"/>
          <w:sz w:val="24"/>
          <w:szCs w:val="24"/>
        </w:rPr>
        <w:t xml:space="preserve">How Deal Structure Shifts Commodity Risk</w:t>
      </w:r>
    </w:p>
    <w:p>
      <w:pPr>
        <w:spacing w:before="100" w:after="140"/>
      </w:pPr>
      <w:r>
        <w:rPr>
          <w:rFonts w:ascii="Arial" w:cs="Arial" w:eastAsia="Arial" w:hAnsi="Arial"/>
          <w:color w:val="4A4A4A"/>
          <w:sz w:val="22"/>
          <w:szCs w:val="22"/>
        </w:rPr>
        <w:t xml:space="preserve">The deal structure is the most powerful commodity risk management tool available in a gas-to-hash deployment. Understanding which party bears Bitcoin price exposure under each structure is foundational to evaluating any proposal.</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20"/>
        <w:gridCol w:w="2320"/>
        <w:gridCol w:w="2820"/>
      </w:tblGrid>
      <w:tr>
        <w:trPr>
          <w:tblHeader/>
        </w:trPr>
        <w:tc>
          <w:tcPr>
            <w:tcW w:type="dxa" w:w="19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Structure</w:t>
            </w:r>
          </w:p>
        </w:tc>
        <w:tc>
          <w:tcPr>
            <w:tcW w:type="dxa" w:w="23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Who Bears BTC Risk</w:t>
            </w:r>
          </w:p>
        </w:tc>
        <w:tc>
          <w:tcPr>
            <w:tcW w:type="dxa" w:w="23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Operator Revenue Sensitivity</w:t>
            </w:r>
          </w:p>
        </w:tc>
        <w:tc>
          <w:tcPr>
            <w:tcW w:type="dxa" w:w="28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Gas Floor Protection</w:t>
            </w:r>
          </w:p>
        </w:tc>
      </w:tr>
      <w:tr>
        <w:tc>
          <w:tcPr>
            <w:tcW w:type="dxa" w:w="19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Hosting</w:t>
            </w:r>
          </w:p>
        </w:tc>
        <w:tc>
          <w:tcPr>
            <w:tcW w:type="dxa" w:w="23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Miner entirely</w:t>
            </w:r>
          </w:p>
        </w:tc>
        <w:tc>
          <w:tcPr>
            <w:tcW w:type="dxa" w:w="23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Zero. Fixed USD rate regardless of BTC price.</w:t>
            </w:r>
          </w:p>
        </w:tc>
        <w:tc>
          <w:tcPr>
            <w:tcW w:type="dxa" w:w="28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Full. Operator revenue is independent of Bitcoin markets.</w:t>
            </w:r>
          </w:p>
        </w:tc>
      </w:tr>
      <w:tr>
        <w:tc>
          <w:tcPr>
            <w:tcW w:type="dxa" w:w="19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Revenue Share</w:t>
            </w:r>
          </w:p>
        </w:tc>
        <w:tc>
          <w:tcPr>
            <w:tcW w:type="dxa" w:w="23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Shared proportionally</w:t>
            </w:r>
          </w:p>
        </w:tc>
        <w:tc>
          <w:tcPr>
            <w:tcW w:type="dxa" w:w="23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Proportional to BTC price movement. 50% BTC decline = ~50% revenue decline.</w:t>
            </w:r>
          </w:p>
        </w:tc>
        <w:tc>
          <w:tcPr>
            <w:tcW w:type="dxa" w:w="28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Partial. Floor is the pipeline alternative; exit provision available if BTC falls below threshold.</w:t>
            </w:r>
          </w:p>
        </w:tc>
      </w:tr>
      <w:tr>
        <w:tc>
          <w:tcPr>
            <w:tcW w:type="dxa" w:w="19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Direct Mining</w:t>
            </w:r>
          </w:p>
        </w:tc>
        <w:tc>
          <w:tcPr>
            <w:tcW w:type="dxa" w:w="232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 entirely</w:t>
            </w:r>
          </w:p>
        </w:tc>
        <w:tc>
          <w:tcPr>
            <w:tcW w:type="dxa" w:w="232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Full correlation. All revenue is BTC-denominated.</w:t>
            </w:r>
          </w:p>
        </w:tc>
        <w:tc>
          <w:tcPr>
            <w:tcW w:type="dxa" w:w="28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None beyond exit provision. Operator must manage BTC exposure independently.</w:t>
            </w:r>
          </w:p>
        </w:tc>
      </w:tr>
      <w:tr>
        <w:tc>
          <w:tcPr>
            <w:tcW w:type="dxa" w:w="19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Capital Partner</w:t>
            </w:r>
          </w:p>
        </w:tc>
        <w:tc>
          <w:tcPr>
            <w:tcW w:type="dxa" w:w="23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Shared: operator + partner per agreement</w:t>
            </w:r>
          </w:p>
        </w:tc>
        <w:tc>
          <w:tcPr>
            <w:tcW w:type="dxa" w:w="23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Per split terms. Capital partner typically absorbs proportional BTC downside.</w:t>
            </w:r>
          </w:p>
        </w:tc>
        <w:tc>
          <w:tcPr>
            <w:tcW w:type="dxa" w:w="28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Partial. Structured similarly to revenue share; depends on agreement terms.</w:t>
            </w:r>
          </w:p>
        </w:tc>
      </w:tr>
    </w:tbl>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3E" w:val="clear"/>
            <w:tcMar>
              <w:top w:type="dxa" w:w="200"/>
              <w:left w:type="dxa" w:w="280"/>
              <w:bottom w:type="dxa" w:w="200"/>
              <w:right w:type="dxa" w:w="280"/>
            </w:tcMar>
          </w:tcPr>
          <w:p>
            <w:pPr>
              <w:spacing w:before="0" w:after="60"/>
            </w:pPr>
            <w:r>
              <w:rPr>
                <w:rFonts w:ascii="Arial" w:cs="Arial" w:eastAsia="Arial" w:hAnsi="Arial"/>
                <w:b/>
                <w:bCs/>
                <w:caps/>
                <w:color w:val="AAAAAA"/>
                <w:sz w:val="18"/>
                <w:szCs w:val="18"/>
              </w:rPr>
              <w:t xml:space="preserve">RISK CATEGORY 2  </w:t>
            </w:r>
          </w:p>
          <w:p>
            <w:pPr>
              <w:spacing w:before="0" w:after="60"/>
            </w:pPr>
            <w:r>
              <w:rPr>
                <w:rFonts w:ascii="Arial" w:cs="Arial" w:eastAsia="Arial" w:hAnsi="Arial"/>
                <w:b/>
                <w:bCs/>
                <w:color w:val="FFFFFF"/>
                <w:sz w:val="36"/>
                <w:szCs w:val="36"/>
              </w:rPr>
              <w:t xml:space="preserve">Uptime Risk</w:t>
            </w:r>
          </w:p>
          <w:p>
            <w:pPr>
              <w:spacing w:before="0" w:after="0"/>
            </w:pPr>
            <w:r>
              <w:rPr>
                <w:rFonts w:ascii="Arial" w:cs="Arial" w:eastAsia="Arial" w:hAnsi="Arial"/>
                <w:color w:val="CCCCCC"/>
                <w:sz w:val="20"/>
                <w:szCs w:val="20"/>
              </w:rPr>
              <w:t xml:space="preserve">Genset reliability · ASIC field performance · Connectivity failure · Service response time</w:t>
            </w:r>
          </w:p>
        </w:tc>
      </w:tr>
    </w:tbl>
    <w:p>
      <w:pPr>
        <w:spacing w:before="160" w:after="80"/>
      </w:pPr>
      <w:r>
        <w:t xml:space="preserve"/>
      </w:r>
    </w:p>
    <w:p>
      <w:pPr>
        <w:pStyle w:val="Heading3"/>
        <w:spacing w:before="240" w:after="100"/>
      </w:pPr>
      <w:r>
        <w:rPr>
          <w:rFonts w:ascii="Arial" w:cs="Arial" w:eastAsia="Arial" w:hAnsi="Arial"/>
          <w:b/>
          <w:bCs/>
          <w:color w:val="2E5F3E"/>
          <w:sz w:val="24"/>
          <w:szCs w:val="24"/>
        </w:rPr>
        <w:t xml:space="preserve">What It Is</w:t>
      </w:r>
    </w:p>
    <w:p>
      <w:pPr>
        <w:spacing w:before="100" w:after="140"/>
      </w:pPr>
      <w:r>
        <w:rPr>
          <w:rFonts w:ascii="Arial" w:cs="Arial" w:eastAsia="Arial" w:hAnsi="Arial"/>
          <w:color w:val="4A4A4A"/>
          <w:sz w:val="22"/>
          <w:szCs w:val="22"/>
        </w:rPr>
        <w:t xml:space="preserve">Uptime risk is the probability that the physical system—generator set, power conditioning, mining containers, and connectivity—fails to operate at the expected capacity for the expected hours. It is distinct from commodity risk because it is entirely operational in nature. A deployment that avoids all commodity risk through a hosting structure can still underperform significantly if equipment is unreliable or service response is slow.</w:t>
      </w:r>
    </w:p>
    <w:p>
      <w:pPr>
        <w:spacing w:before="100" w:after="140"/>
      </w:pPr>
      <w:r>
        <w:rPr>
          <w:rFonts w:ascii="Arial" w:cs="Arial" w:eastAsia="Arial" w:hAnsi="Arial"/>
          <w:color w:val="4A4A4A"/>
          <w:sz w:val="22"/>
          <w:szCs w:val="22"/>
        </w:rPr>
        <w:t xml:space="preserve">Uptime risk has four primary components, each with different drivers and mitigation approaches.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b/>
                <w:bCs/>
                <w:color w:val="1A1A1A"/>
                <w:sz w:val="20"/>
                <w:szCs w:val="20"/>
              </w:rPr>
              <w:t xml:space="preserve">What it is</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Revenue lost due to unplanned equipment downtime: generator failures, ASIC degradation in field conditions, connectivity outages, and delayed service response at remote locations.</w:t>
            </w:r>
          </w:p>
        </w:tc>
      </w:tr>
      <w:tr>
        <w:tc>
          <w:tcPr>
            <w:tcW w:type="dxa" w:w="2200"/>
            <w:tcBorders>
              <w:top w:val="single" w:color="DDDDDD" w:sz="1"/>
              <w:left w:val="single" w:color="DDDDDD" w:sz="1"/>
              <w:bottom w:val="single" w:color="DDDDDD" w:sz="1"/>
              <w:right w:val="single" w:color="DDDDDD" w:sz="1"/>
            </w:tcBorders>
            <w:shd w:fill="EFEFEF" w:val="clear"/>
            <w:tcMar>
              <w:top w:type="dxa" w:w="120"/>
              <w:left w:type="dxa" w:w="160"/>
              <w:bottom w:type="dxa" w:w="120"/>
              <w:right w:type="dxa" w:w="160"/>
            </w:tcMar>
          </w:tcPr>
          <w:p>
            <w:r>
              <w:rPr>
                <w:rFonts w:ascii="Arial" w:cs="Arial" w:eastAsia="Arial" w:hAnsi="Arial"/>
                <w:b/>
                <w:bCs/>
                <w:color w:val="1A1A1A"/>
                <w:sz w:val="20"/>
                <w:szCs w:val="20"/>
              </w:rPr>
              <w:t xml:space="preserve">How likely</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Moderate and manageable. Field-deployed equipment experiences higher failure rates than data-center equipment. Properly specified and maintained systems achieve 92–97% uptime in field conditions. Improperly specified or poorly serviced systems can fall well below 85%.</w:t>
            </w:r>
          </w:p>
        </w:tc>
      </w:tr>
      <w:tr>
        <w:tc>
          <w:tcPr>
            <w:tcW w:type="dxa" w:w="220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b/>
                <w:bCs/>
                <w:color w:val="1A1A1A"/>
                <w:sz w:val="20"/>
                <w:szCs w:val="20"/>
              </w:rPr>
              <w:t xml:space="preserve">Mitigations</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Equipment specification for the specific operating environment (cold-weather packages, thermal management, IP-rated enclosures). Preventive maintenance schedules. Remote monitoring with alert thresholds. Service response commitments with defined SLAs. Redundant connectivity.</w:t>
            </w:r>
          </w:p>
        </w:tc>
      </w:tr>
      <w:tr>
        <w:tc>
          <w:tcPr>
            <w:tcW w:type="dxa" w:w="2200"/>
            <w:tcBorders>
              <w:top w:val="single" w:color="DDDDDD" w:sz="1"/>
              <w:left w:val="single" w:color="DDDDDD" w:sz="1"/>
              <w:bottom w:val="single" w:color="DDDDDD" w:sz="1"/>
              <w:right w:val="single" w:color="DDDDDD" w:sz="1"/>
            </w:tcBorders>
            <w:shd w:fill="EFEFEF" w:val="clear"/>
            <w:tcMar>
              <w:top w:type="dxa" w:w="120"/>
              <w:left w:type="dxa" w:w="160"/>
              <w:bottom w:type="dxa" w:w="120"/>
              <w:right w:type="dxa" w:w="160"/>
            </w:tcMar>
          </w:tcPr>
          <w:p>
            <w:r>
              <w:rPr>
                <w:rFonts w:ascii="Arial" w:cs="Arial" w:eastAsia="Arial" w:hAnsi="Arial"/>
                <w:b/>
                <w:bCs/>
                <w:color w:val="1A1A1A"/>
                <w:sz w:val="20"/>
                <w:szCs w:val="20"/>
              </w:rPr>
              <w:t xml:space="preserve">MCF.digital approach</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MCF.digital handles all operations, maintenance, and service response. Equipment is specified for the deployment environment before proposal. Remote monitoring via Starlink is standard. Service response commitments and uptime expectations are defined in the deployment agreement.</w:t>
            </w:r>
          </w:p>
        </w:tc>
      </w:tr>
    </w:tbl>
    <w:p>
      <w:pPr>
        <w:spacing w:before="160" w:after="100"/>
      </w:pPr>
      <w:r>
        <w:t xml:space="preserve"/>
      </w:r>
    </w:p>
    <w:p>
      <w:pPr>
        <w:pStyle w:val="Heading3"/>
        <w:spacing w:before="240" w:after="100"/>
      </w:pPr>
      <w:r>
        <w:rPr>
          <w:rFonts w:ascii="Arial" w:cs="Arial" w:eastAsia="Arial" w:hAnsi="Arial"/>
          <w:b/>
          <w:bCs/>
          <w:color w:val="2E5F3E"/>
          <w:sz w:val="24"/>
          <w:szCs w:val="24"/>
        </w:rPr>
        <w:t xml:space="preserve">The Four Uptime Risk Drivers</w:t>
      </w:r>
    </w:p>
    <w:p>
      <w:pPr>
        <w:spacing w:before="100" w:after="140"/>
      </w:pPr>
      <w:r>
        <w:rPr>
          <w:rFonts w:ascii="Arial" w:cs="Arial" w:eastAsia="Arial" w:hAnsi="Arial"/>
          <w:color w:val="4A4A4A"/>
          <w:sz w:val="22"/>
          <w:szCs w:val="22"/>
        </w:rPr>
        <w:t xml:space="preserve">Each uptime risk driver has its own failure mode and mitigation approach. Understanding them separately prevents the common mistake of treating “uptime” as a single undifferentiated metric.</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Risk Driver</w:t>
            </w:r>
          </w:p>
        </w:tc>
        <w:tc>
          <w:tcPr>
            <w:tcW w:type="dxa" w:w="36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Failure Mode</w:t>
            </w:r>
          </w:p>
        </w:tc>
        <w:tc>
          <w:tcPr>
            <w:tcW w:type="dxa" w:w="34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Primary Mitigation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Generator set reliability</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Unplanned outages due to fuel system issues, overheating, coolant failure, or component wear. Accelerated by poor fuel quality, missed maintenance, or environmental mismatch.</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Correct specification for elevation, temperature, and gas composition. Scheduled preventive maintenance. Remote temperature and performance monitoring.</w:t>
            </w:r>
          </w:p>
        </w:tc>
      </w:tr>
      <w:tr>
        <w:tc>
          <w:tcPr>
            <w:tcW w:type="dxa" w:w="22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ASIC performance degradation</w:t>
            </w:r>
          </w:p>
        </w:tc>
        <w:tc>
          <w:tcPr>
            <w:tcW w:type="dxa" w:w="3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Hash rate decline over time due to chip aging, dust accumulation, thermal cycling in field conditions. Outdoor deployments degrade faster than controlled data-center environments.</w:t>
            </w:r>
          </w:p>
        </w:tc>
        <w:tc>
          <w:tcPr>
            <w:tcW w:type="dxa" w:w="34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Regular cleaning and inspection schedule. Container thermal management to reduce thermal cycling stress. Proactive ASIC replacement before failure rather than after.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Connectivity failure</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Starlink outages (typically brief), dish obstruction by snow or debris, power interruption to connectivity equipment. Miners that lose pool connectivity stop earning within seconds.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Redundant connectivity where justified by site economics. Starlink obstruction map review at site selection. UPS for connectivity equipment.</w:t>
            </w:r>
          </w:p>
        </w:tc>
      </w:tr>
      <w:tr>
        <w:tc>
          <w:tcPr>
            <w:tcW w:type="dxa" w:w="22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Service response time</w:t>
            </w:r>
          </w:p>
        </w:tc>
        <w:tc>
          <w:tcPr>
            <w:tcW w:type="dxa" w:w="36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Time from fault detection to physical site visit. Remote sites may have access delays due to road conditions, weather, or technician availability. Every hour of delayed response is an hour of lost revenue.</w:t>
            </w:r>
          </w:p>
        </w:tc>
        <w:tc>
          <w:tcPr>
            <w:tcW w:type="dxa" w:w="34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Remote monitoring with immediate alert escalation. Pre-positioned spare parts at regional service hubs. Contractual SLA with defined response windows. Contingency access plans for seasonal road restrictions.</w:t>
            </w:r>
          </w:p>
        </w:tc>
      </w:tr>
    </w:tbl>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3E" w:sz="8"/>
              <w:left w:val="single" w:color="2E5F3E"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2E5F3E"/>
                <w:sz w:val="22"/>
                <w:szCs w:val="22"/>
              </w:rPr>
              <w:t xml:space="preserve">THE UPTIME QUESTION TO ASK ANY OPERATOR</w:t>
            </w:r>
          </w:p>
          <w:p>
            <w:pPr>
              <w:spacing w:before="0" w:after="0"/>
            </w:pPr>
            <w:r>
              <w:rPr>
                <w:rFonts w:ascii="Arial" w:cs="Arial" w:eastAsia="Arial" w:hAnsi="Arial"/>
                <w:color w:val="4A4A4A"/>
                <w:sz w:val="22"/>
                <w:szCs w:val="22"/>
              </w:rPr>
              <w:t xml:space="preserve">Don’t ask what their target uptime is. Ask what their actual average uptime has been across all deployed sites over the past 12 months—and what their worst-performing site’s uptime was. The gap between best-site and worst-site uptime tells you more about an operator’s execution quality than any headline number.</w:t>
            </w:r>
          </w:p>
        </w:tc>
      </w:tr>
    </w:tbl>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3A1A" w:val="clear"/>
            <w:tcMar>
              <w:top w:type="dxa" w:w="200"/>
              <w:left w:type="dxa" w:w="280"/>
              <w:bottom w:type="dxa" w:w="200"/>
              <w:right w:type="dxa" w:w="280"/>
            </w:tcMar>
          </w:tcPr>
          <w:p>
            <w:pPr>
              <w:spacing w:before="0" w:after="60"/>
            </w:pPr>
            <w:r>
              <w:rPr>
                <w:rFonts w:ascii="Arial" w:cs="Arial" w:eastAsia="Arial" w:hAnsi="Arial"/>
                <w:b/>
                <w:bCs/>
                <w:caps/>
                <w:color w:val="AAAAAA"/>
                <w:sz w:val="18"/>
                <w:szCs w:val="18"/>
              </w:rPr>
              <w:t xml:space="preserve">RISK CATEGORY 3  </w:t>
            </w:r>
          </w:p>
          <w:p>
            <w:pPr>
              <w:spacing w:before="0" w:after="60"/>
            </w:pPr>
            <w:r>
              <w:rPr>
                <w:rFonts w:ascii="Arial" w:cs="Arial" w:eastAsia="Arial" w:hAnsi="Arial"/>
                <w:b/>
                <w:bCs/>
                <w:color w:val="FFFFFF"/>
                <w:sz w:val="36"/>
                <w:szCs w:val="36"/>
              </w:rPr>
              <w:t xml:space="preserve">Site Risk</w:t>
            </w:r>
          </w:p>
          <w:p>
            <w:pPr>
              <w:spacing w:before="0" w:after="0"/>
            </w:pPr>
            <w:r>
              <w:rPr>
                <w:rFonts w:ascii="Arial" w:cs="Arial" w:eastAsia="Arial" w:hAnsi="Arial"/>
                <w:color w:val="CCCCCC"/>
                <w:sz w:val="20"/>
                <w:szCs w:val="20"/>
              </w:rPr>
              <w:t xml:space="preserve">Operator curtailment · Lease termination · Weather and access disruptions · Infrastructure damage</w:t>
            </w:r>
          </w:p>
        </w:tc>
      </w:tr>
    </w:tbl>
    <w:p>
      <w:pPr>
        <w:spacing w:before="160" w:after="80"/>
      </w:pPr>
      <w:r>
        <w:t xml:space="preserve"/>
      </w:r>
    </w:p>
    <w:p>
      <w:pPr>
        <w:pStyle w:val="Heading3"/>
        <w:spacing w:before="240" w:after="100"/>
      </w:pPr>
      <w:r>
        <w:rPr>
          <w:rFonts w:ascii="Arial" w:cs="Arial" w:eastAsia="Arial" w:hAnsi="Arial"/>
          <w:b/>
          <w:bCs/>
          <w:color w:val="5C3A1A"/>
          <w:sz w:val="24"/>
          <w:szCs w:val="24"/>
        </w:rPr>
        <w:t xml:space="preserve">What It Is</w:t>
      </w:r>
    </w:p>
    <w:p>
      <w:pPr>
        <w:spacing w:before="100" w:after="140"/>
      </w:pPr>
      <w:r>
        <w:rPr>
          <w:rFonts w:ascii="Arial" w:cs="Arial" w:eastAsia="Arial" w:hAnsi="Arial"/>
          <w:color w:val="4A4A4A"/>
          <w:sz w:val="22"/>
          <w:szCs w:val="22"/>
        </w:rPr>
        <w:t xml:space="preserve">Site risk is exposure to events at the pad itself that interrupt or terminate the deployment—independent of Bitcoin prices and independent of equipment performance. A perfectly functioning system with well-managed commodity exposure can still fail to generate projected revenue if the site itself becomes unavailable.</w:t>
      </w:r>
    </w:p>
    <w:p>
      <w:pPr>
        <w:spacing w:before="100" w:after="140"/>
      </w:pPr>
      <w:r>
        <w:rPr>
          <w:rFonts w:ascii="Arial" w:cs="Arial" w:eastAsia="Arial" w:hAnsi="Arial"/>
          <w:color w:val="4A4A4A"/>
          <w:sz w:val="22"/>
          <w:szCs w:val="22"/>
        </w:rPr>
        <w:t xml:space="preserve">Site risk is often the least-analyzed risk category in initial deployment conversations, which makes it the one most likely to produce surprises. Operators and investors who are careful about commodity risk and uptime risk sometimes discover, late in a deployment term, that they did not adequately evaluate the site-specific conditions that can interrupt operations.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b/>
                <w:bCs/>
                <w:color w:val="1A1A1A"/>
                <w:sz w:val="20"/>
                <w:szCs w:val="20"/>
              </w:rPr>
              <w:t xml:space="preserve">What it is</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Revenue loss or deployment termination caused by: voluntary or forced gas curtailment at the operator level, lease or pad access termination, weather events causing extended access restrictions or equipment damage, and surface infrastructure damage independent of deployment equipment.</w:t>
            </w:r>
          </w:p>
        </w:tc>
      </w:tr>
      <w:tr>
        <w:tc>
          <w:tcPr>
            <w:tcW w:type="dxa" w:w="2200"/>
            <w:tcBorders>
              <w:top w:val="single" w:color="DDDDDD" w:sz="1"/>
              <w:left w:val="single" w:color="DDDDDD" w:sz="1"/>
              <w:bottom w:val="single" w:color="DDDDDD" w:sz="1"/>
              <w:right w:val="single" w:color="DDDDDD" w:sz="1"/>
            </w:tcBorders>
            <w:shd w:fill="EFEFEF" w:val="clear"/>
            <w:tcMar>
              <w:top w:type="dxa" w:w="120"/>
              <w:left w:type="dxa" w:w="160"/>
              <w:bottom w:type="dxa" w:w="120"/>
              <w:right w:type="dxa" w:w="160"/>
            </w:tcMar>
          </w:tcPr>
          <w:p>
            <w:r>
              <w:rPr>
                <w:rFonts w:ascii="Arial" w:cs="Arial" w:eastAsia="Arial" w:hAnsi="Arial"/>
                <w:b/>
                <w:bCs/>
                <w:color w:val="1A1A1A"/>
                <w:sz w:val="20"/>
                <w:szCs w:val="20"/>
              </w:rPr>
              <w:t xml:space="preserve">How likely</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Low to moderate depending on site characteristics. Curtailment events are common in the normal course of O&amp;G operations. Lease termination is rare but high-impact. Severe weather events vary significantly by geography. Infrastructure damage from third parties (vehicle strikes, vandalism) is uncommon but not negligible.</w:t>
            </w:r>
          </w:p>
        </w:tc>
      </w:tr>
      <w:tr>
        <w:tc>
          <w:tcPr>
            <w:tcW w:type="dxa" w:w="220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b/>
                <w:bCs/>
                <w:color w:val="1A1A1A"/>
                <w:sz w:val="20"/>
                <w:szCs w:val="20"/>
              </w:rPr>
              <w:t xml:space="preserve">Mitigations</w:t>
            </w:r>
          </w:p>
        </w:tc>
        <w:tc>
          <w:tcPr>
            <w:tcW w:type="dxa" w:w="71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4A4A4A"/>
                <w:sz w:val="20"/>
                <w:szCs w:val="20"/>
              </w:rPr>
              <w:t xml:space="preserve">Deployment agreement provisions covering curtailment events, force majeure, and lease termination scenarios. Site security measures. Insurance requirements for equipment and business interruption. Minimum notice periods before voluntary curtailment. Equipment removal protocols.</w:t>
            </w:r>
          </w:p>
        </w:tc>
      </w:tr>
      <w:tr>
        <w:tc>
          <w:tcPr>
            <w:tcW w:type="dxa" w:w="2200"/>
            <w:tcBorders>
              <w:top w:val="single" w:color="DDDDDD" w:sz="1"/>
              <w:left w:val="single" w:color="DDDDDD" w:sz="1"/>
              <w:bottom w:val="single" w:color="DDDDDD" w:sz="1"/>
              <w:right w:val="single" w:color="DDDDDD" w:sz="1"/>
            </w:tcBorders>
            <w:shd w:fill="EFEFEF" w:val="clear"/>
            <w:tcMar>
              <w:top w:type="dxa" w:w="120"/>
              <w:left w:type="dxa" w:w="160"/>
              <w:bottom w:type="dxa" w:w="120"/>
              <w:right w:type="dxa" w:w="160"/>
            </w:tcMar>
          </w:tcPr>
          <w:p>
            <w:r>
              <w:rPr>
                <w:rFonts w:ascii="Arial" w:cs="Arial" w:eastAsia="Arial" w:hAnsi="Arial"/>
                <w:b/>
                <w:bCs/>
                <w:color w:val="1A1A1A"/>
                <w:sz w:val="20"/>
                <w:szCs w:val="20"/>
              </w:rPr>
              <w:t xml:space="preserve">MCF.digital approach</w:t>
            </w:r>
          </w:p>
        </w:tc>
        <w:tc>
          <w:tcPr>
            <w:tcW w:type="dxa" w:w="7160"/>
            <w:tcBorders>
              <w:top w:val="single" w:color="DDDDDD" w:sz="1"/>
              <w:left w:val="single" w:color="DDDDDD" w:sz="1"/>
              <w:bottom w:val="single" w:color="DDDDDD" w:sz="1"/>
              <w:right w:val="single" w:color="DDDDDD" w:sz="1"/>
            </w:tcBorders>
            <w:shd w:fill="FAFAFA" w:val="clear"/>
            <w:tcMar>
              <w:top w:type="dxa" w:w="120"/>
              <w:left w:type="dxa" w:w="160"/>
              <w:bottom w:type="dxa" w:w="120"/>
              <w:right w:type="dxa" w:w="160"/>
            </w:tcMar>
          </w:tcPr>
          <w:p>
            <w:r>
              <w:rPr>
                <w:rFonts w:ascii="Arial" w:cs="Arial" w:eastAsia="Arial" w:hAnsi="Arial"/>
                <w:color w:val="4A4A4A"/>
                <w:sz w:val="20"/>
                <w:szCs w:val="20"/>
              </w:rPr>
              <w:t xml:space="preserve">All four site risk categories are addressed in the deployment agreement with specific provisions, not general force majeure language. Equipment insurance requirements are defined. Curtailment notice periods and compensation terms are contractually specified. Site security standards are part of the deployment proposal.</w:t>
            </w:r>
          </w:p>
        </w:tc>
      </w:tr>
    </w:tbl>
    <w:p>
      <w:pPr>
        <w:spacing w:before="160" w:after="100"/>
      </w:pPr>
      <w:r>
        <w:t xml:space="preserve"/>
      </w:r>
    </w:p>
    <w:p>
      <w:pPr>
        <w:pStyle w:val="Heading3"/>
        <w:spacing w:before="240" w:after="100"/>
      </w:pPr>
      <w:r>
        <w:rPr>
          <w:rFonts w:ascii="Arial" w:cs="Arial" w:eastAsia="Arial" w:hAnsi="Arial"/>
          <w:b/>
          <w:bCs/>
          <w:color w:val="5C3A1A"/>
          <w:sz w:val="24"/>
          <w:szCs w:val="24"/>
        </w:rPr>
        <w:t xml:space="preserve">The Four Site Risk Scenarios</w:t>
      </w:r>
    </w:p>
    <w:p>
      <w:pPr>
        <w:spacing w:before="100" w:after="140"/>
      </w:pPr>
      <w:r>
        <w:rPr>
          <w:rFonts w:ascii="Arial" w:cs="Arial" w:eastAsia="Arial" w:hAnsi="Arial"/>
          <w:color w:val="4A4A4A"/>
          <w:sz w:val="22"/>
          <w:szCs w:val="22"/>
        </w:rPr>
        <w:t xml:space="preserve">Site risk manifests differently depending on whether it originates from operator decisions, third-party events, or environmental factors. Each requires a different mitigation approach in the deployment agreement.</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Site Risk Scenario</w:t>
            </w:r>
          </w:p>
        </w:tc>
        <w:tc>
          <w:tcPr>
            <w:tcW w:type="dxa" w:w="14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Likelihood</w:t>
            </w:r>
          </w:p>
        </w:tc>
        <w:tc>
          <w:tcPr>
            <w:tcW w:type="dxa" w:w="55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Agreement Provisions to Address It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Voluntary operator curtailment</w:t>
            </w:r>
          </w:p>
        </w:tc>
        <w:tc>
          <w:tcPr>
            <w:tcW w:type="dxa" w:w="14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Moderate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Minimum notice period (typically 30–60 days) before voluntary curtailment. Compensation or revenue-sharing adjustment during curtailment period. Distinction between temporary and permanent curtailment.</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Natural decline below viable threshold</w:t>
            </w:r>
          </w:p>
        </w:tc>
        <w:tc>
          <w:tcPr>
            <w:tcW w:type="dxa" w:w="14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Moderate–High
(late-life wells)</w:t>
            </w:r>
          </w:p>
        </w:tc>
        <w:tc>
          <w:tcPr>
            <w:tcW w:type="dxa" w:w="55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Volume floor trigger defined in agreement. Below-threshold operations protocol (partial system operation vs. full wind-down). Minimum notice period for equipment removal after threshold breach.</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Lease termination or pad access loss</w:t>
            </w:r>
          </w:p>
        </w:tc>
        <w:tc>
          <w:tcPr>
            <w:tcW w:type="dxa" w:w="14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Low</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Lease term verification before deployment (avoid month-to-month leases without extension rights). Force majeure provisions for involuntary access loss. Equipment removal timeline and cost responsibility defined.</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Severe weather or infrastructure damage</w:t>
            </w:r>
          </w:p>
        </w:tc>
        <w:tc>
          <w:tcPr>
            <w:tcW w:type="dxa" w:w="14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Low–Moderate
(geography-dependent)</w:t>
            </w:r>
          </w:p>
        </w:tc>
        <w:tc>
          <w:tcPr>
            <w:tcW w:type="dxa" w:w="55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Force majeure provisions covering named weather events and access restrictions. Equipment insurance requirements (replacement cost). Business interruption provisions for weather-related downtime. Cold-weather and flood-risk engineering specifications where applicable.</w:t>
            </w:r>
          </w:p>
        </w:tc>
      </w:tr>
    </w:tbl>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3A1A" w:sz="8"/>
              <w:left w:val="single" w:color="5C3A1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5C3A1A"/>
                <w:sz w:val="22"/>
                <w:szCs w:val="22"/>
              </w:rPr>
              <w:t xml:space="preserve">THE LEASE TERM QUESTION</w:t>
            </w:r>
          </w:p>
          <w:p>
            <w:pPr>
              <w:spacing w:before="0" w:after="0"/>
            </w:pPr>
            <w:r>
              <w:rPr>
                <w:rFonts w:ascii="Arial" w:cs="Arial" w:eastAsia="Arial" w:hAnsi="Arial"/>
                <w:color w:val="4A4A4A"/>
                <w:sz w:val="22"/>
                <w:szCs w:val="22"/>
              </w:rPr>
              <w:t xml:space="preserve">Before finalizing any gas-to-hash deployment, confirm the remaining term on the pad’s surface lease. A deployment agreement for 24 months on a lease that expires in 18 months creates a site risk that most operators don’t flag proactively. Either obtain a lease extension before deployment, or negotiate a deployment term that matches the confirmed lease remaining. This is a simple check that prevents a significant problem.</w:t>
            </w:r>
          </w:p>
        </w:tc>
      </w:tr>
    </w:tbl>
    <w:p>
      <w:pPr>
        <w:spacing w:before="20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Complete Risk Summary Matrix</w:t>
      </w:r>
    </w:p>
    <w:p>
      <w:pPr>
        <w:spacing w:before="100" w:after="140"/>
      </w:pPr>
      <w:r>
        <w:rPr>
          <w:rFonts w:ascii="Arial" w:cs="Arial" w:eastAsia="Arial" w:hAnsi="Arial"/>
          <w:color w:val="4A4A4A"/>
          <w:sz w:val="22"/>
          <w:szCs w:val="22"/>
        </w:rPr>
        <w:t xml:space="preserve">The following table provides a consolidated view of all three risk categories—likelihood, impact, mitigation availability, and deal structure effect—for use in pre-agreement diligence.</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360"/>
        <w:gridCol w:w="2000"/>
      </w:tblGrid>
      <w:tr>
        <w:trPr>
          <w:tblHeader/>
        </w:trPr>
        <w:tc>
          <w:tcPr>
            <w:tcW w:type="dxa" w:w="1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Risk Category</w:t>
            </w:r>
          </w:p>
        </w:tc>
        <w:tc>
          <w:tcPr>
            <w:tcW w:type="dxa" w:w="16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Likelihood</w:t>
            </w:r>
          </w:p>
        </w:tc>
        <w:tc>
          <w:tcPr>
            <w:tcW w:type="dxa" w:w="16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Impact</w:t>
            </w:r>
          </w:p>
        </w:tc>
        <w:tc>
          <w:tcPr>
            <w:tcW w:type="dxa" w:w="2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Primary Mitigation</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Structure Effect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Commodity: BTC price decline</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Certain (degree varies)</w:t>
            </w:r>
          </w:p>
        </w:tc>
        <w:tc>
          <w:tcPr>
            <w:tcW w:type="dxa" w:w="160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High (if unmitigated)</w:t>
            </w:r>
          </w:p>
        </w:tc>
        <w:tc>
          <w:tcPr>
            <w:tcW w:type="dxa" w:w="236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Hosting structure eliminates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Hosting: zero. Revenue share: proportional. Direct: full.</w:t>
            </w:r>
          </w:p>
        </w:tc>
      </w:tr>
      <w:tr>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Commodity: Gas price sensitivity</w:t>
            </w:r>
          </w:p>
        </w:tc>
        <w:tc>
          <w:tcPr>
            <w:tcW w:type="dxa" w:w="16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Low (in hosting)</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Low–Medium</w:t>
            </w:r>
          </w:p>
        </w:tc>
        <w:tc>
          <w:tcPr>
            <w:tcW w:type="dxa" w:w="236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Hosting replaces gas revenue with fixed power rate</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In hosting: eliminated. In revenue share/direct: replaced by BTC sensitivity.</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Uptime: Genset failure</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Low–Moderate</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Medium (per outage duration)</w:t>
            </w:r>
          </w:p>
        </w:tc>
        <w:tc>
          <w:tcPr>
            <w:tcW w:type="dxa" w:w="23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Correct spec + preventive maintenance + remote monitoring</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 structure effect. Affects all equally.</w:t>
            </w:r>
          </w:p>
        </w:tc>
      </w:tr>
      <w:tr>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Uptime: ASIC degradation</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Moderate (field conditions)</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Low–Medium (gradual)</w:t>
            </w:r>
          </w:p>
        </w:tc>
        <w:tc>
          <w:tcPr>
            <w:tcW w:type="dxa" w:w="23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Cleaning, thermal management, proactive replacement</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 structure effect.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Uptime: Connectivity failure</w:t>
            </w:r>
          </w:p>
        </w:tc>
        <w:tc>
          <w:tcPr>
            <w:tcW w:type="dxa" w:w="16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Low (brief outages typical)</w:t>
            </w:r>
          </w:p>
        </w:tc>
        <w:tc>
          <w:tcPr>
            <w:tcW w:type="dxa" w:w="16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Low</w:t>
            </w:r>
          </w:p>
        </w:tc>
        <w:tc>
          <w:tcPr>
            <w:tcW w:type="dxa" w:w="236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Redundant Starlink, UPS for connectivity gear</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 structure effect.</w:t>
            </w:r>
          </w:p>
        </w:tc>
      </w:tr>
      <w:tr>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Uptime: Service response delay</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Moderate (remote sites)</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Medium (time-sensitive)</w:t>
            </w:r>
          </w:p>
        </w:tc>
        <w:tc>
          <w:tcPr>
            <w:tcW w:type="dxa" w:w="23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Regional service hubs, contractual SLA, spare parts staging</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 structure effect.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Site: Operator curtailment</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Moderate</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Medium–High (duration-dependent)</w:t>
            </w:r>
          </w:p>
        </w:tc>
        <w:tc>
          <w:tcPr>
            <w:tcW w:type="dxa" w:w="23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Notice requirements, compensation provisions in agreement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 structure effect on likelihood. Revenue share agreements may have revenue make-whole provisions.</w:t>
            </w:r>
          </w:p>
        </w:tc>
      </w:tr>
      <w:tr>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Site: Natural decline below threshold</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Moderate (late-life wells)</w:t>
            </w:r>
          </w:p>
        </w:tc>
        <w:tc>
          <w:tcPr>
            <w:tcW w:type="dxa" w:w="160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High (potential termination)</w:t>
            </w:r>
          </w:p>
        </w:tc>
        <w:tc>
          <w:tcPr>
            <w:tcW w:type="dxa" w:w="23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Volume floor clause, early warning monitoring</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 structure effect.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Site: Lease termination</w:t>
            </w:r>
          </w:p>
        </w:tc>
        <w:tc>
          <w:tcPr>
            <w:tcW w:type="dxa" w:w="16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Low</w:t>
            </w:r>
          </w:p>
        </w:tc>
        <w:tc>
          <w:tcPr>
            <w:tcW w:type="dxa" w:w="160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High (termination)</w:t>
            </w:r>
          </w:p>
        </w:tc>
        <w:tc>
          <w:tcPr>
            <w:tcW w:type="dxa" w:w="236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Lease term verification before deployment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 structure effect.</w:t>
            </w:r>
          </w:p>
        </w:tc>
      </w:tr>
      <w:tr>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Site: Severe weather / damage</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Low–Moderate (basin-dependent)</w:t>
            </w:r>
          </w:p>
        </w:tc>
        <w:tc>
          <w:tcPr>
            <w:tcW w:type="dxa" w:w="16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Medium–High (event-dependent)</w:t>
            </w:r>
          </w:p>
        </w:tc>
        <w:tc>
          <w:tcPr>
            <w:tcW w:type="dxa" w:w="236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Cold-weather spec, insurance, force majeure provisions</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No structure effect.</w:t>
            </w:r>
          </w:p>
        </w:tc>
      </w:tr>
    </w:tbl>
    <w:p>
      <w:pPr>
        <w:spacing w:before="18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Honest Assessment: Which Risks Are Managed and Which Remain</w:t>
      </w:r>
    </w:p>
    <w:p>
      <w:pPr>
        <w:spacing w:before="100" w:after="140"/>
      </w:pPr>
      <w:r>
        <w:rPr>
          <w:rFonts w:ascii="Arial" w:cs="Arial" w:eastAsia="Arial" w:hAnsi="Arial"/>
          <w:color w:val="4A4A4A"/>
          <w:sz w:val="22"/>
          <w:szCs w:val="22"/>
        </w:rPr>
        <w:t xml:space="preserve">No deployment framework eliminates all risk. The three-category framework is useful precisely because it makes clear which risks are well-managed by good structure and which remain as genuine exposures that operators and investors need to accept.</w:t>
      </w:r>
    </w:p>
    <w:p>
      <w:pPr>
        <w:pStyle w:val="ListParagraph"/>
        <w:numPr>
          <w:ilvl w:val="0"/>
          <w:numId w:val="2"/>
        </w:numPr>
        <w:spacing w:before="60" w:after="60"/>
      </w:pPr>
      <w:r>
        <w:rPr>
          <w:rFonts w:ascii="Arial" w:cs="Arial" w:eastAsia="Arial" w:hAnsi="Arial"/>
          <w:b/>
          <w:bCs/>
          <w:color w:val="1A1A1A"/>
          <w:sz w:val="22"/>
          <w:szCs w:val="22"/>
        </w:rPr>
        <w:t xml:space="preserve">Commodity risk</w:t>
      </w:r>
      <w:r>
        <w:rPr>
          <w:rFonts w:ascii="Arial" w:cs="Arial" w:eastAsia="Arial" w:hAnsi="Arial"/>
          <w:color w:val="4A4A4A"/>
          <w:sz w:val="22"/>
          <w:szCs w:val="22"/>
        </w:rPr>
        <w:t xml:space="preserve"> is the most manageable risk in this framework. The hosting structure eliminates it entirely for the operator. It is a choice, not a constraint. Operators who accept commodity risk through revenue share or direct mining structures are making a deliberate decision to exchange stability for upside—and that decision should be made with a clear view of the stress scenarios.</w:t>
      </w:r>
    </w:p>
    <w:p>
      <w:pPr>
        <w:pStyle w:val="ListParagraph"/>
        <w:numPr>
          <w:ilvl w:val="0"/>
          <w:numId w:val="2"/>
        </w:numPr>
        <w:spacing w:before="60" w:after="60"/>
      </w:pPr>
      <w:r>
        <w:rPr>
          <w:rFonts w:ascii="Arial" w:cs="Arial" w:eastAsia="Arial" w:hAnsi="Arial"/>
          <w:b/>
          <w:bCs/>
          <w:color w:val="1A1A1A"/>
          <w:sz w:val="22"/>
          <w:szCs w:val="22"/>
        </w:rPr>
        <w:t xml:space="preserve">Uptime risk</w:t>
      </w:r>
      <w:r>
        <w:rPr>
          <w:rFonts w:ascii="Arial" w:cs="Arial" w:eastAsia="Arial" w:hAnsi="Arial"/>
          <w:color w:val="4A4A4A"/>
          <w:sz w:val="22"/>
          <w:szCs w:val="22"/>
        </w:rPr>
        <w:t xml:space="preserve"> is a function of operator execution quality. It cannot be mitigated by deal structure. The only mitigation is choosing an operator with demonstrated field performance, proper equipment specifications, and contractual service commitments. This is why operator reference checks—specifically asking about actual uptime on worst-performing sites—matter more than any headline number.</w:t>
      </w:r>
    </w:p>
    <w:p>
      <w:pPr>
        <w:pStyle w:val="ListParagraph"/>
        <w:numPr>
          <w:ilvl w:val="0"/>
          <w:numId w:val="2"/>
        </w:numPr>
        <w:spacing w:before="60" w:after="60"/>
      </w:pPr>
      <w:r>
        <w:rPr>
          <w:rFonts w:ascii="Arial" w:cs="Arial" w:eastAsia="Arial" w:hAnsi="Arial"/>
          <w:b/>
          <w:bCs/>
          <w:color w:val="1A1A1A"/>
          <w:sz w:val="22"/>
          <w:szCs w:val="22"/>
        </w:rPr>
        <w:t xml:space="preserve">Site risk</w:t>
      </w:r>
      <w:r>
        <w:rPr>
          <w:rFonts w:ascii="Arial" w:cs="Arial" w:eastAsia="Arial" w:hAnsi="Arial"/>
          <w:color w:val="4A4A4A"/>
          <w:sz w:val="22"/>
          <w:szCs w:val="22"/>
        </w:rPr>
        <w:t xml:space="preserve"> is the most underappreciated category and the one most likely to create surprises. Most operators do the gas quality and economics analysis carefully. Fewer do the lease term verification, the curtailment notice negotiation, and the weather scenario planning with the same rigor. These are not exotic risks—they are normal O&amp;G operational realities that need to be addressed in the deployment agreement before they become disputes.</w:t>
      </w:r>
    </w:p>
    <w:p>
      <w:pPr>
        <w:spacing w:before="80" w:after="80"/>
      </w:pPr>
      <w:r>
        <w:t xml:space="preserve"/>
      </w:r>
    </w:p>
    <w:p>
      <w:pPr>
        <w:spacing w:before="100" w:after="140"/>
      </w:pPr>
      <w:r>
        <w:rPr>
          <w:rFonts w:ascii="Arial" w:cs="Arial" w:eastAsia="Arial" w:hAnsi="Arial"/>
          <w:color w:val="1A1A1A"/>
          <w:sz w:val="22"/>
          <w:szCs w:val="22"/>
        </w:rPr>
        <w:t xml:space="preserve">A deployment that is well-structured across all three risk categories is not risk-free. It is a deployment where the risks have been named, quantified, and addressed—so that the parties know what they signed up for.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Evaluate a specific site against all three risk categories.</w:t>
            </w:r>
          </w:p>
          <w:p>
            <w:pPr>
              <w:spacing w:before="0" w:after="120"/>
              <w:jc w:val="center"/>
            </w:pPr>
            <w:r>
              <w:rPr>
                <w:rFonts w:ascii="Arial" w:cs="Arial" w:eastAsia="Arial" w:hAnsi="Arial"/>
                <w:color w:val="CCCCCC"/>
                <w:sz w:val="22"/>
                <w:szCs w:val="22"/>
              </w:rPr>
              <w:t xml:space="preserve">Run your gas volume, site conditions, and deal structure preference through the site calculator—then book a fit call to work through the full risk framework for your pad.</w:t>
            </w:r>
          </w:p>
          <w:p>
            <w:pPr>
              <w:spacing w:before="0" w:after="0"/>
              <w:jc w:val="center"/>
            </w:pPr>
            <w:r>
              <w:rPr>
                <w:rFonts w:ascii="Arial" w:cs="Arial" w:eastAsia="Arial" w:hAnsi="Arial"/>
                <w:b/>
                <w:bCs/>
                <w:color w:val="E8500A"/>
                <w:sz w:val="26"/>
                <w:szCs w:val="26"/>
              </w:rPr>
              <w:t xml:space="preserve">tools.mcf.digital</w:t>
            </w:r>
            <w:r>
              <w:rPr>
                <w:rFonts w:ascii="Arial" w:cs="Arial" w:eastAsia="Arial" w:hAnsi="Arial"/>
                <w:color w:val="555555"/>
                <w:sz w:val="24"/>
                <w:szCs w:val="24"/>
              </w:rPr>
              <w:t xml:space="preserve">   ·   </w:t>
            </w:r>
            <w:r>
              <w:rPr>
                <w:rFonts w:ascii="Arial" w:cs="Arial" w:eastAsia="Arial" w:hAnsi="Arial"/>
                <w:b/>
                <w:bCs/>
                <w:color w:val="E8500A"/>
                <w:sz w:val="24"/>
                <w:szCs w:val="24"/>
              </w:rPr>
              <w:t xml:space="preserve">Book a 15-minute fit call</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Related Resources</w:t>
      </w:r>
    </w:p>
    <w:p>
      <w:pPr>
        <w:spacing w:before="100" w:after="140"/>
      </w:pPr>
      <w:r>
        <w:rPr>
          <w:rFonts w:ascii="Arial" w:cs="Arial" w:eastAsia="Arial" w:hAnsi="Arial"/>
          <w:color w:val="4A4A4A"/>
          <w:sz w:val="22"/>
          <w:szCs w:val="22"/>
        </w:rPr>
        <w:t xml:space="preserve">Go deeper on the specific risk dimensions covered in this guide:</w:t>
      </w:r>
    </w:p>
    <w:p>
      <w:pPr>
        <w:spacing w:before="60" w:after="4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What Happens to Your Pad When Bitcoin Price Drops 50%? — </w:t>
      </w:r>
      <w:r>
        <w:rPr>
          <w:rFonts w:ascii="Arial" w:cs="Arial" w:eastAsia="Arial" w:hAnsi="Arial"/>
          <w:color w:val="4A4A4A"/>
          <w:sz w:val="22"/>
          <w:szCs w:val="22"/>
        </w:rPr>
        <w:t xml:space="preserve">mcf.digital/operator-guides/bitcoin-price-downside-scenarios</w:t>
      </w:r>
    </w:p>
    <w:p>
      <w:pPr>
        <w:pStyle w:val="ListParagraph"/>
        <w:numPr>
          <w:ilvl w:val="0"/>
          <w:numId w:val="2"/>
        </w:numPr>
        <w:spacing w:before="60" w:after="60"/>
      </w:pPr>
      <w:r>
        <w:rPr>
          <w:rFonts w:ascii="Arial" w:cs="Arial" w:eastAsia="Arial" w:hAnsi="Arial"/>
          <w:b/>
          <w:bCs/>
          <w:color w:val="1A1A1A"/>
          <w:sz w:val="22"/>
          <w:szCs w:val="22"/>
        </w:rPr>
        <w:t xml:space="preserve">The Operator’s Due Diligence Checklist for a Gas-to-Hash Deployment — </w:t>
      </w:r>
      <w:r>
        <w:rPr>
          <w:rFonts w:ascii="Arial" w:cs="Arial" w:eastAsia="Arial" w:hAnsi="Arial"/>
          <w:color w:val="4A4A4A"/>
          <w:sz w:val="22"/>
          <w:szCs w:val="22"/>
        </w:rPr>
        <w:t xml:space="preserve">mcf.digital/operator-guides/due-diligence-checklist</w:t>
      </w:r>
    </w:p>
    <w:p>
      <w:pPr>
        <w:pStyle w:val="ListParagraph"/>
        <w:numPr>
          <w:ilvl w:val="0"/>
          <w:numId w:val="2"/>
        </w:numPr>
        <w:spacing w:before="60" w:after="60"/>
      </w:pPr>
      <w:r>
        <w:rPr>
          <w:rFonts w:ascii="Arial" w:cs="Arial" w:eastAsia="Arial" w:hAnsi="Arial"/>
          <w:b/>
          <w:bCs/>
          <w:color w:val="1A1A1A"/>
          <w:sz w:val="22"/>
          <w:szCs w:val="22"/>
        </w:rPr>
        <w:t xml:space="preserve">What Is Hashprice? — </w:t>
      </w:r>
      <w:r>
        <w:rPr>
          <w:rFonts w:ascii="Arial" w:cs="Arial" w:eastAsia="Arial" w:hAnsi="Arial"/>
          <w:color w:val="4A4A4A"/>
          <w:sz w:val="22"/>
          <w:szCs w:val="22"/>
        </w:rPr>
        <w:t xml:space="preserve">mcf.digital/glossary/what-is-hashprice</w:t>
      </w:r>
    </w:p>
    <w:p>
      <w:pPr>
        <w:pStyle w:val="ListParagraph"/>
        <w:numPr>
          <w:ilvl w:val="0"/>
          <w:numId w:val="2"/>
        </w:numPr>
        <w:spacing w:before="60" w:after="60"/>
      </w:pPr>
      <w:r>
        <w:rPr>
          <w:rFonts w:ascii="Arial" w:cs="Arial" w:eastAsia="Arial" w:hAnsi="Arial"/>
          <w:b/>
          <w:bCs/>
          <w:color w:val="1A1A1A"/>
          <w:sz w:val="22"/>
          <w:szCs w:val="22"/>
        </w:rPr>
        <w:t xml:space="preserve">What Is a Genset Derate? — </w:t>
      </w:r>
      <w:r>
        <w:rPr>
          <w:rFonts w:ascii="Arial" w:cs="Arial" w:eastAsia="Arial" w:hAnsi="Arial"/>
          <w:color w:val="4A4A4A"/>
          <w:sz w:val="22"/>
          <w:szCs w:val="22"/>
        </w:rPr>
        <w:t xml:space="preserve">mcf.digital/glossary/what-is-genset-derate</w:t>
      </w:r>
    </w:p>
    <w:p>
      <w:pPr>
        <w:pStyle w:val="ListParagraph"/>
        <w:numPr>
          <w:ilvl w:val="0"/>
          <w:numId w:val="2"/>
        </w:numPr>
        <w:spacing w:before="60" w:after="60"/>
      </w:pPr>
      <w:r>
        <w:rPr>
          <w:rFonts w:ascii="Arial" w:cs="Arial" w:eastAsia="Arial" w:hAnsi="Arial"/>
          <w:b/>
          <w:bCs/>
          <w:color w:val="1A1A1A"/>
          <w:sz w:val="22"/>
          <w:szCs w:val="22"/>
        </w:rPr>
        <w:t xml:space="preserve">What Is Custody-First Bitcoin Payout? — </w:t>
      </w:r>
      <w:r>
        <w:rPr>
          <w:rFonts w:ascii="Arial" w:cs="Arial" w:eastAsia="Arial" w:hAnsi="Arial"/>
          <w:color w:val="4A4A4A"/>
          <w:sz w:val="22"/>
          <w:szCs w:val="22"/>
        </w:rPr>
        <w:t xml:space="preserve">mcf.digital/glossary/what-is-custody-first-bitcoin-payout</w:t>
      </w:r>
    </w:p>
    <w:p>
      <w:pPr>
        <w:pStyle w:val="ListParagraph"/>
        <w:numPr>
          <w:ilvl w:val="0"/>
          <w:numId w:val="2"/>
        </w:numPr>
        <w:spacing w:before="60" w:after="60"/>
      </w:pPr>
      <w:r>
        <w:rPr>
          <w:rFonts w:ascii="Arial" w:cs="Arial" w:eastAsia="Arial" w:hAnsi="Arial"/>
          <w:b/>
          <w:bCs/>
          <w:color w:val="1A1A1A"/>
          <w:sz w:val="22"/>
          <w:szCs w:val="22"/>
        </w:rPr>
        <w:t xml:space="preserve">Investing in Stranded Gas Bitcoin Mining: A Family Office and HNWI Primer — </w:t>
      </w:r>
      <w:r>
        <w:rPr>
          <w:rFonts w:ascii="Arial" w:cs="Arial" w:eastAsia="Arial" w:hAnsi="Arial"/>
          <w:color w:val="4A4A4A"/>
          <w:sz w:val="22"/>
          <w:szCs w:val="22"/>
        </w:rPr>
        <w:t xml:space="preserve">mcf.digital/guides/hnwi-family-office-primer</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Operators, Investors  ·  Category: Operator Guide  ·  mcf.digital/operator-guides/three-risk-categories</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mcf.digital/operator-guides/three-risk-categories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OPERATOR GUIDE  |  The Three Risk Categories in Gas-to-Hash Deployments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2026-02-26T19:54:42.484Z</dcterms:created>
  <dcterms:modified xsi:type="dcterms:W3CDTF">2026-02-26T19:54:42.485Z</dcterms:modified>
</cp:coreProperties>
</file>

<file path=docProps/custom.xml><?xml version="1.0" encoding="utf-8"?>
<Properties xmlns="http://schemas.openxmlformats.org/officeDocument/2006/custom-properties" xmlns:vt="http://schemas.openxmlformats.org/officeDocument/2006/docPropsVTypes"/>
</file>