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PILLAR GUIDE  //  DEFINITIVE REFERENCE</w:t>
      </w:r>
    </w:p>
    <w:p>
      <w:pPr>
        <w:spacing w:before="0" w:after="60"/>
      </w:pPr>
      <w:r>
        <w:rPr>
          <w:rFonts w:ascii="Arial" w:cs="Arial" w:eastAsia="Arial" w:hAnsi="Arial"/>
          <w:b/>
          <w:bCs/>
          <w:color w:val="1A1A1A"/>
          <w:sz w:val="52"/>
          <w:szCs w:val="52"/>
        </w:rPr>
        <w:t xml:space="preserve">The Complete Guide to</w:t>
      </w:r>
    </w:p>
    <w:p>
      <w:pPr>
        <w:spacing w:before="0" w:after="200"/>
      </w:pPr>
      <w:r>
        <w:rPr>
          <w:rFonts w:ascii="Arial" w:cs="Arial" w:eastAsia="Arial" w:hAnsi="Arial"/>
          <w:b/>
          <w:bCs/>
          <w:color w:val="E8500A"/>
          <w:sz w:val="52"/>
          <w:szCs w:val="52"/>
        </w:rPr>
        <w:t xml:space="preserve">Flare Gas Bitcoin Mining</w:t>
      </w:r>
    </w:p>
    <w:p>
      <w:pPr>
        <w:pBdr>
          <w:bottom w:val="single" w:color="E8D5CC" w:sz="6" w:space="4"/>
        </w:pBdr>
        <w:spacing w:before="0" w:after="320"/>
      </w:pPr>
      <w:r>
        <w:rPr>
          <w:rFonts w:ascii="Arial" w:cs="Arial" w:eastAsia="Arial" w:hAnsi="Arial"/>
          <w:color w:val="4A4A4A"/>
          <w:sz w:val="24"/>
          <w:szCs w:val="24"/>
        </w:rPr>
        <w:t xml:space="preserve">Every year, the global oil and gas industry burns approximately 140 billion cubic meters of natural gas into the atmosphere. That flaring represents roughly $30 billion in wasted energy value—gas that could be monetized but isn’t, primarily because it sits too far from infrastructure to move economically. Flare gas Bitcoin mining changes that equation. This guide covers everything: the history, the technology, the regulations, the basins, the deal structures, and the feasibility framework for operators considering a deployment.</w:t>
      </w:r>
    </w:p>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140"/>
              <w:left w:type="dxa" w:w="180"/>
              <w:bottom w:type="dxa" w:w="140"/>
              <w:right w:type="dxa" w:w="180"/>
            </w:tcMar>
          </w:tcPr>
          <w:p>
            <w:pPr>
              <w:jc w:val="center"/>
            </w:pPr>
            <w:r>
              <w:rPr>
                <w:rFonts w:ascii="Arial" w:cs="Arial" w:eastAsia="Arial" w:hAnsi="Arial"/>
                <w:b/>
                <w:bCs/>
                <w:color w:val="E8500A"/>
                <w:sz w:val="24"/>
                <w:szCs w:val="24"/>
              </w:rPr>
              <w:t xml:space="preserve">~140 BCM</w:t>
            </w:r>
          </w:p>
        </w:tc>
        <w:tc>
          <w:tcPr>
            <w:tcW w:type="dxa" w:w="3120"/>
            <w:tcBorders>
              <w:top w:val="single" w:color="DDDDDD" w:sz="1"/>
              <w:left w:val="single" w:color="DDDDDD" w:sz="1"/>
              <w:bottom w:val="single" w:color="DDDDDD" w:sz="1"/>
              <w:right w:val="single" w:color="DDDDDD" w:sz="1"/>
            </w:tcBorders>
            <w:shd w:fill="1A1A1A" w:val="clear"/>
            <w:tcMar>
              <w:top w:type="dxa" w:w="140"/>
              <w:left w:type="dxa" w:w="180"/>
              <w:bottom w:type="dxa" w:w="140"/>
              <w:right w:type="dxa" w:w="180"/>
            </w:tcMar>
          </w:tcPr>
          <w:p>
            <w:pPr>
              <w:jc w:val="center"/>
            </w:pPr>
            <w:r>
              <w:rPr>
                <w:rFonts w:ascii="Arial" w:cs="Arial" w:eastAsia="Arial" w:hAnsi="Arial"/>
                <w:b/>
                <w:bCs/>
                <w:color w:val="E8500A"/>
                <w:sz w:val="24"/>
                <w:szCs w:val="24"/>
              </w:rPr>
              <w:t xml:space="preserve">~$30 Billion</w:t>
            </w:r>
          </w:p>
        </w:tc>
        <w:tc>
          <w:tcPr>
            <w:tcW w:type="dxa" w:w="3120"/>
            <w:tcBorders>
              <w:top w:val="single" w:color="DDDDDD" w:sz="1"/>
              <w:left w:val="single" w:color="DDDDDD" w:sz="1"/>
              <w:bottom w:val="single" w:color="DDDDDD" w:sz="1"/>
              <w:right w:val="single" w:color="DDDDDD" w:sz="1"/>
            </w:tcBorders>
            <w:shd w:fill="1A1A1A" w:val="clear"/>
            <w:tcMar>
              <w:top w:type="dxa" w:w="140"/>
              <w:left w:type="dxa" w:w="180"/>
              <w:bottom w:type="dxa" w:w="140"/>
              <w:right w:type="dxa" w:w="180"/>
            </w:tcMar>
          </w:tcPr>
          <w:p>
            <w:pPr>
              <w:jc w:val="center"/>
            </w:pPr>
            <w:r>
              <w:rPr>
                <w:rFonts w:ascii="Arial" w:cs="Arial" w:eastAsia="Arial" w:hAnsi="Arial"/>
                <w:b/>
                <w:bCs/>
                <w:color w:val="E8500A"/>
                <w:sz w:val="24"/>
                <w:szCs w:val="24"/>
              </w:rPr>
              <w:t xml:space="preserve">4 Deal Structures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color w:val="4A4A4A"/>
                <w:sz w:val="20"/>
                <w:szCs w:val="20"/>
              </w:rPr>
              <w:t xml:space="preserve">Gas flared globally each year
(World Bank GGFR, 2024 est.)</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jc w:val="center"/>
            </w:pPr>
            <w:r>
              <w:rPr>
                <w:rFonts w:ascii="Arial" w:cs="Arial" w:eastAsia="Arial" w:hAnsi="Arial"/>
                <w:color w:val="4A4A4A"/>
                <w:sz w:val="20"/>
                <w:szCs w:val="20"/>
              </w:rPr>
              <w:t xml:space="preserve">Annual wasted wellhead
energy value from flaring</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color w:val="4A4A4A"/>
                <w:sz w:val="20"/>
                <w:szCs w:val="20"/>
              </w:rPr>
              <w:t xml:space="preserve">Available to operators—from zero
BTC exposure to full mining economics</w:t>
            </w:r>
          </w:p>
        </w:tc>
      </w:tr>
    </w:tbl>
    <w:p>
      <w:pPr>
        <w:spacing w:before="24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What Flaring Is and Why It Persists</w:t>
      </w:r>
    </w:p>
    <w:p>
      <w:pPr>
        <w:spacing w:before="100" w:after="140"/>
      </w:pPr>
      <w:r>
        <w:rPr>
          <w:rFonts w:ascii="Arial" w:cs="Arial" w:eastAsia="Arial" w:hAnsi="Arial"/>
          <w:color w:val="4A4A4A"/>
          <w:sz w:val="22"/>
          <w:szCs w:val="22"/>
        </w:rPr>
        <w:t xml:space="preserve">Flaring is the controlled combustion of natural gas at the wellhead. It is not an accident or a malfunction—it is a deliberate operational decision made when the cost of capturing and transporting gas exceeds its market value. Gas that would generate negative netback after gathering, compression, and pipeline tariff costs is cheaper to burn than to sell. That calculation has persisted for more than a century of oil and gas production.</w:t>
      </w:r>
    </w:p>
    <w:p>
      <w:pPr>
        <w:spacing w:before="100" w:after="140"/>
      </w:pPr>
      <w:r>
        <w:rPr>
          <w:rFonts w:ascii="Arial" w:cs="Arial" w:eastAsia="Arial" w:hAnsi="Arial"/>
          <w:color w:val="4A4A4A"/>
          <w:sz w:val="22"/>
          <w:szCs w:val="22"/>
        </w:rPr>
        <w:t xml:space="preserve">The economic logic is oil-driven. Most major flaring occurs at oil wells where gas is a byproduct—associated gas that comes up with the crude whether the operator wants it or not. The operator’s revenue is oil. The gas is a disposal problem that requires infrastructure to solve. In basins where gathering infrastructure hasn’t caught up with drilling activity, or where the associated gas volumes are too small to justify a pipeline connection, flaring is the default.</w:t>
      </w:r>
    </w:p>
    <w:p>
      <w:pPr>
        <w:spacing w:before="100" w:after="140"/>
      </w:pPr>
      <w:r>
        <w:rPr>
          <w:rFonts w:ascii="Arial" w:cs="Arial" w:eastAsia="Arial" w:hAnsi="Arial"/>
          <w:color w:val="4A4A4A"/>
          <w:sz w:val="22"/>
          <w:szCs w:val="22"/>
        </w:rPr>
        <w:t xml:space="preserve">The Permian Basin in West Texas accounts for the largest share of U.S. flaring, followed by the Bakken in North Dakota, the Eagle Ford in South Texas, and the DJ Basin in Colorado. Each basin has a different regulatory environment, a different infrastructure maturity level, and a different economic profile for the operators considering alternatives to flaring.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1A" w:val="clear"/>
            <w:tcMar>
              <w:top w:type="dxa" w:w="140"/>
              <w:left w:type="dxa" w:w="180"/>
              <w:bottom w:type="dxa" w:w="140"/>
              <w:right w:type="dxa" w:w="180"/>
            </w:tcMar>
          </w:tcPr>
          <w:p>
            <w:pPr>
              <w:jc w:val="center"/>
            </w:pPr>
            <w:r>
              <w:rPr>
                <w:rFonts w:ascii="Arial" w:cs="Arial" w:eastAsia="Arial" w:hAnsi="Arial"/>
                <w:b/>
                <w:bCs/>
                <w:color w:val="E8500A"/>
                <w:sz w:val="24"/>
                <w:szCs w:val="24"/>
              </w:rPr>
              <w:t xml:space="preserve">Permian Basin</w:t>
            </w:r>
          </w:p>
        </w:tc>
        <w:tc>
          <w:tcPr>
            <w:tcW w:type="dxa" w:w="3120"/>
            <w:tcBorders>
              <w:top w:val="single" w:color="DDDDDD" w:sz="1"/>
              <w:left w:val="single" w:color="DDDDDD" w:sz="1"/>
              <w:bottom w:val="single" w:color="DDDDDD" w:sz="1"/>
              <w:right w:val="single" w:color="DDDDDD" w:sz="1"/>
            </w:tcBorders>
            <w:shd w:fill="1A1A1A" w:val="clear"/>
            <w:tcMar>
              <w:top w:type="dxa" w:w="140"/>
              <w:left w:type="dxa" w:w="180"/>
              <w:bottom w:type="dxa" w:w="140"/>
              <w:right w:type="dxa" w:w="180"/>
            </w:tcMar>
          </w:tcPr>
          <w:p>
            <w:pPr>
              <w:jc w:val="center"/>
            </w:pPr>
            <w:r>
              <w:rPr>
                <w:rFonts w:ascii="Arial" w:cs="Arial" w:eastAsia="Arial" w:hAnsi="Arial"/>
                <w:b/>
                <w:bCs/>
                <w:color w:val="E8500A"/>
                <w:sz w:val="24"/>
                <w:szCs w:val="24"/>
              </w:rPr>
              <w:t xml:space="preserve">Bakken (ND)</w:t>
            </w:r>
          </w:p>
        </w:tc>
        <w:tc>
          <w:tcPr>
            <w:tcW w:type="dxa" w:w="3120"/>
            <w:tcBorders>
              <w:top w:val="single" w:color="DDDDDD" w:sz="1"/>
              <w:left w:val="single" w:color="DDDDDD" w:sz="1"/>
              <w:bottom w:val="single" w:color="DDDDDD" w:sz="1"/>
              <w:right w:val="single" w:color="DDDDDD" w:sz="1"/>
            </w:tcBorders>
            <w:shd w:fill="1A1A1A" w:val="clear"/>
            <w:tcMar>
              <w:top w:type="dxa" w:w="140"/>
              <w:left w:type="dxa" w:w="180"/>
              <w:bottom w:type="dxa" w:w="140"/>
              <w:right w:type="dxa" w:w="180"/>
            </w:tcMar>
          </w:tcPr>
          <w:p>
            <w:pPr>
              <w:jc w:val="center"/>
            </w:pPr>
            <w:r>
              <w:rPr>
                <w:rFonts w:ascii="Arial" w:cs="Arial" w:eastAsia="Arial" w:hAnsi="Arial"/>
                <w:b/>
                <w:bCs/>
                <w:color w:val="E8500A"/>
                <w:sz w:val="24"/>
                <w:szCs w:val="24"/>
              </w:rPr>
              <w:t xml:space="preserve">Eagle Ford (TX)</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color w:val="4A4A4A"/>
                <w:sz w:val="20"/>
                <w:szCs w:val="20"/>
              </w:rPr>
              <w:t xml:space="preserve">Largest U.S. flaring volume—Delaware
&amp; Midland Basin associated gas</w:t>
            </w:r>
          </w:p>
        </w:tc>
        <w:tc>
          <w:tcPr>
            <w:tcW w:type="dxa" w:w="312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pPr>
              <w:jc w:val="center"/>
            </w:pPr>
            <w:r>
              <w:rPr>
                <w:rFonts w:ascii="Arial" w:cs="Arial" w:eastAsia="Arial" w:hAnsi="Arial"/>
                <w:color w:val="4A4A4A"/>
                <w:sz w:val="20"/>
                <w:szCs w:val="20"/>
              </w:rPr>
              <w:t xml:space="preserve">Historically highest flaring rate
per barrel; NDIC 95% capture rule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color w:val="4A4A4A"/>
                <w:sz w:val="20"/>
                <w:szCs w:val="20"/>
              </w:rPr>
              <w:t xml:space="preserve">Oil-window associated gas;
TCEQ / EPA methane fee pressure</w:t>
            </w:r>
          </w:p>
        </w:tc>
      </w:tr>
    </w:tbl>
    <w:p>
      <w:pPr>
        <w:spacing w:before="18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Why Bitcoin Mining Emerged as the Monetization Solution</w:t>
      </w:r>
    </w:p>
    <w:p>
      <w:pPr>
        <w:spacing w:before="100" w:after="140"/>
      </w:pPr>
      <w:r>
        <w:rPr>
          <w:rFonts w:ascii="Arial" w:cs="Arial" w:eastAsia="Arial" w:hAnsi="Arial"/>
          <w:color w:val="4A4A4A"/>
          <w:sz w:val="22"/>
          <w:szCs w:val="22"/>
        </w:rPr>
        <w:t xml:space="preserve">Several alternatives to flaring have been deployed at various scales: gas reinjection, compressed natural gas (CNG) trucking, small-scale LNG, gas-to-wire grid connection, and on-site power for lease operations. Each has limitations that have prevented wide-scale adoption. Gas reinjection requires reservoir compatibility and injection infrastructure. CNG trucking is expensive and requires continuous logistics. Grid connection requires proximity to transmission lines and long interconnect timelines. On-site lease power generation is limited by the operator’s own electrical demand.</w:t>
      </w:r>
    </w:p>
    <w:p>
      <w:pPr>
        <w:spacing w:before="100" w:after="140"/>
      </w:pPr>
      <w:r>
        <w:rPr>
          <w:rFonts w:ascii="Arial" w:cs="Arial" w:eastAsia="Arial" w:hAnsi="Arial"/>
          <w:color w:val="4A4A4A"/>
          <w:sz w:val="22"/>
          <w:szCs w:val="22"/>
        </w:rPr>
        <w:t xml:space="preserve">Bitcoin mining fills a gap that none of these alternatives address well: it provides an immediate, location-independent, scalable buyer for wellhead gas—with no pipeline, no grid connection, and no minimum volume commitment to a midstream counterparty. A Bitcoin mining system can be deployed at a remote pad in 5–10 weeks, begin converting gas to revenue on day one, and scale up or down as gas volumes change. The economics reset continuously with Bitcoin’s price and the network’s difficulty adjustment, but the floor—the value of gas that was previously being burned at zero—is always zero. Any positive revenue is an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THE CORE ECONOMIC LOGIC</w:t>
            </w:r>
          </w:p>
          <w:p>
            <w:pPr>
              <w:spacing w:before="0" w:after="0"/>
            </w:pPr>
            <w:r>
              <w:rPr>
                <w:rFonts w:ascii="Arial" w:cs="Arial" w:eastAsia="Arial" w:hAnsi="Arial"/>
                <w:color w:val="4A4A4A"/>
                <w:sz w:val="22"/>
                <w:szCs w:val="22"/>
              </w:rPr>
              <w:t xml:space="preserve">Gas currently being flared has a revenue value of exactly $0. Any deal structure that converts flared gas to on-lease mining revenue—even under stressed Bitcoin price scenarios—is an improvement over the current baseline. The economics are not “flare gas Bitcoin mining vs. selling gas to the pipeline.” They are “flare gas Bitcoin mining vs. burning it for free.”</w:t>
            </w:r>
          </w:p>
        </w:tc>
      </w:tr>
    </w:tbl>
    <w:p>
      <w:pPr>
        <w:spacing w:before="180" w:after="120"/>
      </w:pPr>
      <w:r>
        <w:t xml:space="preserve"/>
      </w:r>
    </w:p>
    <w:p>
      <w:pPr>
        <w:spacing w:before="100" w:after="140"/>
      </w:pPr>
      <w:r>
        <w:rPr>
          <w:rFonts w:ascii="Arial" w:cs="Arial" w:eastAsia="Arial" w:hAnsi="Arial"/>
          <w:color w:val="4A4A4A"/>
          <w:sz w:val="22"/>
          <w:szCs w:val="22"/>
        </w:rPr>
        <w:t xml:space="preserve">The other properties that make Bitcoin mining uniquely suited to stranded gas monetization: ASIC miners operate continuously, 24 hours a day, 7 days a week—matching the continuous flow of wellhead gas. They require no human labor beyond occasional maintenance. They are containerized and portable, making them deployable at remote pads without permanent infrastructure. And they produce revenue that is not correlated with oil or natural gas prices—adding a non-correlated revenue stream to an operation that is already heavily exposed to commodity markets.</w:t>
      </w:r>
    </w:p>
    <w:p>
      <w:pPr>
        <w:spacing w:before="80" w:after="8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The Full Technology Stack: How Gas Becomes Bitcoin</w:t>
      </w:r>
    </w:p>
    <w:p>
      <w:pPr>
        <w:spacing w:before="100" w:after="140"/>
      </w:pPr>
      <w:r>
        <w:rPr>
          <w:rFonts w:ascii="Arial" w:cs="Arial" w:eastAsia="Arial" w:hAnsi="Arial"/>
          <w:color w:val="4A4A4A"/>
          <w:sz w:val="22"/>
          <w:szCs w:val="22"/>
        </w:rPr>
        <w:t xml:space="preserve">A gas-to-hash deployment converts wellhead natural gas into Bitcoin through a five-step system. Each step has engineering requirements that must be matched to the specific conditions of the deployment site. Understanding the full stack—not just the end result—is what separates deployments that perform from those that underdeliver.</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single" w:color="E8500A" w:sz="6"/>
            </w:tcBorders>
            <w:shd w:fill="1A1A1A" w:val="clear"/>
            <w:tcMar>
              <w:top w:type="dxa" w:w="160"/>
              <w:left w:type="dxa" w:w="200"/>
              <w:bottom w:type="dxa" w:w="160"/>
              <w:right w:type="dxa" w:w="200"/>
            </w:tcMar>
            <w:vAlign w:val="center"/>
          </w:tcPr>
          <w:p>
            <w:pPr>
              <w:jc w:val="center"/>
            </w:pPr>
            <w:r>
              <w:rPr>
                <w:rFonts w:ascii="Arial" w:cs="Arial" w:eastAsia="Arial" w:hAnsi="Arial"/>
                <w:b/>
                <w:bCs/>
                <w:color w:val="E8500A"/>
                <w:sz w:val="36"/>
                <w:szCs w:val="36"/>
              </w:rPr>
              <w:t xml:space="preserve">1</w:t>
            </w:r>
          </w:p>
        </w:tc>
        <w:tc>
          <w:tcPr>
            <w:tcW w:type="dxa" w:w="8360"/>
            <w:tcBorders>
              <w:top w:val="none" w:color="FFFFFF" w:sz="0"/>
              <w:left w:val="none" w:color="FFFFFF" w:sz="0"/>
              <w:bottom w:val="none" w:color="FFFFFF" w:sz="0"/>
              <w:right w:val="none" w:color="FFFFFF" w:sz="0"/>
            </w:tcBorders>
            <w:shd w:fill="F8F8F8" w:val="clear"/>
            <w:tcMar>
              <w:top w:type="dxa" w:w="140"/>
              <w:left w:type="dxa" w:w="200"/>
              <w:bottom w:type="dxa" w:w="140"/>
              <w:right w:type="dxa" w:w="200"/>
            </w:tcMar>
          </w:tcPr>
          <w:p>
            <w:pPr>
              <w:spacing w:before="0" w:after="60"/>
            </w:pPr>
            <w:r>
              <w:rPr>
                <w:rFonts w:ascii="Arial" w:cs="Arial" w:eastAsia="Arial" w:hAnsi="Arial"/>
                <w:b/>
                <w:bCs/>
                <w:color w:val="1A1A1A"/>
                <w:sz w:val="22"/>
                <w:szCs w:val="22"/>
              </w:rPr>
              <w:t xml:space="preserve">Wellhead Gas Conditioning</w:t>
            </w:r>
          </w:p>
          <w:p>
            <w:pPr>
              <w:spacing w:before="0" w:after="0"/>
            </w:pPr>
            <w:r>
              <w:rPr>
                <w:rFonts w:ascii="Arial" w:cs="Arial" w:eastAsia="Arial" w:hAnsi="Arial"/>
                <w:color w:val="4A4A4A"/>
                <w:sz w:val="20"/>
                <w:szCs w:val="20"/>
              </w:rPr>
              <w:t xml:space="preserve">Gas is drawn from the wellhead stream upstream of the flare. Pressure regulation brings wellhead pressure (which can range from 25 psi to 1,000+ psi on new Bakken wells) down to the generator set’s inlet specification, typically 2–7 inches water column. Gas analysis confirms BTU content, methane number, and H2S levels that determine genset compatibility.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single" w:color="E8500A" w:sz="6"/>
            </w:tcBorders>
            <w:shd w:fill="1A1A1A" w:val="clear"/>
            <w:tcMar>
              <w:top w:type="dxa" w:w="160"/>
              <w:left w:type="dxa" w:w="200"/>
              <w:bottom w:type="dxa" w:w="160"/>
              <w:right w:type="dxa" w:w="200"/>
            </w:tcMar>
            <w:vAlign w:val="center"/>
          </w:tcPr>
          <w:p>
            <w:pPr>
              <w:jc w:val="center"/>
            </w:pPr>
            <w:r>
              <w:rPr>
                <w:rFonts w:ascii="Arial" w:cs="Arial" w:eastAsia="Arial" w:hAnsi="Arial"/>
                <w:b/>
                <w:bCs/>
                <w:color w:val="E8500A"/>
                <w:sz w:val="36"/>
                <w:szCs w:val="36"/>
              </w:rPr>
              <w:t xml:space="preserve">2</w:t>
            </w:r>
          </w:p>
        </w:tc>
        <w:tc>
          <w:tcPr>
            <w:tcW w:type="dxa" w:w="8360"/>
            <w:tcBorders>
              <w:top w:val="none" w:color="FFFFFF" w:sz="0"/>
              <w:left w:val="none" w:color="FFFFFF" w:sz="0"/>
              <w:bottom w:val="none" w:color="FFFFFF" w:sz="0"/>
              <w:right w:val="none" w:color="FFFFFF" w:sz="0"/>
            </w:tcBorders>
            <w:shd w:fill="F8F8F8" w:val="clear"/>
            <w:tcMar>
              <w:top w:type="dxa" w:w="140"/>
              <w:left w:type="dxa" w:w="200"/>
              <w:bottom w:type="dxa" w:w="140"/>
              <w:right w:type="dxa" w:w="200"/>
            </w:tcMar>
          </w:tcPr>
          <w:p>
            <w:pPr>
              <w:spacing w:before="0" w:after="60"/>
            </w:pPr>
            <w:r>
              <w:rPr>
                <w:rFonts w:ascii="Arial" w:cs="Arial" w:eastAsia="Arial" w:hAnsi="Arial"/>
                <w:b/>
                <w:bCs/>
                <w:color w:val="1A1A1A"/>
                <w:sz w:val="22"/>
                <w:szCs w:val="22"/>
              </w:rPr>
              <w:t xml:space="preserve">Generator Set (Genset) Power Generation</w:t>
            </w:r>
          </w:p>
          <w:p>
            <w:pPr>
              <w:spacing w:before="0" w:after="0"/>
            </w:pPr>
            <w:r>
              <w:rPr>
                <w:rFonts w:ascii="Arial" w:cs="Arial" w:eastAsia="Arial" w:hAnsi="Arial"/>
                <w:color w:val="4A4A4A"/>
                <w:sz w:val="20"/>
                <w:szCs w:val="20"/>
              </w:rPr>
              <w:t xml:space="preserve">A spark-ignited natural gas generator converts the fuel gas stream to electrical power. Genset selection is the most critical equipment decision in the deployment. The generator must be rated for the specific gas composition (methane number), derated for site altitude and ambient temperature, and—for northern deployments—equipped with cold-weather packages for reliable operation below 0°F.</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single" w:color="E8500A" w:sz="6"/>
            </w:tcBorders>
            <w:shd w:fill="1A1A1A" w:val="clear"/>
            <w:tcMar>
              <w:top w:type="dxa" w:w="160"/>
              <w:left w:type="dxa" w:w="200"/>
              <w:bottom w:type="dxa" w:w="160"/>
              <w:right w:type="dxa" w:w="200"/>
            </w:tcMar>
            <w:vAlign w:val="center"/>
          </w:tcPr>
          <w:p>
            <w:pPr>
              <w:jc w:val="center"/>
            </w:pPr>
            <w:r>
              <w:rPr>
                <w:rFonts w:ascii="Arial" w:cs="Arial" w:eastAsia="Arial" w:hAnsi="Arial"/>
                <w:b/>
                <w:bCs/>
                <w:color w:val="E8500A"/>
                <w:sz w:val="36"/>
                <w:szCs w:val="36"/>
              </w:rPr>
              <w:t xml:space="preserve">3</w:t>
            </w:r>
          </w:p>
        </w:tc>
        <w:tc>
          <w:tcPr>
            <w:tcW w:type="dxa" w:w="8360"/>
            <w:tcBorders>
              <w:top w:val="none" w:color="FFFFFF" w:sz="0"/>
              <w:left w:val="none" w:color="FFFFFF" w:sz="0"/>
              <w:bottom w:val="none" w:color="FFFFFF" w:sz="0"/>
              <w:right w:val="none" w:color="FFFFFF" w:sz="0"/>
            </w:tcBorders>
            <w:shd w:fill="F8F8F8" w:val="clear"/>
            <w:tcMar>
              <w:top w:type="dxa" w:w="140"/>
              <w:left w:type="dxa" w:w="200"/>
              <w:bottom w:type="dxa" w:w="140"/>
              <w:right w:type="dxa" w:w="200"/>
            </w:tcMar>
          </w:tcPr>
          <w:p>
            <w:pPr>
              <w:spacing w:before="0" w:after="60"/>
            </w:pPr>
            <w:r>
              <w:rPr>
                <w:rFonts w:ascii="Arial" w:cs="Arial" w:eastAsia="Arial" w:hAnsi="Arial"/>
                <w:b/>
                <w:bCs/>
                <w:color w:val="1A1A1A"/>
                <w:sz w:val="22"/>
                <w:szCs w:val="22"/>
              </w:rPr>
              <w:t xml:space="preserve">Power Conditioning and Distribution</w:t>
            </w:r>
          </w:p>
          <w:p>
            <w:pPr>
              <w:spacing w:before="0" w:after="0"/>
            </w:pPr>
            <w:r>
              <w:rPr>
                <w:rFonts w:ascii="Arial" w:cs="Arial" w:eastAsia="Arial" w:hAnsi="Arial"/>
                <w:color w:val="4A4A4A"/>
                <w:sz w:val="20"/>
                <w:szCs w:val="20"/>
              </w:rPr>
              <w:t xml:space="preserve">Raw generator output is conditioned to the voltage and frequency specifications required by the mining containers. A switchgear and distribution panel routes power to individual container feeds. Power quality monitoring protects mining equipment from voltage fluctuations that can damage ASIC chips.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single" w:color="E8500A" w:sz="6"/>
            </w:tcBorders>
            <w:shd w:fill="1A1A1A" w:val="clear"/>
            <w:tcMar>
              <w:top w:type="dxa" w:w="160"/>
              <w:left w:type="dxa" w:w="200"/>
              <w:bottom w:type="dxa" w:w="160"/>
              <w:right w:type="dxa" w:w="200"/>
            </w:tcMar>
            <w:vAlign w:val="center"/>
          </w:tcPr>
          <w:p>
            <w:pPr>
              <w:jc w:val="center"/>
            </w:pPr>
            <w:r>
              <w:rPr>
                <w:rFonts w:ascii="Arial" w:cs="Arial" w:eastAsia="Arial" w:hAnsi="Arial"/>
                <w:b/>
                <w:bCs/>
                <w:color w:val="E8500A"/>
                <w:sz w:val="36"/>
                <w:szCs w:val="36"/>
              </w:rPr>
              <w:t xml:space="preserve">4</w:t>
            </w:r>
          </w:p>
        </w:tc>
        <w:tc>
          <w:tcPr>
            <w:tcW w:type="dxa" w:w="8360"/>
            <w:tcBorders>
              <w:top w:val="none" w:color="FFFFFF" w:sz="0"/>
              <w:left w:val="none" w:color="FFFFFF" w:sz="0"/>
              <w:bottom w:val="none" w:color="FFFFFF" w:sz="0"/>
              <w:right w:val="none" w:color="FFFFFF" w:sz="0"/>
            </w:tcBorders>
            <w:shd w:fill="F8F8F8" w:val="clear"/>
            <w:tcMar>
              <w:top w:type="dxa" w:w="140"/>
              <w:left w:type="dxa" w:w="200"/>
              <w:bottom w:type="dxa" w:w="140"/>
              <w:right w:type="dxa" w:w="200"/>
            </w:tcMar>
          </w:tcPr>
          <w:p>
            <w:pPr>
              <w:spacing w:before="0" w:after="60"/>
            </w:pPr>
            <w:r>
              <w:rPr>
                <w:rFonts w:ascii="Arial" w:cs="Arial" w:eastAsia="Arial" w:hAnsi="Arial"/>
                <w:b/>
                <w:bCs/>
                <w:color w:val="1A1A1A"/>
                <w:sz w:val="22"/>
                <w:szCs w:val="22"/>
              </w:rPr>
              <w:t xml:space="preserve">ASIC Mining Containers</w:t>
            </w:r>
          </w:p>
          <w:p>
            <w:pPr>
              <w:spacing w:before="0" w:after="0"/>
            </w:pPr>
            <w:r>
              <w:rPr>
                <w:rFonts w:ascii="Arial" w:cs="Arial" w:eastAsia="Arial" w:hAnsi="Arial"/>
                <w:color w:val="4A4A4A"/>
                <w:sz w:val="20"/>
                <w:szCs w:val="20"/>
              </w:rPr>
              <w:t xml:space="preserve">Application-Specific Integrated Circuit (ASIC) miners perform the SHA-256 hash computations that validate Bitcoin transactions and produce new blocks. Modern ASIC miners operate at 100–200+ terahashes per second (TH/s) per unit. Containers hold 200–400 ASIC units, providing thermal management (cooling or heating depending on climate) and connectivity infrastructure.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single" w:color="E8500A" w:sz="6"/>
            </w:tcBorders>
            <w:shd w:fill="1A1A1A" w:val="clear"/>
            <w:tcMar>
              <w:top w:type="dxa" w:w="160"/>
              <w:left w:type="dxa" w:w="200"/>
              <w:bottom w:type="dxa" w:w="160"/>
              <w:right w:type="dxa" w:w="200"/>
            </w:tcMar>
            <w:vAlign w:val="center"/>
          </w:tcPr>
          <w:p>
            <w:pPr>
              <w:jc w:val="center"/>
            </w:pPr>
            <w:r>
              <w:rPr>
                <w:rFonts w:ascii="Arial" w:cs="Arial" w:eastAsia="Arial" w:hAnsi="Arial"/>
                <w:b/>
                <w:bCs/>
                <w:color w:val="E8500A"/>
                <w:sz w:val="36"/>
                <w:szCs w:val="36"/>
              </w:rPr>
              <w:t xml:space="preserve">5</w:t>
            </w:r>
          </w:p>
        </w:tc>
        <w:tc>
          <w:tcPr>
            <w:tcW w:type="dxa" w:w="8360"/>
            <w:tcBorders>
              <w:top w:val="none" w:color="FFFFFF" w:sz="0"/>
              <w:left w:val="none" w:color="FFFFFF" w:sz="0"/>
              <w:bottom w:val="none" w:color="FFFFFF" w:sz="0"/>
              <w:right w:val="none" w:color="FFFFFF" w:sz="0"/>
            </w:tcBorders>
            <w:shd w:fill="F8F8F8" w:val="clear"/>
            <w:tcMar>
              <w:top w:type="dxa" w:w="140"/>
              <w:left w:type="dxa" w:w="200"/>
              <w:bottom w:type="dxa" w:w="140"/>
              <w:right w:type="dxa" w:w="200"/>
            </w:tcMar>
          </w:tcPr>
          <w:p>
            <w:pPr>
              <w:spacing w:before="0" w:after="60"/>
            </w:pPr>
            <w:r>
              <w:rPr>
                <w:rFonts w:ascii="Arial" w:cs="Arial" w:eastAsia="Arial" w:hAnsi="Arial"/>
                <w:b/>
                <w:bCs/>
                <w:color w:val="1A1A1A"/>
                <w:sz w:val="22"/>
                <w:szCs w:val="22"/>
              </w:rPr>
              <w:t xml:space="preserve">Connectivity, Monitoring, and Custody Payout</w:t>
            </w:r>
          </w:p>
          <w:p>
            <w:pPr>
              <w:spacing w:before="0" w:after="0"/>
            </w:pPr>
            <w:r>
              <w:rPr>
                <w:rFonts w:ascii="Arial" w:cs="Arial" w:eastAsia="Arial" w:hAnsi="Arial"/>
                <w:color w:val="4A4A4A"/>
                <w:sz w:val="20"/>
                <w:szCs w:val="20"/>
              </w:rPr>
              <w:t xml:space="preserve">Starlink satellite internet provides the pool connectivity that routes mining work and receives block rewards. Remote monitoring systems track generator performance, container temperature, hash rate, and power consumption in real time. Bitcoin mined flows to the designated custody wallet according to the payout structure agreed between the operator and miner—with custody-first distribution as the standard for institutional deployments.</w:t>
            </w:r>
          </w:p>
        </w:tc>
      </w:tr>
    </w:tbl>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Basin-by-Basin Overview: Where Gas-to-Hash Deployments Make Sense</w:t>
      </w:r>
    </w:p>
    <w:p>
      <w:pPr>
        <w:spacing w:before="100" w:after="140"/>
      </w:pPr>
      <w:r>
        <w:rPr>
          <w:rFonts w:ascii="Arial" w:cs="Arial" w:eastAsia="Arial" w:hAnsi="Arial"/>
          <w:color w:val="4A4A4A"/>
          <w:sz w:val="22"/>
          <w:szCs w:val="22"/>
        </w:rPr>
        <w:t xml:space="preserve">The economics of flare gas Bitcoin mining vary meaningfully by basin. Gas quality, infrastructure maturity, regulatory pressure, altitude, and climate all affect the feasibility calculation. The following overview covers the five major U.S. flaring basins.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580"/>
        <w:gridCol w:w="1580"/>
        <w:gridCol w:w="1680"/>
        <w:gridCol w:w="1580"/>
        <w:gridCol w:w="1260"/>
      </w:tblGrid>
      <w:tr>
        <w:trPr>
          <w:tblHeader/>
        </w:trPr>
        <w:tc>
          <w:tcPr>
            <w:tcW w:type="dxa" w:w="1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Basin</w:t>
            </w:r>
          </w:p>
        </w:tc>
        <w:tc>
          <w:tcPr>
            <w:tcW w:type="dxa" w:w="15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Primary Gas Problem</w:t>
            </w:r>
          </w:p>
        </w:tc>
        <w:tc>
          <w:tcPr>
            <w:tcW w:type="dxa" w:w="15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Flare Rate</w:t>
            </w:r>
          </w:p>
        </w:tc>
        <w:tc>
          <w:tcPr>
            <w:tcW w:type="dxa" w:w="1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Gas Quality</w:t>
            </w:r>
          </w:p>
        </w:tc>
        <w:tc>
          <w:tcPr>
            <w:tcW w:type="dxa" w:w="15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Climate Factor</w:t>
            </w:r>
          </w:p>
        </w:tc>
        <w:tc>
          <w:tcPr>
            <w:tcW w:type="dxa" w:w="12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Deployment Fit</w:t>
            </w:r>
          </w:p>
        </w:tc>
      </w:tr>
      <w:tr>
        <w:tc>
          <w:tcPr>
            <w:tcW w:type="dxa" w:w="1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Permian (TX)</w:t>
            </w:r>
          </w:p>
        </w:tc>
        <w:tc>
          <w:tcPr>
            <w:tcW w:type="dxa" w:w="1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Assoc. gas, infrastructure lag</w:t>
            </w:r>
          </w:p>
        </w:tc>
        <w:tc>
          <w:tcPr>
            <w:tcW w:type="dxa" w:w="1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High</w:t>
            </w:r>
          </w:p>
        </w:tc>
        <w:tc>
          <w:tcPr>
            <w:tcW w:type="dxa" w:w="1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Variable; lean to moderate</w:t>
            </w:r>
          </w:p>
        </w:tc>
        <w:tc>
          <w:tcPr>
            <w:tcW w:type="dxa" w:w="1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Heat derate; 100–110°F summers</w:t>
            </w:r>
          </w:p>
        </w:tc>
        <w:tc>
          <w:tcPr>
            <w:tcW w:type="dxa" w:w="126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Excellent</w:t>
            </w:r>
          </w:p>
        </w:tc>
      </w:tr>
      <w:tr>
        <w:tc>
          <w:tcPr>
            <w:tcW w:type="dxa" w:w="1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Bakken (ND)</w:t>
            </w:r>
          </w:p>
        </w:tc>
        <w:tc>
          <w:tcPr>
            <w:tcW w:type="dxa" w:w="15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Assoc. gas, NDIC compliance</w:t>
            </w:r>
          </w:p>
        </w:tc>
        <w:tc>
          <w:tcPr>
            <w:tcW w:type="dxa" w:w="15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Very High</w:t>
            </w:r>
          </w:p>
        </w:tc>
        <w:tc>
          <w:tcPr>
            <w:tcW w:type="dxa" w:w="1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Lean; MN 80–90</w:t>
            </w:r>
          </w:p>
        </w:tc>
        <w:tc>
          <w:tcPr>
            <w:tcW w:type="dxa" w:w="15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Cold; −40°F winters req. CW pkg.</w:t>
            </w:r>
          </w:p>
        </w:tc>
        <w:tc>
          <w:tcPr>
            <w:tcW w:type="dxa" w:w="126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Excellent</w:t>
            </w:r>
          </w:p>
        </w:tc>
      </w:tr>
      <w:tr>
        <w:tc>
          <w:tcPr>
            <w:tcW w:type="dxa" w:w="1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Eagle Ford (TX)</w:t>
            </w:r>
          </w:p>
        </w:tc>
        <w:tc>
          <w:tcPr>
            <w:tcW w:type="dxa" w:w="1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Assoc. gas, compliance + compliance cost</w:t>
            </w:r>
          </w:p>
        </w:tc>
        <w:tc>
          <w:tcPr>
            <w:tcW w:type="dxa" w:w="1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Moderate</w:t>
            </w:r>
          </w:p>
        </w:tc>
        <w:tc>
          <w:tcPr>
            <w:tcW w:type="dxa" w:w="1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Variable by window</w:t>
            </w:r>
          </w:p>
        </w:tc>
        <w:tc>
          <w:tcPr>
            <w:tcW w:type="dxa" w:w="1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Heat derate; humid SE TX</w:t>
            </w:r>
          </w:p>
        </w:tc>
        <w:tc>
          <w:tcPr>
            <w:tcW w:type="dxa" w:w="126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Good</w:t>
            </w:r>
          </w:p>
        </w:tc>
      </w:tr>
      <w:tr>
        <w:tc>
          <w:tcPr>
            <w:tcW w:type="dxa" w:w="1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DJ Basin (CO)</w:t>
            </w:r>
          </w:p>
        </w:tc>
        <w:tc>
          <w:tcPr>
            <w:tcW w:type="dxa" w:w="15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Econ. curtailed gas; no routine flaring</w:t>
            </w:r>
          </w:p>
        </w:tc>
        <w:tc>
          <w:tcPr>
            <w:tcW w:type="dxa" w:w="15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Very Low (~1%)</w:t>
            </w:r>
          </w:p>
        </w:tc>
        <w:tc>
          <w:tcPr>
            <w:tcW w:type="dxa" w:w="1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Lean; MN 75–85</w:t>
            </w:r>
          </w:p>
        </w:tc>
        <w:tc>
          <w:tcPr>
            <w:tcW w:type="dxa" w:w="15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Altitude derate 14–20%; cold winters</w:t>
            </w:r>
          </w:p>
        </w:tc>
        <w:tc>
          <w:tcPr>
            <w:tcW w:type="dxa" w:w="12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Good</w:t>
            </w:r>
          </w:p>
        </w:tc>
      </w:tr>
      <w:tr>
        <w:tc>
          <w:tcPr>
            <w:tcW w:type="dxa" w:w="1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Haynesville (LA/TX)</w:t>
            </w:r>
          </w:p>
        </w:tc>
        <w:tc>
          <w:tcPr>
            <w:tcW w:type="dxa" w:w="1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Netback compression; dry gas</w:t>
            </w:r>
          </w:p>
        </w:tc>
        <w:tc>
          <w:tcPr>
            <w:tcW w:type="dxa" w:w="1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w:t>
            </w:r>
          </w:p>
        </w:tc>
        <w:tc>
          <w:tcPr>
            <w:tcW w:type="dxa" w:w="1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Lean dry; MN 88–95</w:t>
            </w:r>
          </w:p>
        </w:tc>
        <w:tc>
          <w:tcPr>
            <w:tcW w:type="dxa" w:w="1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Heat + humidity</w:t>
            </w:r>
          </w:p>
        </w:tc>
        <w:tc>
          <w:tcPr>
            <w:tcW w:type="dxa" w:w="12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Good</w:t>
            </w:r>
          </w:p>
        </w:tc>
      </w:tr>
    </w:tbl>
    <w:p>
      <w:pPr>
        <w:spacing w:before="120" w:after="80"/>
      </w:pPr>
      <w:r>
        <w:t xml:space="preserve"/>
      </w:r>
    </w:p>
    <w:p>
      <w:pPr>
        <w:spacing w:before="100" w:after="140"/>
      </w:pPr>
      <w:r>
        <w:rPr>
          <w:rFonts w:ascii="Arial" w:cs="Arial" w:eastAsia="Arial" w:hAnsi="Arial"/>
          <w:i/>
          <w:iCs/>
          <w:color w:val="888888"/>
          <w:sz w:val="22"/>
          <w:szCs w:val="22"/>
        </w:rPr>
        <w:t xml:space="preserve">For detailed basin-specific guides, see: The Permian Operator’s Guide (mcf.digital/operator-guides/permian), The Bakken Field Operator’s Primer (mcf.digital/operator-guides/bakken), The DJ Basin Operator’s Guide (mcf.digital/operator-guides/dj-basin), and the Eagle Ford and Haynesville Comparison Guide (mcf.digital/operator-guides/eagle-ford-haynesville).</w:t>
      </w:r>
    </w:p>
    <w:p>
      <w:pPr>
        <w:spacing w:before="80" w:after="8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The Regulatory Landscape: Federal and State</w:t>
      </w:r>
    </w:p>
    <w:p>
      <w:pPr>
        <w:spacing w:before="100" w:after="140"/>
      </w:pPr>
      <w:r>
        <w:rPr>
          <w:rFonts w:ascii="Arial" w:cs="Arial" w:eastAsia="Arial" w:hAnsi="Arial"/>
          <w:color w:val="4A4A4A"/>
          <w:sz w:val="22"/>
          <w:szCs w:val="22"/>
        </w:rPr>
        <w:t xml:space="preserve">The regulatory environment for flare gas Bitcoin mining is shaped by three overlapping frameworks: federal EPA methane rules, state-level flaring regulations, and air quality permit requirements for stationary engines. Navigating all three is a standard part of any deployment evaluation.</w:t>
      </w:r>
    </w:p>
    <w:p>
      <w:pPr>
        <w:pStyle w:val="Heading3"/>
        <w:spacing w:before="240" w:after="100"/>
      </w:pPr>
      <w:r>
        <w:rPr>
          <w:rFonts w:ascii="Arial" w:cs="Arial" w:eastAsia="Arial" w:hAnsi="Arial"/>
          <w:b/>
          <w:bCs/>
          <w:color w:val="E8500A"/>
          <w:sz w:val="24"/>
          <w:szCs w:val="24"/>
        </w:rPr>
        <w:t xml:space="preserve">Federal: EPA Methane Waste Rules</w:t>
      </w:r>
    </w:p>
    <w:p>
      <w:pPr>
        <w:spacing w:before="100" w:after="140"/>
      </w:pPr>
      <w:r>
        <w:rPr>
          <w:rFonts w:ascii="Arial" w:cs="Arial" w:eastAsia="Arial" w:hAnsi="Arial"/>
          <w:color w:val="4A4A4A"/>
          <w:sz w:val="22"/>
          <w:szCs w:val="22"/>
        </w:rPr>
        <w:t xml:space="preserve">The Inflation Reduction Act introduced a federal methane waste charge that applies to O&amp;G operators above defined production thresholds. The charge escalates annually: $900/metric ton of methane in 2024, $1,200 in 2025, and $1,500 in 2026 and beyond. For operators flaring 100–300 Mcfd of associated gas, annual EPA fee exposure at the 2026 rate can reach $50,000–$150,000 per pad. An on-lease deployment that converts flared gas to on-site use eliminates this exposure entirely, because the gas is no longer being combusted as waste—it is being used to generate power.</w:t>
      </w:r>
    </w:p>
    <w:p>
      <w:pPr>
        <w:pStyle w:val="Heading3"/>
        <w:spacing w:before="240" w:after="100"/>
      </w:pPr>
      <w:r>
        <w:rPr>
          <w:rFonts w:ascii="Arial" w:cs="Arial" w:eastAsia="Arial" w:hAnsi="Arial"/>
          <w:b/>
          <w:bCs/>
          <w:color w:val="E8500A"/>
          <w:sz w:val="24"/>
          <w:szCs w:val="24"/>
        </w:rPr>
        <w:t xml:space="preserve">State: Flaring Authorization Requirements</w:t>
      </w:r>
    </w:p>
    <w:p>
      <w:pPr>
        <w:spacing w:before="100" w:after="140"/>
      </w:pPr>
      <w:r>
        <w:rPr>
          <w:rFonts w:ascii="Arial" w:cs="Arial" w:eastAsia="Arial" w:hAnsi="Arial"/>
          <w:color w:val="4A4A4A"/>
          <w:sz w:val="22"/>
          <w:szCs w:val="22"/>
        </w:rPr>
        <w:t xml:space="preserve">Every major producing state has its own flaring authorization framework. Texas operators are subject to Railroad Commission (RRC) and TCEQ review. North Dakota’s NDIC requires 95% gas capture at the company level, with production restrictions as the penalty for non-compliance. Colorado’s COGCC prohibits routine flaring and explicitly recognizes on-site power generation as a preferred alternative. Louisiana’s DNR has reporting requirements for produced gas. The permit pathway for each state is manageable—but the timeline must be built into the deployment schedule.</w:t>
      </w:r>
    </w:p>
    <w:p>
      <w:pPr>
        <w:pStyle w:val="Heading3"/>
        <w:spacing w:before="240" w:after="100"/>
      </w:pPr>
      <w:r>
        <w:rPr>
          <w:rFonts w:ascii="Arial" w:cs="Arial" w:eastAsia="Arial" w:hAnsi="Arial"/>
          <w:b/>
          <w:bCs/>
          <w:color w:val="E8500A"/>
          <w:sz w:val="24"/>
          <w:szCs w:val="24"/>
        </w:rPr>
        <w:t xml:space="preserve">Air Quality: Stationary Engine Permits</w:t>
      </w:r>
    </w:p>
    <w:p>
      <w:pPr>
        <w:spacing w:before="100" w:after="140"/>
      </w:pPr>
      <w:r>
        <w:rPr>
          <w:rFonts w:ascii="Arial" w:cs="Arial" w:eastAsia="Arial" w:hAnsi="Arial"/>
          <w:color w:val="4A4A4A"/>
          <w:sz w:val="22"/>
          <w:szCs w:val="22"/>
        </w:rPr>
        <w:t xml:space="preserve">Generator sets installed at oil and gas pads are classified as stationary internal combustion engines and require air quality permits in most states. In Texas, this is a New Source Review (NSR) minor permit or a standard permit authorization under TCEQ rules. In Colorado, an Air Pollutant Emission Notice (APEN) is required. In North Dakota, NDIC’s existing gas capture authorization framework covers on-site power generation. Permit timelines range from 2 weeks (standard TX permit) to 8 weeks (CO APEN). MCF.digital initiates permits in parallel with site evaluation—not sequentially—to minimize the impact on deployment timelines.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ON-LEASE USE IS EXPLICITLY RECOGNIZED AS A COMPLIANCE PATHWAY</w:t>
            </w:r>
          </w:p>
          <w:p>
            <w:pPr>
              <w:spacing w:before="0" w:after="0"/>
            </w:pPr>
            <w:r>
              <w:rPr>
                <w:rFonts w:ascii="Arial" w:cs="Arial" w:eastAsia="Arial" w:hAnsi="Arial"/>
                <w:color w:val="4A4A4A"/>
                <w:sz w:val="22"/>
                <w:szCs w:val="22"/>
              </w:rPr>
              <w:t xml:space="preserve">In every major U.S. flaring basin, regulatory agencies explicitly recognize on-site power generation as a preferred alternative to flaring. This is not a gray area or a workaround. Colorado’s COGCC requires operators to demonstrate they have evaluated alternatives before authorizing flaring. North Dakota’s NDIC counts on-site use toward the 95% capture requirement. Texas regulators have published guidance on on-site power generation as a flare reduction tool.</w:t>
            </w:r>
          </w:p>
        </w:tc>
      </w:tr>
    </w:tbl>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The Four Deal Structures Available to Operators</w:t>
      </w:r>
    </w:p>
    <w:p>
      <w:pPr>
        <w:spacing w:before="100" w:after="140"/>
      </w:pPr>
      <w:r>
        <w:rPr>
          <w:rFonts w:ascii="Arial" w:cs="Arial" w:eastAsia="Arial" w:hAnsi="Arial"/>
          <w:color w:val="4A4A4A"/>
          <w:sz w:val="22"/>
          <w:szCs w:val="22"/>
        </w:rPr>
        <w:t xml:space="preserve">The deal structure determines how the economics of the deployment are divided between the operator (who provides the gas and pad access) and the miner (who provides the equipment and operations). Each structure allocates Bitcoin price exposure differently—and the right choice depends on the operator’s risk tolerance and treasury objectives.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60"/>
        <w:gridCol w:w="2000"/>
        <w:gridCol w:w="3000"/>
      </w:tblGrid>
      <w:tr>
        <w:trPr>
          <w:tblHeader/>
        </w:trPr>
        <w:tc>
          <w:tcPr>
            <w:tcW w:type="dxa" w:w="17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Structure</w:t>
            </w:r>
          </w:p>
        </w:tc>
        <w:tc>
          <w:tcPr>
            <w:tcW w:type="dxa" w:w="26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How It Works</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BTC Exposure</w:t>
            </w:r>
          </w:p>
        </w:tc>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Best Fit</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Hosting
(Fixed Power Rate)</w:t>
            </w:r>
          </w:p>
        </w:tc>
        <w:tc>
          <w:tcPr>
            <w:tcW w:type="dxa" w:w="2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 provides gas and pad access. Miner provides equipment and operations. Operator receives a fixed USD rate per kWh consumed.</w:t>
            </w:r>
          </w:p>
        </w:tc>
        <w:tc>
          <w:tcPr>
            <w:tcW w:type="dxa" w:w="20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Zero. Fixed USD revenue regardless of BTC price.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Operators who want compliance relief and stable USD income. CFOs who cannot put BTC on the balance sheet.</w:t>
            </w:r>
          </w:p>
        </w:tc>
      </w:tr>
      <w:tr>
        <w:tc>
          <w:tcPr>
            <w:tcW w:type="dxa" w:w="17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Revenue Share
(Proportional BTC)</w:t>
            </w:r>
          </w:p>
        </w:tc>
        <w:tc>
          <w:tcPr>
            <w:tcW w:type="dxa" w:w="26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Both parties receive a proportional share of Bitcoin mined. Typically 40–60% to operator, balance to miner.</w:t>
            </w:r>
          </w:p>
        </w:tc>
        <w:tc>
          <w:tcPr>
            <w:tcW w:type="dxa" w:w="20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Partial. Revenue tracks BTC price movement proportionally.</w:t>
            </w:r>
          </w:p>
        </w:tc>
        <w:tc>
          <w:tcPr>
            <w:tcW w:type="dxa" w:w="3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Operators who want upside participation with shared risk. Common in Bakken and Permian.</w:t>
            </w:r>
          </w:p>
        </w:tc>
      </w:tr>
      <w:tr>
        <w:tc>
          <w:tcPr>
            <w:tcW w:type="dxa" w:w="1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Direct Mining
(Full BTC Economics)</w:t>
            </w:r>
          </w:p>
        </w:tc>
        <w:tc>
          <w:tcPr>
            <w:tcW w:type="dxa" w:w="26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 mines directly. Provides gas and capital; receives 100% of BTC mined after miner’s fee.</w:t>
            </w:r>
          </w:p>
        </w:tc>
        <w:tc>
          <w:tcPr>
            <w:tcW w:type="dxa" w:w="20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Full. All revenue is BTC-denominated.</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Operators with treasury flexibility and direct interest in Bitcoin accumulation.</w:t>
            </w:r>
          </w:p>
        </w:tc>
      </w:tr>
      <w:tr>
        <w:tc>
          <w:tcPr>
            <w:tcW w:type="dxa" w:w="17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Capital Partner
(Investor-Funded CapEx)</w:t>
            </w:r>
          </w:p>
        </w:tc>
        <w:tc>
          <w:tcPr>
            <w:tcW w:type="dxa" w:w="26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Third-party HNWI or family office funds the equipment and CapEx. Revenue shared between operator, miner, and capital partner per agreement.</w:t>
            </w:r>
          </w:p>
        </w:tc>
        <w:tc>
          <w:tcPr>
            <w:tcW w:type="dxa" w:w="20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Shared. Allocated per agreement terms.</w:t>
            </w:r>
          </w:p>
        </w:tc>
        <w:tc>
          <w:tcPr>
            <w:tcW w:type="dxa" w:w="3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Operators who want deployment without committing capital. Pre-pipeline new pad locations.</w:t>
            </w:r>
          </w:p>
        </w:tc>
      </w:tr>
    </w:tbl>
    <w:p>
      <w:pPr>
        <w:spacing w:before="120" w:after="80"/>
      </w:pPr>
      <w:r>
        <w:t xml:space="preserve"/>
      </w:r>
    </w:p>
    <w:p>
      <w:pPr>
        <w:spacing w:before="100" w:after="140"/>
      </w:pPr>
      <w:r>
        <w:rPr>
          <w:rFonts w:ascii="Arial" w:cs="Arial" w:eastAsia="Arial" w:hAnsi="Arial"/>
          <w:i/>
          <w:iCs/>
          <w:color w:val="888888"/>
          <w:sz w:val="22"/>
          <w:szCs w:val="22"/>
        </w:rPr>
        <w:t xml:space="preserve">For a full deal structure comparison including payout math and downside scenarios, see: Bitcoin Mining Hosting vs. Mining Yourself (mcf.digital/guides/hosting-vs-mining) and What Happens to Your Pad When Bitcoin Price Drops 50%? (mcf.digital/operator-guides/bitcoin-price-downside-scenarios).</w:t>
      </w:r>
    </w:p>
    <w:p>
      <w:pPr>
        <w:spacing w:before="80" w:after="8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Feasibility Framework: When a Gas-to-Hash Deployment Makes Sense</w:t>
      </w:r>
    </w:p>
    <w:p>
      <w:pPr>
        <w:spacing w:before="100" w:after="140"/>
      </w:pPr>
      <w:r>
        <w:rPr>
          <w:rFonts w:ascii="Arial" w:cs="Arial" w:eastAsia="Arial" w:hAnsi="Arial"/>
          <w:color w:val="4A4A4A"/>
          <w:sz w:val="22"/>
          <w:szCs w:val="22"/>
        </w:rPr>
        <w:t xml:space="preserve">Not every pad is a viable gas-to-hash site. The feasibility evaluation covers six variables. A site that fails on any of them requires either a different deployment configuration or a decision not to proceed.</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Variable</w:t>
            </w:r>
          </w:p>
        </w:tc>
        <w:tc>
          <w:tcPr>
            <w:tcW w:type="dxa" w:w="14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Minimum</w:t>
            </w:r>
          </w:p>
        </w:tc>
        <w:tc>
          <w:tcPr>
            <w:tcW w:type="dxa" w:w="14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Preferred</w:t>
            </w:r>
          </w:p>
        </w:tc>
        <w:tc>
          <w:tcPr>
            <w:tcW w:type="dxa" w:w="4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Gas Volume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100 Mcfd</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300+ Mcfd</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Below 75 Mcfd: not viable. 100–200 Mcfd: single genset. 300+ Mcfd: multi-genset, best unit economics.</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Gas Quality (Methane Number)</w:t>
            </w:r>
          </w:p>
        </w:tc>
        <w:tc>
          <w:tcPr>
            <w:tcW w:type="dxa" w:w="1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MN 70+</w:t>
            </w:r>
          </w:p>
        </w:tc>
        <w:tc>
          <w:tcPr>
            <w:tcW w:type="dxa" w:w="1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MN 80+</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Below MN 70: requires MN-rated genset. Rich NGL streams need gas analysis before genset selection.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Wellhead Pressure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10 psi</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25+ psi</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Below 10 psi: compression required before deployment is viable. Confirm minimum winter pressure.</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Site Access</w:t>
            </w:r>
          </w:p>
        </w:tc>
        <w:tc>
          <w:tcPr>
            <w:tcW w:type="dxa" w:w="1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All-weather road</w:t>
            </w:r>
          </w:p>
        </w:tc>
        <w:tc>
          <w:tcPr>
            <w:tcW w:type="dxa" w:w="1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Paved or compacted gravel</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Seasonal access restrictions must be documented and addressed in service planning. Critical for Bakken.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Altitude and Temperature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 hard limit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Below 5,000 ft; temperate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High altitude: apply derate before sizing. DJ Basin: 14–20% derate. Cold climate: cold-weather package required.</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Bitcoin Price Sensitivity</w:t>
            </w:r>
          </w:p>
        </w:tc>
        <w:tc>
          <w:tcPr>
            <w:tcW w:type="dxa" w:w="1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Net positive vs. baseline</w:t>
            </w:r>
          </w:p>
        </w:tc>
        <w:tc>
          <w:tcPr>
            <w:tcW w:type="dxa" w:w="1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Positive at −50% hashprice</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Model against your current gas alternative, not abstract BTC price levels. Flare baseline = $0.</w:t>
            </w:r>
          </w:p>
        </w:tc>
      </w:tr>
    </w:tbl>
    <w:p>
      <w:pPr>
        <w:spacing w:before="160" w:after="100"/>
      </w:pPr>
      <w:r>
        <w:t xml:space="preserve"/>
      </w:r>
    </w:p>
    <w:p>
      <w:pPr>
        <w:pStyle w:val="Heading3"/>
        <w:spacing w:before="240" w:after="100"/>
      </w:pPr>
      <w:r>
        <w:rPr>
          <w:rFonts w:ascii="Arial" w:cs="Arial" w:eastAsia="Arial" w:hAnsi="Arial"/>
          <w:b/>
          <w:bCs/>
          <w:color w:val="E8500A"/>
          <w:sz w:val="24"/>
          <w:szCs w:val="24"/>
        </w:rPr>
        <w:t xml:space="preserve">The Comparison That Actually Matters</w:t>
      </w:r>
    </w:p>
    <w:p>
      <w:pPr>
        <w:spacing w:before="100" w:after="140"/>
      </w:pPr>
      <w:r>
        <w:rPr>
          <w:rFonts w:ascii="Arial" w:cs="Arial" w:eastAsia="Arial" w:hAnsi="Arial"/>
          <w:color w:val="4A4A4A"/>
          <w:sz w:val="22"/>
          <w:szCs w:val="22"/>
        </w:rPr>
        <w:t xml:space="preserve">The feasibility question is not “will this deployment generate revenue?”—it almost certainly will. The question is “will it generate more revenue than the operator’s current alternative for those specific gas volumes?” For gas that is currently being flared, the baseline is zero and the comparison is self-evidently positive. For gas currently delivering to a pipeline at a compressed netback, the comparison requires a specific pro forma.</w:t>
      </w:r>
    </w:p>
    <w:p>
      <w:pPr>
        <w:spacing w:before="100" w:after="140"/>
      </w:pPr>
      <w:r>
        <w:rPr>
          <w:rFonts w:ascii="Arial" w:cs="Arial" w:eastAsia="Arial" w:hAnsi="Arial"/>
          <w:color w:val="4A4A4A"/>
          <w:sz w:val="22"/>
          <w:szCs w:val="22"/>
        </w:rPr>
        <w:t xml:space="preserve">The right way to evaluate feasibility: take your actual gas volume, run it through a derate-adjusted capacity calculation for your specific pad coordinates, model the monthly revenue at current hashprice and at −50% hashprice, and compare both numbers to your current alternative. That comparison—not a general “gas-to-hash works” statement—is the feasibility answer for your pad.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THE FEASIBILITY CALCULATOR</w:t>
            </w:r>
          </w:p>
          <w:p>
            <w:pPr>
              <w:spacing w:before="0" w:after="0"/>
            </w:pPr>
            <w:r>
              <w:rPr>
                <w:rFonts w:ascii="Arial" w:cs="Arial" w:eastAsia="Arial" w:hAnsi="Arial"/>
                <w:color w:val="4A4A4A"/>
                <w:sz w:val="22"/>
                <w:szCs w:val="22"/>
              </w:rPr>
              <w:t xml:space="preserve">MCF.digital’s site calculator at tools.mcf.digital runs the full feasibility calculation for a specific pad: gas volume input, gas quality, elevation and temperature derate, deal structure selection, and pro forma revenue at current and stressed hashprice compared to your current gas alternative. It takes under five minutes and produces a site-specific output—not a generic estimate.</w:t>
            </w:r>
          </w:p>
        </w:tc>
      </w:tr>
    </w:tbl>
    <w:p>
      <w:pPr>
        <w:spacing w:before="20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Key Terms and Concepts</w:t>
      </w:r>
    </w:p>
    <w:p>
      <w:pPr>
        <w:spacing w:before="100" w:after="140"/>
      </w:pPr>
      <w:r>
        <w:rPr>
          <w:rFonts w:ascii="Arial" w:cs="Arial" w:eastAsia="Arial" w:hAnsi="Arial"/>
          <w:color w:val="4A4A4A"/>
          <w:sz w:val="22"/>
          <w:szCs w:val="22"/>
        </w:rPr>
        <w:t xml:space="preserve">The following terms are used throughout the flare gas Bitcoin mining literature. Each links to MCF.digital’s canonical glossary definition.</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Term</w:t>
            </w:r>
          </w:p>
        </w:tc>
        <w:tc>
          <w:tcPr>
            <w:tcW w:type="dxa" w:w="65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Definition and Link</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On-Lease Bitcoin Mining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The co-location of power generation and compute at the wellhead—the defining category term for this industry. mcf.digital/glossary/on-lease-bitcoin-mining</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Gas-to-Hash</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The process of converting wellhead natural gas into Bitcoin hashrate via on-site generation and ASIC mining. mcf.digital/glossary/gas-to-hash</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Flare Gas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Associated gas from oil production burned at the wellhead when pipeline alternatives are unavailable or uneconomic. mcf.digital/glossary/what-is-flare-gas</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Stranded Gas vs. Flare Gas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Stranded gas lacks infrastructure access; flare gas is associated gas burned as disposal. Both are gas-to-hash candidates. mcf.digital/glossary/stranded-gas-vs-flare-gas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Gas Netback</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Revenue per unit of gas after royalties, transport, and operating costs. The baseline comparison for on-lease carve-out decisions. mcf.digital/glossary/what-is-gas-netback</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Methane Number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A measure of knock resistance in natural gas engines. Governs genset compatibility with a given gas stream. mcf.digital/glossary/what-is-methane-number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Genset Derate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The reduction in rated generator output caused by altitude, temperature, or fuel quality. Must be applied before any pro forma sizing. mcf.digital/glossary/what-is-genset-derate</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Hashprice</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Daily revenue per terahash of mining power. The key metric for evaluating deployment profitability. mcf.digital/glossary/what-is-hashprice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Custody-First Payout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 payout structure where Bitcoin flows directly to the operator’s wallet before any other distributions. mcf.digital/glossary/what-is-custody-first-bitcoin-payout</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Hosting Agreement</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A structure where the operator earns a fixed USD power rate; the miner bears all BTC exposure. mcf.digital/glossary/what-is-hosting-agreement-bitcoin-mining</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Run the numbers on your pad.</w:t>
            </w:r>
          </w:p>
          <w:p>
            <w:pPr>
              <w:spacing w:before="0" w:after="120"/>
              <w:jc w:val="center"/>
            </w:pPr>
            <w:r>
              <w:rPr>
                <w:rFonts w:ascii="Arial" w:cs="Arial" w:eastAsia="Arial" w:hAnsi="Arial"/>
                <w:color w:val="CCCCCC"/>
                <w:sz w:val="22"/>
                <w:szCs w:val="22"/>
              </w:rPr>
              <w:t xml:space="preserve">Enter your gas volume, quality, and basin. Get a site-specific feasibility summary and pro forma across all four deal structures.</w:t>
            </w:r>
          </w:p>
          <w:p>
            <w:pPr>
              <w:spacing w:before="0" w:after="0"/>
              <w:jc w:val="center"/>
            </w:pPr>
            <w:r>
              <w:rPr>
                <w:rFonts w:ascii="Arial" w:cs="Arial" w:eastAsia="Arial" w:hAnsi="Arial"/>
                <w:b/>
                <w:bCs/>
                <w:color w:val="E8500A"/>
                <w:sz w:val="26"/>
                <w:szCs w:val="26"/>
              </w:rPr>
              <w:t xml:space="preserve">tools.mcf.digital</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60" w:after="120"/>
      </w:pPr>
      <w:r>
        <w:rPr>
          <w:rFonts w:ascii="Arial" w:cs="Arial" w:eastAsia="Arial" w:hAnsi="Arial"/>
          <w:b/>
          <w:bCs/>
          <w:color w:val="1A1A1A"/>
          <w:sz w:val="28"/>
          <w:szCs w:val="28"/>
        </w:rPr>
        <w:t xml:space="preserve">Complete Resource Library</w:t>
      </w:r>
    </w:p>
    <w:p>
      <w:pPr>
        <w:spacing w:before="100" w:after="140"/>
      </w:pPr>
      <w:r>
        <w:rPr>
          <w:rFonts w:ascii="Arial" w:cs="Arial" w:eastAsia="Arial" w:hAnsi="Arial"/>
          <w:color w:val="4A4A4A"/>
          <w:sz w:val="22"/>
          <w:szCs w:val="22"/>
        </w:rPr>
        <w:t xml:space="preserve">Every resource in the MCF.digital content library is organized by audience and topic. The most relevant guides for operators new to this topic:</w:t>
      </w:r>
    </w:p>
    <w:p>
      <w:pPr>
        <w:spacing w:before="60" w:after="40"/>
      </w:pPr>
      <w:r>
        <w:t xml:space="preserve"/>
      </w:r>
    </w:p>
    <w:p>
      <w:pPr>
        <w:pStyle w:val="Heading3"/>
        <w:spacing w:before="240" w:after="100"/>
      </w:pPr>
      <w:r>
        <w:rPr>
          <w:rFonts w:ascii="Arial" w:cs="Arial" w:eastAsia="Arial" w:hAnsi="Arial"/>
          <w:b/>
          <w:bCs/>
          <w:color w:val="E8500A"/>
          <w:sz w:val="24"/>
          <w:szCs w:val="24"/>
        </w:rPr>
        <w:t xml:space="preserve">Operator Guides</w:t>
      </w:r>
    </w:p>
    <w:p>
      <w:pPr>
        <w:pStyle w:val="ListParagraph"/>
        <w:numPr>
          <w:ilvl w:val="0"/>
          <w:numId w:val="2"/>
        </w:numPr>
        <w:spacing w:before="60" w:after="60"/>
      </w:pPr>
      <w:r>
        <w:rPr>
          <w:rFonts w:ascii="Arial" w:cs="Arial" w:eastAsia="Arial" w:hAnsi="Arial"/>
          <w:b/>
          <w:bCs/>
          <w:color w:val="1A1A1A"/>
          <w:sz w:val="22"/>
          <w:szCs w:val="22"/>
        </w:rPr>
        <w:t xml:space="preserve">The Permian Operator’s Guide to Flare Gas Monetization — </w:t>
      </w:r>
      <w:r>
        <w:rPr>
          <w:rFonts w:ascii="Arial" w:cs="Arial" w:eastAsia="Arial" w:hAnsi="Arial"/>
          <w:color w:val="4A4A4A"/>
          <w:sz w:val="22"/>
          <w:szCs w:val="22"/>
        </w:rPr>
        <w:t xml:space="preserve">mcf.digital/operator-guides/permian-flare-gas-monetization</w:t>
      </w:r>
    </w:p>
    <w:p>
      <w:pPr>
        <w:pStyle w:val="ListParagraph"/>
        <w:numPr>
          <w:ilvl w:val="0"/>
          <w:numId w:val="2"/>
        </w:numPr>
        <w:spacing w:before="60" w:after="60"/>
      </w:pPr>
      <w:r>
        <w:rPr>
          <w:rFonts w:ascii="Arial" w:cs="Arial" w:eastAsia="Arial" w:hAnsi="Arial"/>
          <w:b/>
          <w:bCs/>
          <w:color w:val="1A1A1A"/>
          <w:sz w:val="22"/>
          <w:szCs w:val="22"/>
        </w:rPr>
        <w:t xml:space="preserve">How to Improve Low Gas Netbacks Without Midstream — </w:t>
      </w:r>
      <w:r>
        <w:rPr>
          <w:rFonts w:ascii="Arial" w:cs="Arial" w:eastAsia="Arial" w:hAnsi="Arial"/>
          <w:color w:val="4A4A4A"/>
          <w:sz w:val="22"/>
          <w:szCs w:val="22"/>
        </w:rPr>
        <w:t xml:space="preserve">mcf.digital/operator-guides/low-gas-netbacks</w:t>
      </w:r>
    </w:p>
    <w:p>
      <w:pPr>
        <w:pStyle w:val="ListParagraph"/>
        <w:numPr>
          <w:ilvl w:val="0"/>
          <w:numId w:val="2"/>
        </w:numPr>
        <w:spacing w:before="60" w:after="60"/>
      </w:pPr>
      <w:r>
        <w:rPr>
          <w:rFonts w:ascii="Arial" w:cs="Arial" w:eastAsia="Arial" w:hAnsi="Arial"/>
          <w:b/>
          <w:bCs/>
          <w:color w:val="1A1A1A"/>
          <w:sz w:val="22"/>
          <w:szCs w:val="22"/>
        </w:rPr>
        <w:t xml:space="preserve">Stranded Gas Bitcoin Mining: When It Pencils and When It Doesn’t — </w:t>
      </w:r>
      <w:r>
        <w:rPr>
          <w:rFonts w:ascii="Arial" w:cs="Arial" w:eastAsia="Arial" w:hAnsi="Arial"/>
          <w:color w:val="4A4A4A"/>
          <w:sz w:val="22"/>
          <w:szCs w:val="22"/>
        </w:rPr>
        <w:t xml:space="preserve">mcf.digital/operator-guides/stranded-gas-bitcoin-mining</w:t>
      </w:r>
    </w:p>
    <w:p>
      <w:pPr>
        <w:pStyle w:val="ListParagraph"/>
        <w:numPr>
          <w:ilvl w:val="0"/>
          <w:numId w:val="2"/>
        </w:numPr>
        <w:spacing w:before="60" w:after="60"/>
      </w:pPr>
      <w:r>
        <w:rPr>
          <w:rFonts w:ascii="Arial" w:cs="Arial" w:eastAsia="Arial" w:hAnsi="Arial"/>
          <w:b/>
          <w:bCs/>
          <w:color w:val="1A1A1A"/>
          <w:sz w:val="22"/>
          <w:szCs w:val="22"/>
        </w:rPr>
        <w:t xml:space="preserve">The Bakken Field Operator’s Primer — </w:t>
      </w:r>
      <w:r>
        <w:rPr>
          <w:rFonts w:ascii="Arial" w:cs="Arial" w:eastAsia="Arial" w:hAnsi="Arial"/>
          <w:color w:val="4A4A4A"/>
          <w:sz w:val="22"/>
          <w:szCs w:val="22"/>
        </w:rPr>
        <w:t xml:space="preserve">mcf.digital/operator-guides/bakken-flare-gas-bitcoin</w:t>
      </w:r>
    </w:p>
    <w:p>
      <w:pPr>
        <w:pStyle w:val="ListParagraph"/>
        <w:numPr>
          <w:ilvl w:val="0"/>
          <w:numId w:val="2"/>
        </w:numPr>
        <w:spacing w:before="60" w:after="60"/>
      </w:pPr>
      <w:r>
        <w:rPr>
          <w:rFonts w:ascii="Arial" w:cs="Arial" w:eastAsia="Arial" w:hAnsi="Arial"/>
          <w:b/>
          <w:bCs/>
          <w:color w:val="1A1A1A"/>
          <w:sz w:val="22"/>
          <w:szCs w:val="22"/>
        </w:rPr>
        <w:t xml:space="preserve">The DJ Basin Operator’s Guide to On-Lease Bitcoin Mining — </w:t>
      </w:r>
      <w:r>
        <w:rPr>
          <w:rFonts w:ascii="Arial" w:cs="Arial" w:eastAsia="Arial" w:hAnsi="Arial"/>
          <w:color w:val="4A4A4A"/>
          <w:sz w:val="22"/>
          <w:szCs w:val="22"/>
        </w:rPr>
        <w:t xml:space="preserve">mcf.digital/operator-guides/dj-basin-on-lease-bitcoin-mining</w:t>
      </w:r>
    </w:p>
    <w:p>
      <w:pPr>
        <w:pStyle w:val="ListParagraph"/>
        <w:numPr>
          <w:ilvl w:val="0"/>
          <w:numId w:val="2"/>
        </w:numPr>
        <w:spacing w:before="60" w:after="60"/>
      </w:pPr>
      <w:r>
        <w:rPr>
          <w:rFonts w:ascii="Arial" w:cs="Arial" w:eastAsia="Arial" w:hAnsi="Arial"/>
          <w:b/>
          <w:bCs/>
          <w:color w:val="1A1A1A"/>
          <w:sz w:val="22"/>
          <w:szCs w:val="22"/>
        </w:rPr>
        <w:t xml:space="preserve">Eagle Ford and Haynesville: Comparing Two Gas Monetization Markets — </w:t>
      </w:r>
      <w:r>
        <w:rPr>
          <w:rFonts w:ascii="Arial" w:cs="Arial" w:eastAsia="Arial" w:hAnsi="Arial"/>
          <w:color w:val="4A4A4A"/>
          <w:sz w:val="22"/>
          <w:szCs w:val="22"/>
        </w:rPr>
        <w:t xml:space="preserve">mcf.digital/operator-guides/eagle-ford-haynesville-gas-monetization</w:t>
      </w:r>
    </w:p>
    <w:p>
      <w:pPr>
        <w:pStyle w:val="ListParagraph"/>
        <w:numPr>
          <w:ilvl w:val="0"/>
          <w:numId w:val="2"/>
        </w:numPr>
        <w:spacing w:before="60" w:after="60"/>
      </w:pPr>
      <w:r>
        <w:rPr>
          <w:rFonts w:ascii="Arial" w:cs="Arial" w:eastAsia="Arial" w:hAnsi="Arial"/>
          <w:b/>
          <w:bCs/>
          <w:color w:val="1A1A1A"/>
          <w:sz w:val="22"/>
          <w:szCs w:val="22"/>
        </w:rPr>
        <w:t xml:space="preserve">What Happens to Your Pad When Bitcoin Price Drops 50%? — </w:t>
      </w:r>
      <w:r>
        <w:rPr>
          <w:rFonts w:ascii="Arial" w:cs="Arial" w:eastAsia="Arial" w:hAnsi="Arial"/>
          <w:color w:val="4A4A4A"/>
          <w:sz w:val="22"/>
          <w:szCs w:val="22"/>
        </w:rPr>
        <w:t xml:space="preserve">mcf.digital/operator-guides/bitcoin-price-downside-scenarios</w:t>
      </w:r>
    </w:p>
    <w:p>
      <w:pPr>
        <w:pStyle w:val="ListParagraph"/>
        <w:numPr>
          <w:ilvl w:val="0"/>
          <w:numId w:val="2"/>
        </w:numPr>
        <w:spacing w:before="60" w:after="60"/>
      </w:pPr>
      <w:r>
        <w:rPr>
          <w:rFonts w:ascii="Arial" w:cs="Arial" w:eastAsia="Arial" w:hAnsi="Arial"/>
          <w:b/>
          <w:bCs/>
          <w:color w:val="1A1A1A"/>
          <w:sz w:val="22"/>
          <w:szCs w:val="22"/>
        </w:rPr>
        <w:t xml:space="preserve">The Operator’s Due Diligence Checklist — </w:t>
      </w:r>
      <w:r>
        <w:rPr>
          <w:rFonts w:ascii="Arial" w:cs="Arial" w:eastAsia="Arial" w:hAnsi="Arial"/>
          <w:color w:val="4A4A4A"/>
          <w:sz w:val="22"/>
          <w:szCs w:val="22"/>
        </w:rPr>
        <w:t xml:space="preserve">mcf.digital/operator-guides/due-diligence-checklist</w:t>
      </w:r>
    </w:p>
    <w:p>
      <w:pPr>
        <w:pStyle w:val="ListParagraph"/>
        <w:numPr>
          <w:ilvl w:val="0"/>
          <w:numId w:val="2"/>
        </w:numPr>
        <w:spacing w:before="60" w:after="60"/>
      </w:pPr>
      <w:r>
        <w:rPr>
          <w:rFonts w:ascii="Arial" w:cs="Arial" w:eastAsia="Arial" w:hAnsi="Arial"/>
          <w:b/>
          <w:bCs/>
          <w:color w:val="1A1A1A"/>
          <w:sz w:val="22"/>
          <w:szCs w:val="22"/>
        </w:rPr>
        <w:t xml:space="preserve">Commodity Risk, Uptime Risk, and Site Risk — </w:t>
      </w:r>
      <w:r>
        <w:rPr>
          <w:rFonts w:ascii="Arial" w:cs="Arial" w:eastAsia="Arial" w:hAnsi="Arial"/>
          <w:color w:val="4A4A4A"/>
          <w:sz w:val="22"/>
          <w:szCs w:val="22"/>
        </w:rPr>
        <w:t xml:space="preserve">mcf.digital/operator-guides/three-risk-categories</w:t>
      </w:r>
    </w:p>
    <w:p>
      <w:pPr>
        <w:spacing w:before="80" w:after="40"/>
      </w:pPr>
      <w:r>
        <w:t xml:space="preserve"/>
      </w:r>
    </w:p>
    <w:p>
      <w:pPr>
        <w:pStyle w:val="Heading3"/>
        <w:spacing w:before="240" w:after="100"/>
      </w:pPr>
      <w:r>
        <w:rPr>
          <w:rFonts w:ascii="Arial" w:cs="Arial" w:eastAsia="Arial" w:hAnsi="Arial"/>
          <w:b/>
          <w:bCs/>
          <w:color w:val="E8500A"/>
          <w:sz w:val="24"/>
          <w:szCs w:val="24"/>
        </w:rPr>
        <w:t xml:space="preserve">For Investors and Capital Partners</w:t>
      </w:r>
    </w:p>
    <w:p>
      <w:pPr>
        <w:pStyle w:val="ListParagraph"/>
        <w:numPr>
          <w:ilvl w:val="0"/>
          <w:numId w:val="2"/>
        </w:numPr>
        <w:spacing w:before="60" w:after="60"/>
      </w:pPr>
      <w:r>
        <w:rPr>
          <w:rFonts w:ascii="Arial" w:cs="Arial" w:eastAsia="Arial" w:hAnsi="Arial"/>
          <w:b/>
          <w:bCs/>
          <w:color w:val="1A1A1A"/>
          <w:sz w:val="22"/>
          <w:szCs w:val="22"/>
        </w:rPr>
        <w:t xml:space="preserve">Investing in Stranded Gas Bitcoin Mining: A Family Office and HNWI Primer — </w:t>
      </w:r>
      <w:r>
        <w:rPr>
          <w:rFonts w:ascii="Arial" w:cs="Arial" w:eastAsia="Arial" w:hAnsi="Arial"/>
          <w:color w:val="4A4A4A"/>
          <w:sz w:val="22"/>
          <w:szCs w:val="22"/>
        </w:rPr>
        <w:t xml:space="preserve">mcf.digital/guides/hnwi-family-office-primer</w:t>
      </w:r>
    </w:p>
    <w:p>
      <w:pPr>
        <w:pStyle w:val="ListParagraph"/>
        <w:numPr>
          <w:ilvl w:val="0"/>
          <w:numId w:val="2"/>
        </w:numPr>
        <w:spacing w:before="60" w:after="60"/>
      </w:pPr>
      <w:r>
        <w:rPr>
          <w:rFonts w:ascii="Arial" w:cs="Arial" w:eastAsia="Arial" w:hAnsi="Arial"/>
          <w:b/>
          <w:bCs/>
          <w:color w:val="1A1A1A"/>
          <w:sz w:val="22"/>
          <w:szCs w:val="22"/>
        </w:rPr>
        <w:t xml:space="preserve">What Is Custody-First Bitcoin Payout? — </w:t>
      </w:r>
      <w:r>
        <w:rPr>
          <w:rFonts w:ascii="Arial" w:cs="Arial" w:eastAsia="Arial" w:hAnsi="Arial"/>
          <w:color w:val="4A4A4A"/>
          <w:sz w:val="22"/>
          <w:szCs w:val="22"/>
        </w:rPr>
        <w:t xml:space="preserve">mcf.digital/glossary/what-is-custody-first-bitcoin-payout</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All  ·  Category: Pillar Guide  ·  mcf.digital/guides/complete-guide-flare-gas-bitcoin-mining</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mcf.digital/guides/complete-guide-flare-gas-bitcoin-mining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PILLAR GUIDE  |  The Complete Guide to Flare Gas Bitcoin Mining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2026-02-26T22:07:47.633Z</dcterms:created>
  <dcterms:modified xsi:type="dcterms:W3CDTF">2026-02-26T22:07:47.634Z</dcterms:modified>
</cp:coreProperties>
</file>

<file path=docProps/custom.xml><?xml version="1.0" encoding="utf-8"?>
<Properties xmlns="http://schemas.openxmlformats.org/officeDocument/2006/custom-properties" xmlns:vt="http://schemas.openxmlformats.org/officeDocument/2006/docPropsVTypes"/>
</file>