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PILLAR GUIDE  //  DEAL STRUCTURE COMPARISON</w:t>
      </w:r>
    </w:p>
    <w:p>
      <w:pPr>
        <w:spacing w:before="0" w:after="60"/>
      </w:pPr>
      <w:r>
        <w:rPr>
          <w:rFonts w:ascii="Arial" w:cs="Arial" w:eastAsia="Arial" w:hAnsi="Arial"/>
          <w:b/>
          <w:bCs/>
          <w:color w:val="1A1A1A"/>
          <w:sz w:val="44"/>
          <w:szCs w:val="44"/>
        </w:rPr>
        <w:t xml:space="preserve">Bitcoin Mining Hosting vs. Mining Yourself:</w:t>
      </w:r>
    </w:p>
    <w:p>
      <w:pPr>
        <w:spacing w:before="0" w:after="200"/>
      </w:pPr>
      <w:r>
        <w:rPr>
          <w:rFonts w:ascii="Arial" w:cs="Arial" w:eastAsia="Arial" w:hAnsi="Arial"/>
          <w:b/>
          <w:bCs/>
          <w:color w:val="E8500A"/>
          <w:sz w:val="44"/>
          <w:szCs w:val="44"/>
        </w:rPr>
        <w:t xml:space="preserve">Which Structure Fits Your Pad?</w:t>
      </w:r>
    </w:p>
    <w:p>
      <w:pPr>
        <w:pBdr>
          <w:bottom w:val="single" w:color="E8D5CC" w:sz="6" w:space="4"/>
        </w:pBdr>
        <w:spacing w:before="0" w:after="320"/>
      </w:pPr>
      <w:r>
        <w:rPr>
          <w:rFonts w:ascii="Arial" w:cs="Arial" w:eastAsia="Arial" w:hAnsi="Arial"/>
          <w:color w:val="4A4A4A"/>
          <w:sz w:val="24"/>
          <w:szCs w:val="24"/>
        </w:rPr>
        <w:t xml:space="preserve">Four deal structures are available for on-lease gas-to-hash deployments. Each allocates Bitcoin price exposure, capital requirements, and operational responsibility differently. The structure decision is one of the most important choices an operator makes—and the right answer depends on your risk tolerance, treasury posture, and operational objectives, not on which structure generates the highest headline number.</w:t>
      </w:r>
    </w:p>
    <w:p>
      <w:pPr>
        <w:spacing w:before="200" w:after="10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The Four Structures at a Glance</w:t>
      </w:r>
    </w:p>
    <w:p>
      <w:pPr>
        <w:spacing w:before="100" w:after="140"/>
      </w:pPr>
      <w:r>
        <w:rPr>
          <w:rFonts w:ascii="Arial" w:cs="Arial" w:eastAsia="Arial" w:hAnsi="Arial"/>
          <w:color w:val="4A4A4A"/>
          <w:sz w:val="22"/>
          <w:szCs w:val="22"/>
        </w:rPr>
        <w:t xml:space="preserve">Before the deep dive on each structure, here is the complete side-by-side comparison across the dimensions that matter most to operators and investors.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00"/>
        <w:gridCol w:w="1900"/>
        <w:gridCol w:w="1900"/>
        <w:gridCol w:w="1900"/>
      </w:tblGrid>
      <w:tr>
        <w:trPr>
          <w:tblHeader/>
        </w:trPr>
        <w:tc>
          <w:tcPr>
            <w:tcW w:type="dxa" w:w="17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19"/>
                <w:szCs w:val="19"/>
              </w:rPr>
              <w:t xml:space="preserve">Dimension</w:t>
            </w:r>
          </w:p>
        </w:tc>
        <w:tc>
          <w:tcPr>
            <w:tcW w:type="dxa" w:w="190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Hosting</w:t>
            </w:r>
          </w:p>
        </w:tc>
        <w:tc>
          <w:tcPr>
            <w:tcW w:type="dxa" w:w="1900"/>
            <w:tcBorders>
              <w:top w:val="single" w:color="DDDDDD" w:sz="1"/>
              <w:left w:val="single" w:color="DDDDDD" w:sz="1"/>
              <w:bottom w:val="single" w:color="DDDDDD" w:sz="1"/>
              <w:right w:val="single" w:color="DDDDDD" w:sz="1"/>
            </w:tcBorders>
            <w:shd w:fill="2E5F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Revenue Share</w:t>
            </w:r>
          </w:p>
        </w:tc>
        <w:tc>
          <w:tcPr>
            <w:tcW w:type="dxa" w:w="1900"/>
            <w:tcBorders>
              <w:top w:val="single" w:color="DDDDDD" w:sz="1"/>
              <w:left w:val="single" w:color="DDDDDD" w:sz="1"/>
              <w:bottom w:val="single" w:color="DDDDDD" w:sz="1"/>
              <w:right w:val="single" w:color="DDDDDD" w:sz="1"/>
            </w:tcBorders>
            <w:shd w:fill="6B3820"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Direct Mining</w:t>
            </w:r>
          </w:p>
        </w:tc>
        <w:tc>
          <w:tcPr>
            <w:tcW w:type="dxa" w:w="1900"/>
            <w:tcBorders>
              <w:top w:val="single" w:color="DDDDDD" w:sz="1"/>
              <w:left w:val="single" w:color="DDDDDD" w:sz="1"/>
              <w:bottom w:val="single" w:color="DDDDDD" w:sz="1"/>
              <w:right w:val="single" w:color="DDDDDD" w:sz="1"/>
            </w:tcBorders>
            <w:shd w:fill="3D2B6B"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Capital Partner</w:t>
            </w:r>
          </w:p>
        </w:tc>
      </w:tr>
      <w:tr>
        <w:tc>
          <w:tcPr>
            <w:tcW w:type="dxa" w:w="1760"/>
            <w:tcBorders>
              <w:top w:val="single" w:color="DDDDDD" w:sz="1"/>
              <w:left w:val="single" w:color="DDDDDD" w:sz="1"/>
              <w:bottom w:val="single" w:color="DDDDDD" w:sz="1"/>
              <w:right w:val="single" w:color="DDDDDD" w:sz="1"/>
            </w:tcBorders>
            <w:shd w:fill="F2F2F2" w:val="clear"/>
            <w:tcMar>
              <w:top w:type="dxa" w:w="90"/>
              <w:left w:type="dxa" w:w="150"/>
              <w:bottom w:type="dxa" w:w="90"/>
              <w:right w:type="dxa" w:w="150"/>
            </w:tcMar>
          </w:tcPr>
          <w:p>
            <w:r>
              <w:rPr>
                <w:rFonts w:ascii="Arial" w:cs="Arial" w:eastAsia="Arial" w:hAnsi="Arial"/>
                <w:b/>
                <w:bCs/>
                <w:color w:val="1A1A1A"/>
                <w:sz w:val="19"/>
                <w:szCs w:val="19"/>
              </w:rPr>
              <w:t xml:space="preserve">Operator CapEx</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None</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None</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High (owns equipment)</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None (partner funds)</w:t>
            </w:r>
          </w:p>
        </w:tc>
      </w:tr>
      <w:tr>
        <w:tc>
          <w:tcPr>
            <w:tcW w:type="dxa" w:w="1760"/>
            <w:tcBorders>
              <w:top w:val="single" w:color="DDDDDD" w:sz="1"/>
              <w:left w:val="single" w:color="DDDDDD" w:sz="1"/>
              <w:bottom w:val="single" w:color="DDDDDD" w:sz="1"/>
              <w:right w:val="single" w:color="DDDDDD" w:sz="1"/>
            </w:tcBorders>
            <w:shd w:fill="F2F2F2" w:val="clear"/>
            <w:tcMar>
              <w:top w:type="dxa" w:w="90"/>
              <w:left w:type="dxa" w:w="150"/>
              <w:bottom w:type="dxa" w:w="90"/>
              <w:right w:type="dxa" w:w="150"/>
            </w:tcMar>
          </w:tcPr>
          <w:p>
            <w:r>
              <w:rPr>
                <w:rFonts w:ascii="Arial" w:cs="Arial" w:eastAsia="Arial" w:hAnsi="Arial"/>
                <w:b/>
                <w:bCs/>
                <w:color w:val="1A1A1A"/>
                <w:sz w:val="19"/>
                <w:szCs w:val="19"/>
              </w:rPr>
              <w:t xml:space="preserve">Operator BTC exposure</w:t>
            </w:r>
          </w:p>
        </w:tc>
        <w:tc>
          <w:tcPr>
            <w:tcW w:type="dxa" w:w="1900"/>
            <w:tcBorders>
              <w:top w:val="single" w:color="DDDDDD" w:sz="1"/>
              <w:left w:val="single" w:color="DDDDDD" w:sz="1"/>
              <w:bottom w:val="single" w:color="DDDDDD" w:sz="1"/>
              <w:right w:val="single" w:color="DDDDDD" w:sz="1"/>
            </w:tcBorders>
            <w:shd w:fill="F9F9F9" w:val="clear"/>
            <w:tcMar>
              <w:top w:type="dxa" w:w="90"/>
              <w:left w:type="dxa" w:w="150"/>
              <w:bottom w:type="dxa" w:w="90"/>
              <w:right w:type="dxa" w:w="150"/>
            </w:tcMar>
          </w:tcPr>
          <w:p>
            <w:r>
              <w:rPr>
                <w:rFonts w:ascii="Arial" w:cs="Arial" w:eastAsia="Arial" w:hAnsi="Arial"/>
                <w:color w:val="4A4A4A"/>
                <w:sz w:val="19"/>
                <w:szCs w:val="19"/>
              </w:rPr>
              <w:t xml:space="preserve">Zero</w:t>
            </w:r>
          </w:p>
        </w:tc>
        <w:tc>
          <w:tcPr>
            <w:tcW w:type="dxa" w:w="1900"/>
            <w:tcBorders>
              <w:top w:val="single" w:color="DDDDDD" w:sz="1"/>
              <w:left w:val="single" w:color="DDDDDD" w:sz="1"/>
              <w:bottom w:val="single" w:color="DDDDDD" w:sz="1"/>
              <w:right w:val="single" w:color="DDDDDD" w:sz="1"/>
            </w:tcBorders>
            <w:shd w:fill="F9F9F9" w:val="clear"/>
            <w:tcMar>
              <w:top w:type="dxa" w:w="90"/>
              <w:left w:type="dxa" w:w="150"/>
              <w:bottom w:type="dxa" w:w="90"/>
              <w:right w:type="dxa" w:w="150"/>
            </w:tcMar>
          </w:tcPr>
          <w:p>
            <w:r>
              <w:rPr>
                <w:rFonts w:ascii="Arial" w:cs="Arial" w:eastAsia="Arial" w:hAnsi="Arial"/>
                <w:color w:val="4A4A4A"/>
                <w:sz w:val="19"/>
                <w:szCs w:val="19"/>
              </w:rPr>
              <w:t xml:space="preserve">Proportional</w:t>
            </w:r>
          </w:p>
        </w:tc>
        <w:tc>
          <w:tcPr>
            <w:tcW w:type="dxa" w:w="1900"/>
            <w:tcBorders>
              <w:top w:val="single" w:color="DDDDDD" w:sz="1"/>
              <w:left w:val="single" w:color="DDDDDD" w:sz="1"/>
              <w:bottom w:val="single" w:color="DDDDDD" w:sz="1"/>
              <w:right w:val="single" w:color="DDDDDD" w:sz="1"/>
            </w:tcBorders>
            <w:shd w:fill="F9F9F9" w:val="clear"/>
            <w:tcMar>
              <w:top w:type="dxa" w:w="90"/>
              <w:left w:type="dxa" w:w="150"/>
              <w:bottom w:type="dxa" w:w="90"/>
              <w:right w:type="dxa" w:w="150"/>
            </w:tcMar>
          </w:tcPr>
          <w:p>
            <w:r>
              <w:rPr>
                <w:rFonts w:ascii="Arial" w:cs="Arial" w:eastAsia="Arial" w:hAnsi="Arial"/>
                <w:color w:val="4A4A4A"/>
                <w:sz w:val="19"/>
                <w:szCs w:val="19"/>
              </w:rPr>
              <w:t xml:space="preserve">Full (100%)</w:t>
            </w:r>
          </w:p>
        </w:tc>
        <w:tc>
          <w:tcPr>
            <w:tcW w:type="dxa" w:w="1900"/>
            <w:tcBorders>
              <w:top w:val="single" w:color="DDDDDD" w:sz="1"/>
              <w:left w:val="single" w:color="DDDDDD" w:sz="1"/>
              <w:bottom w:val="single" w:color="DDDDDD" w:sz="1"/>
              <w:right w:val="single" w:color="DDDDDD" w:sz="1"/>
            </w:tcBorders>
            <w:shd w:fill="F9F9F9" w:val="clear"/>
            <w:tcMar>
              <w:top w:type="dxa" w:w="90"/>
              <w:left w:type="dxa" w:w="150"/>
              <w:bottom w:type="dxa" w:w="90"/>
              <w:right w:type="dxa" w:w="150"/>
            </w:tcMar>
          </w:tcPr>
          <w:p>
            <w:r>
              <w:rPr>
                <w:rFonts w:ascii="Arial" w:cs="Arial" w:eastAsia="Arial" w:hAnsi="Arial"/>
                <w:color w:val="4A4A4A"/>
                <w:sz w:val="19"/>
                <w:szCs w:val="19"/>
              </w:rPr>
              <w:t xml:space="preserve">Partial (per split)</w:t>
            </w:r>
          </w:p>
        </w:tc>
      </w:tr>
      <w:tr>
        <w:tc>
          <w:tcPr>
            <w:tcW w:type="dxa" w:w="1760"/>
            <w:tcBorders>
              <w:top w:val="single" w:color="DDDDDD" w:sz="1"/>
              <w:left w:val="single" w:color="DDDDDD" w:sz="1"/>
              <w:bottom w:val="single" w:color="DDDDDD" w:sz="1"/>
              <w:right w:val="single" w:color="DDDDDD" w:sz="1"/>
            </w:tcBorders>
            <w:shd w:fill="F2F2F2" w:val="clear"/>
            <w:tcMar>
              <w:top w:type="dxa" w:w="90"/>
              <w:left w:type="dxa" w:w="150"/>
              <w:bottom w:type="dxa" w:w="90"/>
              <w:right w:type="dxa" w:w="150"/>
            </w:tcMar>
          </w:tcPr>
          <w:p>
            <w:r>
              <w:rPr>
                <w:rFonts w:ascii="Arial" w:cs="Arial" w:eastAsia="Arial" w:hAnsi="Arial"/>
                <w:b/>
                <w:bCs/>
                <w:color w:val="1A1A1A"/>
                <w:sz w:val="19"/>
                <w:szCs w:val="19"/>
              </w:rPr>
              <w:t xml:space="preserve">Operator revenue type</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USD (fixed rate/kWh)</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BTC or USD-equivalent</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BTC (all mined)</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BTC or USD per terms</w:t>
            </w:r>
          </w:p>
        </w:tc>
      </w:tr>
      <w:tr>
        <w:tc>
          <w:tcPr>
            <w:tcW w:type="dxa" w:w="1760"/>
            <w:tcBorders>
              <w:top w:val="single" w:color="DDDDDD" w:sz="1"/>
              <w:left w:val="single" w:color="DDDDDD" w:sz="1"/>
              <w:bottom w:val="single" w:color="DDDDDD" w:sz="1"/>
              <w:right w:val="single" w:color="DDDDDD" w:sz="1"/>
            </w:tcBorders>
            <w:shd w:fill="F2F2F2" w:val="clear"/>
            <w:tcMar>
              <w:top w:type="dxa" w:w="90"/>
              <w:left w:type="dxa" w:w="150"/>
              <w:bottom w:type="dxa" w:w="90"/>
              <w:right w:type="dxa" w:w="150"/>
            </w:tcMar>
          </w:tcPr>
          <w:p>
            <w:r>
              <w:rPr>
                <w:rFonts w:ascii="Arial" w:cs="Arial" w:eastAsia="Arial" w:hAnsi="Arial"/>
                <w:b/>
                <w:bCs/>
                <w:color w:val="1A1A1A"/>
                <w:sz w:val="19"/>
                <w:szCs w:val="19"/>
              </w:rPr>
              <w:t xml:space="preserve">Revenue vs. current baseline</w:t>
            </w:r>
          </w:p>
        </w:tc>
        <w:tc>
          <w:tcPr>
            <w:tcW w:type="dxa" w:w="1900"/>
            <w:tcBorders>
              <w:top w:val="single" w:color="DDDDDD" w:sz="1"/>
              <w:left w:val="single" w:color="DDDDDD" w:sz="1"/>
              <w:bottom w:val="single" w:color="DDDDDD" w:sz="1"/>
              <w:right w:val="single" w:color="DDDDDD" w:sz="1"/>
            </w:tcBorders>
            <w:shd w:fill="F9F9F9" w:val="clear"/>
            <w:tcMar>
              <w:top w:type="dxa" w:w="90"/>
              <w:left w:type="dxa" w:w="150"/>
              <w:bottom w:type="dxa" w:w="90"/>
              <w:right w:type="dxa" w:w="150"/>
            </w:tcMar>
          </w:tcPr>
          <w:p>
            <w:r>
              <w:rPr>
                <w:rFonts w:ascii="Arial" w:cs="Arial" w:eastAsia="Arial" w:hAnsi="Arial"/>
                <w:color w:val="4A4A4A"/>
                <w:sz w:val="19"/>
                <w:szCs w:val="19"/>
              </w:rPr>
              <w:t xml:space="preserve">Predictable improvement</w:t>
            </w:r>
          </w:p>
        </w:tc>
        <w:tc>
          <w:tcPr>
            <w:tcW w:type="dxa" w:w="1900"/>
            <w:tcBorders>
              <w:top w:val="single" w:color="DDDDDD" w:sz="1"/>
              <w:left w:val="single" w:color="DDDDDD" w:sz="1"/>
              <w:bottom w:val="single" w:color="DDDDDD" w:sz="1"/>
              <w:right w:val="single" w:color="DDDDDD" w:sz="1"/>
            </w:tcBorders>
            <w:shd w:fill="F9F9F9" w:val="clear"/>
            <w:tcMar>
              <w:top w:type="dxa" w:w="90"/>
              <w:left w:type="dxa" w:w="150"/>
              <w:bottom w:type="dxa" w:w="90"/>
              <w:right w:type="dxa" w:w="150"/>
            </w:tcMar>
          </w:tcPr>
          <w:p>
            <w:r>
              <w:rPr>
                <w:rFonts w:ascii="Arial" w:cs="Arial" w:eastAsia="Arial" w:hAnsi="Arial"/>
                <w:color w:val="4A4A4A"/>
                <w:sz w:val="19"/>
                <w:szCs w:val="19"/>
              </w:rPr>
              <w:t xml:space="preserve">Variable improvement</w:t>
            </w:r>
          </w:p>
        </w:tc>
        <w:tc>
          <w:tcPr>
            <w:tcW w:type="dxa" w:w="1900"/>
            <w:tcBorders>
              <w:top w:val="single" w:color="DDDDDD" w:sz="1"/>
              <w:left w:val="single" w:color="DDDDDD" w:sz="1"/>
              <w:bottom w:val="single" w:color="DDDDDD" w:sz="1"/>
              <w:right w:val="single" w:color="DDDDDD" w:sz="1"/>
            </w:tcBorders>
            <w:shd w:fill="F9F9F9" w:val="clear"/>
            <w:tcMar>
              <w:top w:type="dxa" w:w="90"/>
              <w:left w:type="dxa" w:w="150"/>
              <w:bottom w:type="dxa" w:w="90"/>
              <w:right w:type="dxa" w:w="150"/>
            </w:tcMar>
          </w:tcPr>
          <w:p>
            <w:r>
              <w:rPr>
                <w:rFonts w:ascii="Arial" w:cs="Arial" w:eastAsia="Arial" w:hAnsi="Arial"/>
                <w:color w:val="4A4A4A"/>
                <w:sz w:val="19"/>
                <w:szCs w:val="19"/>
              </w:rPr>
              <w:t xml:space="preserve">Maximum upside, maximum risk</w:t>
            </w:r>
          </w:p>
        </w:tc>
        <w:tc>
          <w:tcPr>
            <w:tcW w:type="dxa" w:w="1900"/>
            <w:tcBorders>
              <w:top w:val="single" w:color="DDDDDD" w:sz="1"/>
              <w:left w:val="single" w:color="DDDDDD" w:sz="1"/>
              <w:bottom w:val="single" w:color="DDDDDD" w:sz="1"/>
              <w:right w:val="single" w:color="DDDDDD" w:sz="1"/>
            </w:tcBorders>
            <w:shd w:fill="F9F9F9" w:val="clear"/>
            <w:tcMar>
              <w:top w:type="dxa" w:w="90"/>
              <w:left w:type="dxa" w:w="150"/>
              <w:bottom w:type="dxa" w:w="90"/>
              <w:right w:type="dxa" w:w="150"/>
            </w:tcMar>
          </w:tcPr>
          <w:p>
            <w:r>
              <w:rPr>
                <w:rFonts w:ascii="Arial" w:cs="Arial" w:eastAsia="Arial" w:hAnsi="Arial"/>
                <w:color w:val="4A4A4A"/>
                <w:sz w:val="19"/>
                <w:szCs w:val="19"/>
              </w:rPr>
              <w:t xml:space="preserve">Upside with zero CapEx</w:t>
            </w:r>
          </w:p>
        </w:tc>
      </w:tr>
      <w:tr>
        <w:tc>
          <w:tcPr>
            <w:tcW w:type="dxa" w:w="1760"/>
            <w:tcBorders>
              <w:top w:val="single" w:color="DDDDDD" w:sz="1"/>
              <w:left w:val="single" w:color="DDDDDD" w:sz="1"/>
              <w:bottom w:val="single" w:color="DDDDDD" w:sz="1"/>
              <w:right w:val="single" w:color="DDDDDD" w:sz="1"/>
            </w:tcBorders>
            <w:shd w:fill="F2F2F2" w:val="clear"/>
            <w:tcMar>
              <w:top w:type="dxa" w:w="90"/>
              <w:left w:type="dxa" w:w="150"/>
              <w:bottom w:type="dxa" w:w="90"/>
              <w:right w:type="dxa" w:w="150"/>
            </w:tcMar>
          </w:tcPr>
          <w:p>
            <w:r>
              <w:rPr>
                <w:rFonts w:ascii="Arial" w:cs="Arial" w:eastAsia="Arial" w:hAnsi="Arial"/>
                <w:b/>
                <w:bCs/>
                <w:color w:val="1A1A1A"/>
                <w:sz w:val="19"/>
                <w:szCs w:val="19"/>
              </w:rPr>
              <w:t xml:space="preserve">BTC on operator balance sheet</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No</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Optional (USD elect.)</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Yes, unless USD settlement</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Optional (USD elect.)</w:t>
            </w:r>
          </w:p>
        </w:tc>
      </w:tr>
      <w:tr>
        <w:tc>
          <w:tcPr>
            <w:tcW w:type="dxa" w:w="1760"/>
            <w:tcBorders>
              <w:top w:val="single" w:color="DDDDDD" w:sz="1"/>
              <w:left w:val="single" w:color="DDDDDD" w:sz="1"/>
              <w:bottom w:val="single" w:color="DDDDDD" w:sz="1"/>
              <w:right w:val="single" w:color="DDDDDD" w:sz="1"/>
            </w:tcBorders>
            <w:shd w:fill="F2F2F2" w:val="clear"/>
            <w:tcMar>
              <w:top w:type="dxa" w:w="90"/>
              <w:left w:type="dxa" w:w="150"/>
              <w:bottom w:type="dxa" w:w="90"/>
              <w:right w:type="dxa" w:w="150"/>
            </w:tcMar>
          </w:tcPr>
          <w:p>
            <w:r>
              <w:rPr>
                <w:rFonts w:ascii="Arial" w:cs="Arial" w:eastAsia="Arial" w:hAnsi="Arial"/>
                <w:b/>
                <w:bCs/>
                <w:color w:val="1A1A1A"/>
                <w:sz w:val="19"/>
                <w:szCs w:val="19"/>
              </w:rPr>
              <w:t xml:space="preserve">Who operates the system</w:t>
            </w:r>
          </w:p>
        </w:tc>
        <w:tc>
          <w:tcPr>
            <w:tcW w:type="dxa" w:w="1900"/>
            <w:tcBorders>
              <w:top w:val="single" w:color="DDDDDD" w:sz="1"/>
              <w:left w:val="single" w:color="DDDDDD" w:sz="1"/>
              <w:bottom w:val="single" w:color="DDDDDD" w:sz="1"/>
              <w:right w:val="single" w:color="DDDDDD" w:sz="1"/>
            </w:tcBorders>
            <w:shd w:fill="F9F9F9" w:val="clear"/>
            <w:tcMar>
              <w:top w:type="dxa" w:w="90"/>
              <w:left w:type="dxa" w:w="150"/>
              <w:bottom w:type="dxa" w:w="90"/>
              <w:right w:type="dxa" w:w="150"/>
            </w:tcMar>
          </w:tcPr>
          <w:p>
            <w:r>
              <w:rPr>
                <w:rFonts w:ascii="Arial" w:cs="Arial" w:eastAsia="Arial" w:hAnsi="Arial"/>
                <w:color w:val="4A4A4A"/>
                <w:sz w:val="19"/>
                <w:szCs w:val="19"/>
              </w:rPr>
              <w:t xml:space="preserve">MCF.digital</w:t>
            </w:r>
          </w:p>
        </w:tc>
        <w:tc>
          <w:tcPr>
            <w:tcW w:type="dxa" w:w="1900"/>
            <w:tcBorders>
              <w:top w:val="single" w:color="DDDDDD" w:sz="1"/>
              <w:left w:val="single" w:color="DDDDDD" w:sz="1"/>
              <w:bottom w:val="single" w:color="DDDDDD" w:sz="1"/>
              <w:right w:val="single" w:color="DDDDDD" w:sz="1"/>
            </w:tcBorders>
            <w:shd w:fill="F9F9F9" w:val="clear"/>
            <w:tcMar>
              <w:top w:type="dxa" w:w="90"/>
              <w:left w:type="dxa" w:w="150"/>
              <w:bottom w:type="dxa" w:w="90"/>
              <w:right w:type="dxa" w:w="150"/>
            </w:tcMar>
          </w:tcPr>
          <w:p>
            <w:r>
              <w:rPr>
                <w:rFonts w:ascii="Arial" w:cs="Arial" w:eastAsia="Arial" w:hAnsi="Arial"/>
                <w:color w:val="4A4A4A"/>
                <w:sz w:val="19"/>
                <w:szCs w:val="19"/>
              </w:rPr>
              <w:t xml:space="preserve">MCF.digital</w:t>
            </w:r>
          </w:p>
        </w:tc>
        <w:tc>
          <w:tcPr>
            <w:tcW w:type="dxa" w:w="1900"/>
            <w:tcBorders>
              <w:top w:val="single" w:color="DDDDDD" w:sz="1"/>
              <w:left w:val="single" w:color="DDDDDD" w:sz="1"/>
              <w:bottom w:val="single" w:color="DDDDDD" w:sz="1"/>
              <w:right w:val="single" w:color="DDDDDD" w:sz="1"/>
            </w:tcBorders>
            <w:shd w:fill="F9F9F9" w:val="clear"/>
            <w:tcMar>
              <w:top w:type="dxa" w:w="90"/>
              <w:left w:type="dxa" w:w="150"/>
              <w:bottom w:type="dxa" w:w="90"/>
              <w:right w:type="dxa" w:w="150"/>
            </w:tcMar>
          </w:tcPr>
          <w:p>
            <w:r>
              <w:rPr>
                <w:rFonts w:ascii="Arial" w:cs="Arial" w:eastAsia="Arial" w:hAnsi="Arial"/>
                <w:color w:val="4A4A4A"/>
                <w:sz w:val="19"/>
                <w:szCs w:val="19"/>
              </w:rPr>
              <w:t xml:space="preserve">MCF.digital / joint</w:t>
            </w:r>
          </w:p>
        </w:tc>
        <w:tc>
          <w:tcPr>
            <w:tcW w:type="dxa" w:w="1900"/>
            <w:tcBorders>
              <w:top w:val="single" w:color="DDDDDD" w:sz="1"/>
              <w:left w:val="single" w:color="DDDDDD" w:sz="1"/>
              <w:bottom w:val="single" w:color="DDDDDD" w:sz="1"/>
              <w:right w:val="single" w:color="DDDDDD" w:sz="1"/>
            </w:tcBorders>
            <w:shd w:fill="F9F9F9" w:val="clear"/>
            <w:tcMar>
              <w:top w:type="dxa" w:w="90"/>
              <w:left w:type="dxa" w:w="150"/>
              <w:bottom w:type="dxa" w:w="90"/>
              <w:right w:type="dxa" w:w="150"/>
            </w:tcMar>
          </w:tcPr>
          <w:p>
            <w:r>
              <w:rPr>
                <w:rFonts w:ascii="Arial" w:cs="Arial" w:eastAsia="Arial" w:hAnsi="Arial"/>
                <w:color w:val="4A4A4A"/>
                <w:sz w:val="19"/>
                <w:szCs w:val="19"/>
              </w:rPr>
              <w:t xml:space="preserve">MCF.digital</w:t>
            </w:r>
          </w:p>
        </w:tc>
      </w:tr>
      <w:tr>
        <w:tc>
          <w:tcPr>
            <w:tcW w:type="dxa" w:w="1760"/>
            <w:tcBorders>
              <w:top w:val="single" w:color="DDDDDD" w:sz="1"/>
              <w:left w:val="single" w:color="DDDDDD" w:sz="1"/>
              <w:bottom w:val="single" w:color="DDDDDD" w:sz="1"/>
              <w:right w:val="single" w:color="DDDDDD" w:sz="1"/>
            </w:tcBorders>
            <w:shd w:fill="F2F2F2" w:val="clear"/>
            <w:tcMar>
              <w:top w:type="dxa" w:w="90"/>
              <w:left w:type="dxa" w:w="150"/>
              <w:bottom w:type="dxa" w:w="90"/>
              <w:right w:type="dxa" w:w="150"/>
            </w:tcMar>
          </w:tcPr>
          <w:p>
            <w:r>
              <w:rPr>
                <w:rFonts w:ascii="Arial" w:cs="Arial" w:eastAsia="Arial" w:hAnsi="Arial"/>
                <w:b/>
                <w:bCs/>
                <w:color w:val="1A1A1A"/>
                <w:sz w:val="19"/>
                <w:szCs w:val="19"/>
              </w:rPr>
              <w:t xml:space="preserve">Best for operators who...</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Want stability + compliance</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Want upside, accept variance</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Want full BTC economics</w:t>
            </w:r>
          </w:p>
        </w:tc>
        <w:tc>
          <w:tcPr>
            <w:tcW w:type="dxa" w:w="19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4A4A4A"/>
                <w:sz w:val="19"/>
                <w:szCs w:val="19"/>
              </w:rPr>
              <w:t xml:space="preserve">Want deployment, zero capital</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A3A5C" w:val="clear"/>
            <w:tcMar>
              <w:top w:type="dxa" w:w="0"/>
              <w:left w:type="dxa" w:w="0"/>
              <w:bottom w:type="dxa" w:w="0"/>
              <w:right w:type="dxa" w:w="0"/>
            </w:tcMar>
          </w:tcPr>
          <w:p>
            <w:r>
              <w:t xml:space="preserve"/>
            </w:r>
          </w:p>
        </w:tc>
        <w:tc>
          <w:tcPr>
            <w:tcW w:type="dxa" w:w="9040"/>
            <w:tcBorders>
              <w:top w:val="none" w:color="FFFFFF" w:sz="0"/>
              <w:left w:val="none" w:color="FFFFFF" w:sz="0"/>
              <w:bottom w:val="none" w:color="FFFFFF" w:sz="0"/>
              <w:right w:val="none" w:color="FFFFFF" w:sz="0"/>
            </w:tcBorders>
            <w:shd w:fill="F4F4F4" w:val="clear"/>
            <w:tcMar>
              <w:top w:type="dxa" w:w="160"/>
              <w:left w:type="dxa" w:w="240"/>
              <w:bottom w:type="dxa" w:w="160"/>
              <w:right w:type="dxa" w:w="240"/>
            </w:tcMar>
          </w:tcPr>
          <w:p>
            <w:pPr>
              <w:spacing w:before="0" w:after="40"/>
            </w:pPr>
            <w:r>
              <w:rPr>
                <w:rFonts w:ascii="Arial" w:cs="Arial" w:eastAsia="Arial" w:hAnsi="Arial"/>
                <w:b/>
                <w:bCs/>
                <w:caps/>
                <w:color w:val="1A3A5C"/>
                <w:sz w:val="17"/>
                <w:szCs w:val="17"/>
              </w:rPr>
              <w:t xml:space="preserve">STRUCTURE 1</w:t>
            </w:r>
          </w:p>
          <w:p>
            <w:pPr>
              <w:spacing w:before="0" w:after="60"/>
            </w:pPr>
            <w:r>
              <w:rPr>
                <w:rFonts w:ascii="Arial" w:cs="Arial" w:eastAsia="Arial" w:hAnsi="Arial"/>
                <w:b/>
                <w:bCs/>
                <w:color w:val="1A1A1A"/>
                <w:sz w:val="30"/>
                <w:szCs w:val="30"/>
              </w:rPr>
              <w:t xml:space="preserve">Pure Hosting</w:t>
            </w:r>
          </w:p>
          <w:p>
            <w:pPr>
              <w:spacing w:before="0" w:after="0"/>
            </w:pPr>
            <w:r>
              <w:rPr>
                <w:rFonts w:ascii="Arial" w:cs="Arial" w:eastAsia="Arial" w:hAnsi="Arial"/>
                <w:color w:val="4A4A4A"/>
                <w:sz w:val="21"/>
                <w:szCs w:val="21"/>
              </w:rPr>
              <w:t xml:space="preserve">Fixed USD power rate · Zero Bitcoin exposure · Miner owns all BTC</w:t>
            </w:r>
          </w:p>
        </w:tc>
      </w:tr>
    </w:tbl>
    <w:p>
      <w:pPr>
        <w:spacing w:before="160" w:after="80"/>
      </w:pPr>
      <w:r>
        <w:t xml:space="preserve"/>
      </w:r>
    </w:p>
    <w:p>
      <w:pPr>
        <w:pStyle w:val="Heading3"/>
        <w:spacing w:before="240" w:after="100"/>
      </w:pPr>
      <w:r>
        <w:rPr>
          <w:rFonts w:ascii="Arial" w:cs="Arial" w:eastAsia="Arial" w:hAnsi="Arial"/>
          <w:b/>
          <w:bCs/>
          <w:color w:val="1A3A5C"/>
          <w:sz w:val="24"/>
          <w:szCs w:val="24"/>
        </w:rPr>
        <w:t xml:space="preserve">How It Works</w:t>
      </w:r>
    </w:p>
    <w:p>
      <w:pPr>
        <w:spacing w:before="100" w:after="140"/>
      </w:pPr>
      <w:r>
        <w:rPr>
          <w:rFonts w:ascii="Arial" w:cs="Arial" w:eastAsia="Arial" w:hAnsi="Arial"/>
          <w:color w:val="4A4A4A"/>
          <w:sz w:val="22"/>
          <w:szCs w:val="22"/>
        </w:rPr>
        <w:t xml:space="preserve">In a hosting arrangement, the operator provides the gas and pad access. MCF.digital supplies the generator, mining containers, ASICs, connectivity, and operations. The operator receives a fixed rate per kilowatt-hour of electricity consumed by the mining equipment—regardless of what Bitcoin does.</w:t>
      </w:r>
    </w:p>
    <w:p>
      <w:pPr>
        <w:spacing w:before="100" w:after="140"/>
      </w:pPr>
      <w:r>
        <w:rPr>
          <w:rFonts w:ascii="Arial" w:cs="Arial" w:eastAsia="Arial" w:hAnsi="Arial"/>
          <w:color w:val="4A4A4A"/>
          <w:sz w:val="22"/>
          <w:szCs w:val="22"/>
        </w:rPr>
        <w:t xml:space="preserve">The miner (MCF.digital or a third-party miner deploying equipment through MCF.digital) takes all Bitcoin produced. The operator’s revenue is denominated entirely in USD, paid on a defined schedule, and does not vary with hashprice, Bitcoin price, or network difficulty. It is the most predictable revenue structure available for a gas-to-hash deployment.</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1A3A5C"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1A3A5C"/>
                <w:sz w:val="20"/>
                <w:szCs w:val="20"/>
              </w:rPr>
              <w:t xml:space="preserve">Who bears BTC risk</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The miner entirely. A 50%, 70%, or 90% Bitcoin price decline has zero direct effect on the operator’s monthly revenue. The miner’s margin compresses; the operator’s income does not.</w:t>
            </w:r>
          </w:p>
        </w:tc>
      </w:tr>
      <w:tr>
        <w:tc>
          <w:tcPr>
            <w:tcW w:type="dxa" w:w="2200"/>
            <w:tcBorders>
              <w:top w:val="single" w:color="DDDDDD" w:sz="1"/>
              <w:left w:val="single" w:color="1A3A5C"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1A3A5C"/>
                <w:sz w:val="20"/>
                <w:szCs w:val="20"/>
              </w:rPr>
              <w:t xml:space="preserve">Payout mechanics</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Operator receives a fixed USD rate per kWh of electrical output consumed by the deployment. Power meter readings are the basis for billing. Payments are monthly. No Bitcoin wallet required.</w:t>
            </w:r>
          </w:p>
        </w:tc>
      </w:tr>
      <w:tr>
        <w:tc>
          <w:tcPr>
            <w:tcW w:type="dxa" w:w="2200"/>
            <w:tcBorders>
              <w:top w:val="single" w:color="DDDDDD" w:sz="1"/>
              <w:left w:val="single" w:color="1A3A5C"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1A3A5C"/>
                <w:sz w:val="20"/>
                <w:szCs w:val="20"/>
              </w:rPr>
              <w:t xml:space="preserve">When hosting stops</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If Bitcoin price falls to the point where the miner’s total cost of production exceeds the value of Bitcoin mined, the miner may elect to reduce or suspend operations. The deployment agreement defines minimum notice periods and compensation terms that protect the operator in this scenario.</w:t>
            </w:r>
          </w:p>
        </w:tc>
      </w:tr>
      <w:tr>
        <w:tc>
          <w:tcPr>
            <w:tcW w:type="dxa" w:w="2200"/>
            <w:tcBorders>
              <w:top w:val="single" w:color="DDDDDD" w:sz="1"/>
              <w:left w:val="single" w:color="1A3A5C"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1A3A5C"/>
                <w:sz w:val="20"/>
                <w:szCs w:val="20"/>
              </w:rPr>
              <w:t xml:space="preserve">Best fit</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Operators whose primary objective is compliance relief and stable USD income. CFOs and finance teams who cannot hold Bitcoin on the company balance sheet. Operators in new basins or on first deployments who want to evaluate gas-to-hash without commodity exposure.</w:t>
            </w:r>
          </w:p>
        </w:tc>
      </w:tr>
    </w:tbl>
    <w:p>
      <w:pPr>
        <w:spacing w:before="140" w:after="80"/>
      </w:pPr>
      <w:r>
        <w:t xml:space="preserve"/>
      </w:r>
    </w:p>
    <w:p>
      <w:pPr>
        <w:pStyle w:val="Heading3"/>
        <w:spacing w:before="240" w:after="100"/>
      </w:pPr>
      <w:r>
        <w:rPr>
          <w:rFonts w:ascii="Arial" w:cs="Arial" w:eastAsia="Arial" w:hAnsi="Arial"/>
          <w:b/>
          <w:bCs/>
          <w:color w:val="1A3A5C"/>
          <w:sz w:val="24"/>
          <w:szCs w:val="24"/>
        </w:rPr>
        <w:t xml:space="preserve">Hosting Payout Math: 200 Mcfd Example</w:t>
      </w:r>
    </w:p>
    <w:p>
      <w:pPr>
        <w:spacing w:before="100" w:after="140"/>
      </w:pPr>
      <w:r>
        <w:rPr>
          <w:rFonts w:ascii="Arial" w:cs="Arial" w:eastAsia="Arial" w:hAnsi="Arial"/>
          <w:color w:val="4A4A4A"/>
          <w:sz w:val="22"/>
          <w:szCs w:val="22"/>
        </w:rPr>
        <w:t xml:space="preserve">The following uses a 200 Mcfd gas stream at sea-level elevation, derate-adjusted to approximately 320 kW of effective mining capacity.</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none" w:color="FFFFFF" w:sz="0"/>
              <w:bottom w:val="single" w:color="1A3A5C" w:sz="4"/>
              <w:right w:val="none" w:color="FFFFFF" w:sz="0"/>
            </w:tcBorders>
            <w:shd w:fill="FAFAFA" w:val="clear"/>
            <w:tcMar>
              <w:top w:type="dxa" w:w="160"/>
              <w:left w:type="dxa" w:w="240"/>
              <w:bottom w:type="dxa" w:w="160"/>
              <w:right w:type="dxa" w:w="240"/>
            </w:tcMar>
          </w:tcPr>
          <w:p>
            <w:pPr>
              <w:spacing w:before="0" w:after="100"/>
            </w:pPr>
            <w:r>
              <w:rPr>
                <w:rFonts w:ascii="Arial" w:cs="Arial" w:eastAsia="Arial" w:hAnsi="Arial"/>
                <w:b/>
                <w:bCs/>
                <w:color w:val="1A3A5C"/>
                <w:sz w:val="21"/>
                <w:szCs w:val="21"/>
              </w:rPr>
              <w:t xml:space="preserve">Hosting Structure — Illustrative Monthly Revenue</w:t>
            </w:r>
          </w:p>
          <w:p>
            <w:pPr>
              <w:spacing w:before="40" w:after="40"/>
            </w:pPr>
            <w:r>
              <w:rPr>
                <w:rFonts w:ascii="Arial" w:cs="Arial" w:eastAsia="Arial" w:hAnsi="Arial"/>
                <w:b w:val="false"/>
                <w:bCs w:val="false"/>
                <w:color w:val="4A4A4A"/>
                <w:sz w:val="20"/>
                <w:szCs w:val="20"/>
              </w:rPr>
              <w:t xml:space="preserve">Effective mining capacity (derate-adjusted):       ~320 kW</w:t>
            </w:r>
          </w:p>
          <w:p>
            <w:pPr>
              <w:spacing w:before="40" w:after="40"/>
            </w:pPr>
            <w:r>
              <w:rPr>
                <w:rFonts w:ascii="Arial" w:cs="Arial" w:eastAsia="Arial" w:hAnsi="Arial"/>
                <w:b w:val="false"/>
                <w:bCs w:val="false"/>
                <w:color w:val="4A4A4A"/>
                <w:sz w:val="20"/>
                <w:szCs w:val="20"/>
              </w:rPr>
              <w:t xml:space="preserve">Hours per month:                                   720</w:t>
            </w:r>
          </w:p>
          <w:p>
            <w:pPr>
              <w:spacing w:before="40" w:after="40"/>
            </w:pPr>
            <w:r>
              <w:rPr>
                <w:rFonts w:ascii="Arial" w:cs="Arial" w:eastAsia="Arial" w:hAnsi="Arial"/>
                <w:b w:val="false"/>
                <w:bCs w:val="false"/>
                <w:color w:val="4A4A4A"/>
                <w:sz w:val="20"/>
                <w:szCs w:val="20"/>
              </w:rPr>
              <w:t xml:space="preserve">kWh consumed per month:                            ~230,400 kWh</w:t>
            </w:r>
          </w:p>
          <w:p>
            <w:pPr>
              <w:spacing w:before="40" w:after="40"/>
            </w:pPr>
            <w:r>
              <w:rPr>
                <w:rFonts w:ascii="Arial" w:cs="Arial" w:eastAsia="Arial" w:hAnsi="Arial"/>
                <w:b w:val="false"/>
                <w:bCs w:val="false"/>
                <w:color w:val="4A4A4A"/>
                <w:sz w:val="20"/>
                <w:szCs w:val="20"/>
              </w:rPr>
              <w:t xml:space="preserve">Hosting rate (illustrative):                       $0.025–$0.035/kWh</w:t>
            </w:r>
          </w:p>
          <w:p>
            <w:pPr>
              <w:spacing w:before="40" w:after="40"/>
            </w:pPr>
            <w:r>
              <w:rPr>
                <w:rFonts w:ascii="Arial" w:cs="Arial" w:eastAsia="Arial" w:hAnsi="Arial"/>
                <w:b/>
                <w:bCs/>
                <w:color w:val="1A1A1A"/>
                <w:sz w:val="20"/>
                <w:szCs w:val="20"/>
              </w:rPr>
              <w:t xml:space="preserve">= Operator monthly revenue:                        ~$5,750–$8,065/month</w:t>
            </w:r>
          </w:p>
          <w:p>
            <w:pPr>
              <w:spacing w:before="40" w:after="40"/>
            </w:pPr>
            <w:r>
              <w:rPr>
                <w:rFonts w:ascii="Arial" w:cs="Arial" w:eastAsia="Arial" w:hAnsi="Arial"/>
                <w:b/>
                <w:bCs/>
                <w:color w:val="1A1A1A"/>
                <w:sz w:val="20"/>
                <w:szCs w:val="20"/>
              </w:rPr>
              <w:t xml:space="preserve">→ Revenue is fixed. A 50% Bitcoin price decline: no change to operator income.</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1A3A5C"/>
                <w:sz w:val="22"/>
                <w:szCs w:val="22"/>
              </w:rPr>
              <w:t xml:space="preserve">THE HOSTING STRUCTURE FOR OPERATORS WHO CANNOT HOLD BITCOIN</w:t>
            </w:r>
          </w:p>
          <w:p>
            <w:pPr>
              <w:spacing w:before="0" w:after="0"/>
            </w:pPr>
            <w:r>
              <w:rPr>
                <w:rFonts w:ascii="Arial" w:cs="Arial" w:eastAsia="Arial" w:hAnsi="Arial"/>
                <w:color w:val="4A4A4A"/>
                <w:sz w:val="22"/>
                <w:szCs w:val="22"/>
              </w:rPr>
              <w:t xml:space="preserve">Many independent O&amp;G operators—particularly those with institutional investors, public reporting requirements, or conservative CFOs—cannot hold Bitcoin on their balance sheets or accept cryptocurrency as revenue. Hosting solves this entirely. The operator earns USD. The Bitcoin exists only in the miner’s custody. From an accounting and tax standpoint, the operator is selling electrical power, not mining cryptocurrency.</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2E5F3E" w:val="clear"/>
            <w:tcMar>
              <w:top w:type="dxa" w:w="0"/>
              <w:left w:type="dxa" w:w="0"/>
              <w:bottom w:type="dxa" w:w="0"/>
              <w:right w:type="dxa" w:w="0"/>
            </w:tcMar>
          </w:tcPr>
          <w:p>
            <w:r>
              <w:t xml:space="preserve"/>
            </w:r>
          </w:p>
        </w:tc>
        <w:tc>
          <w:tcPr>
            <w:tcW w:type="dxa" w:w="9040"/>
            <w:tcBorders>
              <w:top w:val="none" w:color="FFFFFF" w:sz="0"/>
              <w:left w:val="none" w:color="FFFFFF" w:sz="0"/>
              <w:bottom w:val="none" w:color="FFFFFF" w:sz="0"/>
              <w:right w:val="none" w:color="FFFFFF" w:sz="0"/>
            </w:tcBorders>
            <w:shd w:fill="F4F4F4" w:val="clear"/>
            <w:tcMar>
              <w:top w:type="dxa" w:w="160"/>
              <w:left w:type="dxa" w:w="240"/>
              <w:bottom w:type="dxa" w:w="160"/>
              <w:right w:type="dxa" w:w="240"/>
            </w:tcMar>
          </w:tcPr>
          <w:p>
            <w:pPr>
              <w:spacing w:before="0" w:after="40"/>
            </w:pPr>
            <w:r>
              <w:rPr>
                <w:rFonts w:ascii="Arial" w:cs="Arial" w:eastAsia="Arial" w:hAnsi="Arial"/>
                <w:b/>
                <w:bCs/>
                <w:caps/>
                <w:color w:val="2E5F3E"/>
                <w:sz w:val="17"/>
                <w:szCs w:val="17"/>
              </w:rPr>
              <w:t xml:space="preserve">STRUCTURE 2</w:t>
            </w:r>
          </w:p>
          <w:p>
            <w:pPr>
              <w:spacing w:before="0" w:after="60"/>
            </w:pPr>
            <w:r>
              <w:rPr>
                <w:rFonts w:ascii="Arial" w:cs="Arial" w:eastAsia="Arial" w:hAnsi="Arial"/>
                <w:b/>
                <w:bCs/>
                <w:color w:val="1A1A1A"/>
                <w:sz w:val="30"/>
                <w:szCs w:val="30"/>
              </w:rPr>
              <w:t xml:space="preserve">Revenue Share</w:t>
            </w:r>
          </w:p>
          <w:p>
            <w:pPr>
              <w:spacing w:before="0" w:after="0"/>
            </w:pPr>
            <w:r>
              <w:rPr>
                <w:rFonts w:ascii="Arial" w:cs="Arial" w:eastAsia="Arial" w:hAnsi="Arial"/>
                <w:color w:val="4A4A4A"/>
                <w:sz w:val="21"/>
                <w:szCs w:val="21"/>
              </w:rPr>
              <w:t xml:space="preserve">Proportional BTC split · Shared upside and downside · USD settlement available</w:t>
            </w:r>
          </w:p>
        </w:tc>
      </w:tr>
    </w:tbl>
    <w:p>
      <w:pPr>
        <w:spacing w:before="160" w:after="80"/>
      </w:pPr>
      <w:r>
        <w:t xml:space="preserve"/>
      </w:r>
    </w:p>
    <w:p>
      <w:pPr>
        <w:pStyle w:val="Heading3"/>
        <w:spacing w:before="240" w:after="100"/>
      </w:pPr>
      <w:r>
        <w:rPr>
          <w:rFonts w:ascii="Arial" w:cs="Arial" w:eastAsia="Arial" w:hAnsi="Arial"/>
          <w:b/>
          <w:bCs/>
          <w:color w:val="2E5F3E"/>
          <w:sz w:val="24"/>
          <w:szCs w:val="24"/>
        </w:rPr>
        <w:t xml:space="preserve">How It Works</w:t>
      </w:r>
    </w:p>
    <w:p>
      <w:pPr>
        <w:spacing w:before="100" w:after="140"/>
      </w:pPr>
      <w:r>
        <w:rPr>
          <w:rFonts w:ascii="Arial" w:cs="Arial" w:eastAsia="Arial" w:hAnsi="Arial"/>
          <w:color w:val="4A4A4A"/>
          <w:sz w:val="22"/>
          <w:szCs w:val="22"/>
        </w:rPr>
        <w:t xml:space="preserve">In a revenue share arrangement, the Bitcoin produced by the deployment is split between the operator and the miner according to a defined percentage—typically 40–60% to the operator, remainder to the miner. Both parties are exposed to Bitcoin price movement: when hashprice rises, both benefit; when it falls, both absorb the decline proportionally.</w:t>
      </w:r>
    </w:p>
    <w:p>
      <w:pPr>
        <w:spacing w:before="100" w:after="140"/>
      </w:pPr>
      <w:r>
        <w:rPr>
          <w:rFonts w:ascii="Arial" w:cs="Arial" w:eastAsia="Arial" w:hAnsi="Arial"/>
          <w:color w:val="4A4A4A"/>
          <w:sz w:val="22"/>
          <w:szCs w:val="22"/>
        </w:rPr>
        <w:t xml:space="preserve">The operator can elect to receive their share as Bitcoin (delivered to a designated wallet under a custody-first structure) or as USD equivalent at the spot price at the time of distribution. Most revenue share operators elect USD settlement to avoid Bitcoin accounting complexity, while retaining the upside of a BTC-correlated revenue stream.</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2E5F3E"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2E5F3E"/>
                <w:sz w:val="20"/>
                <w:szCs w:val="20"/>
              </w:rPr>
              <w:t xml:space="preserve">Who bears BTC risk</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Both parties, proportionally. The operator’s revenue rises and falls with hashprice. A 50% Bitcoin decline reduces the operator’s revenue by approximately 50%—but the baseline comparison is the current alternative (pipeline netback or flare at $0), not a hypothetical peak.</w:t>
            </w:r>
          </w:p>
        </w:tc>
      </w:tr>
      <w:tr>
        <w:tc>
          <w:tcPr>
            <w:tcW w:type="dxa" w:w="2200"/>
            <w:tcBorders>
              <w:top w:val="single" w:color="DDDDDD" w:sz="1"/>
              <w:left w:val="single" w:color="2E5F3E"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2E5F3E"/>
                <w:sz w:val="20"/>
                <w:szCs w:val="20"/>
              </w:rPr>
              <w:t xml:space="preserve">Payout mechanics</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Bitcoin mined is distributed to the operator’s wallet (or converted to USD) on a defined schedule—typically monthly. The split percentage, valuation timing, and USD conversion methodology are defined in the agreement. Reporting includes Bitcoin mined, spot price at distribution, and USD equivalent.</w:t>
            </w:r>
          </w:p>
        </w:tc>
      </w:tr>
      <w:tr>
        <w:tc>
          <w:tcPr>
            <w:tcW w:type="dxa" w:w="2200"/>
            <w:tcBorders>
              <w:top w:val="single" w:color="DDDDDD" w:sz="1"/>
              <w:left w:val="single" w:color="2E5F3E"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2E5F3E"/>
                <w:sz w:val="20"/>
                <w:szCs w:val="20"/>
              </w:rPr>
              <w:t xml:space="preserve">USD settlement option</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Most revenue share operators elect USD settlement. The agreement specifies the conversion mechanism: typically spot price at a defined daily window (e.g., daily average of a named exchange) at the time of distribution. This avoids Bitcoin accounting while retaining BTC-correlated revenue upside.</w:t>
            </w:r>
          </w:p>
        </w:tc>
      </w:tr>
      <w:tr>
        <w:tc>
          <w:tcPr>
            <w:tcW w:type="dxa" w:w="2200"/>
            <w:tcBorders>
              <w:top w:val="single" w:color="DDDDDD" w:sz="1"/>
              <w:left w:val="single" w:color="2E5F3E"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2E5F3E"/>
                <w:sz w:val="20"/>
                <w:szCs w:val="20"/>
              </w:rPr>
              <w:t xml:space="preserve">Best fit</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Operators who want participation in Bitcoin upside without committing CapEx. Common in the Bakken and Permian where sophisticated operators are comfortable with commodity risk and want non-correlated revenue exposure. Also common where the operator’s gas alternative is near zero (flare baseline), making any revenue acceptable at any BTC price.</w:t>
            </w:r>
          </w:p>
        </w:tc>
      </w:tr>
    </w:tbl>
    <w:p>
      <w:pPr>
        <w:spacing w:before="140" w:after="80"/>
      </w:pPr>
      <w:r>
        <w:t xml:space="preserve"/>
      </w:r>
    </w:p>
    <w:p>
      <w:pPr>
        <w:pStyle w:val="Heading3"/>
        <w:spacing w:before="240" w:after="100"/>
      </w:pPr>
      <w:r>
        <w:rPr>
          <w:rFonts w:ascii="Arial" w:cs="Arial" w:eastAsia="Arial" w:hAnsi="Arial"/>
          <w:b/>
          <w:bCs/>
          <w:color w:val="2E5F3E"/>
          <w:sz w:val="24"/>
          <w:szCs w:val="24"/>
        </w:rPr>
        <w:t xml:space="preserve">Revenue Share Payout Math: 200 Mcfd Example</w:t>
      </w:r>
    </w:p>
    <w:p>
      <w:pPr>
        <w:spacing w:before="100" w:after="140"/>
      </w:pPr>
      <w:r>
        <w:rPr>
          <w:rFonts w:ascii="Arial" w:cs="Arial" w:eastAsia="Arial" w:hAnsi="Arial"/>
          <w:color w:val="4A4A4A"/>
          <w:sz w:val="22"/>
          <w:szCs w:val="22"/>
        </w:rPr>
        <w:t xml:space="preserve">Same 200 Mcfd pad, 320 kW derate-adjusted capacity. Revenue share at 50/50 split.</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3E" w:sz="4"/>
              <w:left w:val="none" w:color="FFFFFF" w:sz="0"/>
              <w:bottom w:val="single" w:color="2E5F3E" w:sz="4"/>
              <w:right w:val="none" w:color="FFFFFF" w:sz="0"/>
            </w:tcBorders>
            <w:shd w:fill="FAFAFA" w:val="clear"/>
            <w:tcMar>
              <w:top w:type="dxa" w:w="160"/>
              <w:left w:type="dxa" w:w="240"/>
              <w:bottom w:type="dxa" w:w="160"/>
              <w:right w:type="dxa" w:w="240"/>
            </w:tcMar>
          </w:tcPr>
          <w:p>
            <w:pPr>
              <w:spacing w:before="0" w:after="100"/>
            </w:pPr>
            <w:r>
              <w:rPr>
                <w:rFonts w:ascii="Arial" w:cs="Arial" w:eastAsia="Arial" w:hAnsi="Arial"/>
                <w:b/>
                <w:bCs/>
                <w:color w:val="2E5F3E"/>
                <w:sz w:val="21"/>
                <w:szCs w:val="21"/>
              </w:rPr>
              <w:t xml:space="preserve">Revenue Share Structure — Illustrative Monthly Revenue (50% split)</w:t>
            </w:r>
          </w:p>
          <w:p>
            <w:pPr>
              <w:spacing w:before="40" w:after="40"/>
            </w:pPr>
            <w:r>
              <w:rPr>
                <w:rFonts w:ascii="Arial" w:cs="Arial" w:eastAsia="Arial" w:hAnsi="Arial"/>
                <w:b w:val="false"/>
                <w:bCs w:val="false"/>
                <w:color w:val="4A4A4A"/>
                <w:sz w:val="20"/>
                <w:szCs w:val="20"/>
              </w:rPr>
              <w:t xml:space="preserve">Total estimated monthly mining revenue (current hashprice): ~$14,000–18,000</w:t>
            </w:r>
          </w:p>
          <w:p>
            <w:pPr>
              <w:spacing w:before="40" w:after="40"/>
            </w:pPr>
            <w:r>
              <w:rPr>
                <w:rFonts w:ascii="Arial" w:cs="Arial" w:eastAsia="Arial" w:hAnsi="Arial"/>
                <w:b w:val="false"/>
                <w:bCs w:val="false"/>
                <w:color w:val="4A4A4A"/>
                <w:sz w:val="20"/>
                <w:szCs w:val="20"/>
              </w:rPr>
              <w:t xml:space="preserve">Operator share (50%):                                        ~$7,000–9,000/month</w:t>
            </w:r>
          </w:p>
          <w:p>
            <w:pPr>
              <w:spacing w:before="40" w:after="40"/>
            </w:pPr>
            <w:r>
              <w:rPr>
                <w:rFonts w:ascii="Arial" w:cs="Arial" w:eastAsia="Arial" w:hAnsi="Arial"/>
                <w:b w:val="false"/>
                <w:bCs w:val="false"/>
                <w:color w:val="4A4A4A"/>
                <w:sz w:val="20"/>
                <w:szCs w:val="20"/>
              </w:rPr>
              <w:t xml:space="preserve">—</w:t>
            </w:r>
          </w:p>
          <w:p>
            <w:pPr>
              <w:spacing w:before="40" w:after="40"/>
            </w:pPr>
            <w:r>
              <w:rPr>
                <w:rFonts w:ascii="Arial" w:cs="Arial" w:eastAsia="Arial" w:hAnsi="Arial"/>
                <w:b w:val="false"/>
                <w:bCs w:val="false"/>
                <w:color w:val="4A4A4A"/>
                <w:sz w:val="20"/>
                <w:szCs w:val="20"/>
              </w:rPr>
              <w:t xml:space="preserve">At −25% hashprice:                                          ~$5,250–6,750/month</w:t>
            </w:r>
          </w:p>
          <w:p>
            <w:pPr>
              <w:spacing w:before="40" w:after="40"/>
            </w:pPr>
            <w:r>
              <w:rPr>
                <w:rFonts w:ascii="Arial" w:cs="Arial" w:eastAsia="Arial" w:hAnsi="Arial"/>
                <w:b w:val="false"/>
                <w:bCs w:val="false"/>
                <w:color w:val="4A4A4A"/>
                <w:sz w:val="20"/>
                <w:szCs w:val="20"/>
              </w:rPr>
              <w:t xml:space="preserve">At −50% hashprice:                                          ~$3,500–4,500/month</w:t>
            </w:r>
          </w:p>
          <w:p>
            <w:pPr>
              <w:spacing w:before="40" w:after="40"/>
            </w:pPr>
            <w:r>
              <w:rPr>
                <w:rFonts w:ascii="Arial" w:cs="Arial" w:eastAsia="Arial" w:hAnsi="Arial"/>
                <w:b w:val="false"/>
                <w:bCs w:val="false"/>
                <w:color w:val="4A4A4A"/>
                <w:sz w:val="20"/>
                <w:szCs w:val="20"/>
              </w:rPr>
              <w:t xml:space="preserve">Pipeline alternative (current baseline):                     ~$3,000–4,500/month</w:t>
            </w:r>
          </w:p>
          <w:p>
            <w:pPr>
              <w:spacing w:before="40" w:after="40"/>
            </w:pPr>
            <w:r>
              <w:rPr>
                <w:rFonts w:ascii="Arial" w:cs="Arial" w:eastAsia="Arial" w:hAnsi="Arial"/>
                <w:b/>
                <w:bCs/>
                <w:color w:val="1A1A1A"/>
                <w:sz w:val="20"/>
                <w:szCs w:val="20"/>
              </w:rPr>
              <w:t xml:space="preserve">→ At −50% hashprice, revenue share still approximates pipeline alternative.</w:t>
            </w:r>
          </w:p>
          <w:p>
            <w:pPr>
              <w:spacing w:before="40" w:after="40"/>
            </w:pPr>
            <w:r>
              <w:rPr>
                <w:rFonts w:ascii="Arial" w:cs="Arial" w:eastAsia="Arial" w:hAnsi="Arial"/>
                <w:b/>
                <w:bCs/>
                <w:color w:val="1A1A1A"/>
                <w:sz w:val="20"/>
                <w:szCs w:val="20"/>
              </w:rPr>
              <w:t xml:space="preserve">→ For flare-baseline gas ($0), all revenue share income is above current baseline.</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6B3820" w:val="clear"/>
            <w:tcMar>
              <w:top w:type="dxa" w:w="0"/>
              <w:left w:type="dxa" w:w="0"/>
              <w:bottom w:type="dxa" w:w="0"/>
              <w:right w:type="dxa" w:w="0"/>
            </w:tcMar>
          </w:tcPr>
          <w:p>
            <w:r>
              <w:t xml:space="preserve"/>
            </w:r>
          </w:p>
        </w:tc>
        <w:tc>
          <w:tcPr>
            <w:tcW w:type="dxa" w:w="9040"/>
            <w:tcBorders>
              <w:top w:val="none" w:color="FFFFFF" w:sz="0"/>
              <w:left w:val="none" w:color="FFFFFF" w:sz="0"/>
              <w:bottom w:val="none" w:color="FFFFFF" w:sz="0"/>
              <w:right w:val="none" w:color="FFFFFF" w:sz="0"/>
            </w:tcBorders>
            <w:shd w:fill="F4F4F4" w:val="clear"/>
            <w:tcMar>
              <w:top w:type="dxa" w:w="160"/>
              <w:left w:type="dxa" w:w="240"/>
              <w:bottom w:type="dxa" w:w="160"/>
              <w:right w:type="dxa" w:w="240"/>
            </w:tcMar>
          </w:tcPr>
          <w:p>
            <w:pPr>
              <w:spacing w:before="0" w:after="40"/>
            </w:pPr>
            <w:r>
              <w:rPr>
                <w:rFonts w:ascii="Arial" w:cs="Arial" w:eastAsia="Arial" w:hAnsi="Arial"/>
                <w:b/>
                <w:bCs/>
                <w:caps/>
                <w:color w:val="6B3820"/>
                <w:sz w:val="17"/>
                <w:szCs w:val="17"/>
              </w:rPr>
              <w:t xml:space="preserve">STRUCTURE 3</w:t>
            </w:r>
          </w:p>
          <w:p>
            <w:pPr>
              <w:spacing w:before="0" w:after="60"/>
            </w:pPr>
            <w:r>
              <w:rPr>
                <w:rFonts w:ascii="Arial" w:cs="Arial" w:eastAsia="Arial" w:hAnsi="Arial"/>
                <w:b/>
                <w:bCs/>
                <w:color w:val="1A1A1A"/>
                <w:sz w:val="30"/>
                <w:szCs w:val="30"/>
              </w:rPr>
              <w:t xml:space="preserve">Direct Mining</w:t>
            </w:r>
          </w:p>
          <w:p>
            <w:pPr>
              <w:spacing w:before="0" w:after="0"/>
            </w:pPr>
            <w:r>
              <w:rPr>
                <w:rFonts w:ascii="Arial" w:cs="Arial" w:eastAsia="Arial" w:hAnsi="Arial"/>
                <w:color w:val="4A4A4A"/>
                <w:sz w:val="21"/>
                <w:szCs w:val="21"/>
              </w:rPr>
              <w:t xml:space="preserve">Operator owns the economics · Full BTC upside and downside · CapEx required</w:t>
            </w:r>
          </w:p>
        </w:tc>
      </w:tr>
    </w:tbl>
    <w:p>
      <w:pPr>
        <w:spacing w:before="160" w:after="80"/>
      </w:pPr>
      <w:r>
        <w:t xml:space="preserve"/>
      </w:r>
    </w:p>
    <w:p>
      <w:pPr>
        <w:pStyle w:val="Heading3"/>
        <w:spacing w:before="240" w:after="100"/>
      </w:pPr>
      <w:r>
        <w:rPr>
          <w:rFonts w:ascii="Arial" w:cs="Arial" w:eastAsia="Arial" w:hAnsi="Arial"/>
          <w:b/>
          <w:bCs/>
          <w:color w:val="6B3820"/>
          <w:sz w:val="24"/>
          <w:szCs w:val="24"/>
        </w:rPr>
        <w:t xml:space="preserve">How It Works</w:t>
      </w:r>
    </w:p>
    <w:p>
      <w:pPr>
        <w:spacing w:before="100" w:after="140"/>
      </w:pPr>
      <w:r>
        <w:rPr>
          <w:rFonts w:ascii="Arial" w:cs="Arial" w:eastAsia="Arial" w:hAnsi="Arial"/>
          <w:color w:val="4A4A4A"/>
          <w:sz w:val="22"/>
          <w:szCs w:val="22"/>
        </w:rPr>
        <w:t xml:space="preserve">In a direct mining arrangement, the operator owns or finances the mining equipment and takes 100% of the Bitcoin produced, net of MCF.digital’s operational fee. The operator is the miner. All Bitcoin exposure—upside and downside—belongs to the operator. MCF.digital handles equipment procurement, installation, operations, and maintenance under a service agreement.</w:t>
      </w:r>
    </w:p>
    <w:p>
      <w:pPr>
        <w:spacing w:before="100" w:after="140"/>
      </w:pPr>
      <w:r>
        <w:rPr>
          <w:rFonts w:ascii="Arial" w:cs="Arial" w:eastAsia="Arial" w:hAnsi="Arial"/>
          <w:color w:val="4A4A4A"/>
          <w:sz w:val="22"/>
          <w:szCs w:val="22"/>
        </w:rPr>
        <w:t xml:space="preserve">This structure requires capital: the operator (or their financing partner) must fund the CapEx for generator, containers, and ASIC miners. At 200 Mcfd scale, equipment CapEx typically runs $350,000–$700,000 depending on configuration and current ASIC market pricing. The payback period at current hashprice is typically 8–18 months, depending on the specific deployment and Bitcoin market conditions.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6B3820"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6B3820"/>
                <w:sz w:val="20"/>
                <w:szCs w:val="20"/>
              </w:rPr>
              <w:t xml:space="preserve">Who bears BTC risk</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The operator entirely. All revenue is BTC-denominated. A 50% Bitcoin price decline reduces revenue by approximately 50%. A 100% hashprice increase doubles it. The operator needs to evaluate this risk against their specific treasury objectives and gas baseline.</w:t>
            </w:r>
          </w:p>
        </w:tc>
      </w:tr>
      <w:tr>
        <w:tc>
          <w:tcPr>
            <w:tcW w:type="dxa" w:w="2200"/>
            <w:tcBorders>
              <w:top w:val="single" w:color="DDDDDD" w:sz="1"/>
              <w:left w:val="single" w:color="6B3820"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6B3820"/>
                <w:sz w:val="20"/>
                <w:szCs w:val="20"/>
              </w:rPr>
              <w:t xml:space="preserve">Payout mechanics</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Bitcoin is mined directly to the operator’s designated wallet under a custody-first structure. No counterparty holds the operator’s Bitcoin at any point. MCF.digital charges a fixed operational fee per month for operations, maintenance, and service—not a revenue percentage. The operator’s effective revenue is gross mining revenue minus the operational fee.</w:t>
            </w:r>
          </w:p>
        </w:tc>
      </w:tr>
      <w:tr>
        <w:tc>
          <w:tcPr>
            <w:tcW w:type="dxa" w:w="2200"/>
            <w:tcBorders>
              <w:top w:val="single" w:color="DDDDDD" w:sz="1"/>
              <w:left w:val="single" w:color="6B3820"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6B3820"/>
                <w:sz w:val="20"/>
                <w:szCs w:val="20"/>
              </w:rPr>
              <w:t xml:space="preserve">CapEx and payback</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Equipment CapEx is the operator’s primary financial commitment. At 200 Mcfd and current ASIC pricing, CapEx of $400,000–$600,000 is typical. At current hashprice, the implied payback is 10–16 months. ASIC residual value after the deployment window provides downside protection—miners can be sold or redeployed.</w:t>
            </w:r>
          </w:p>
        </w:tc>
      </w:tr>
      <w:tr>
        <w:tc>
          <w:tcPr>
            <w:tcW w:type="dxa" w:w="2200"/>
            <w:tcBorders>
              <w:top w:val="single" w:color="DDDDDD" w:sz="1"/>
              <w:left w:val="single" w:color="6B3820"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6B3820"/>
                <w:sz w:val="20"/>
                <w:szCs w:val="20"/>
              </w:rPr>
              <w:t xml:space="preserve">Best fit</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Operators with access to capital, a positive view on Bitcoin, and the treasury flexibility to hold Bitcoin on their books. Family-owned E&amp;P operators and private companies are more common in this structure than public companies. Also appropriate for operators who have evaluated the other structures and want maximum upside from their gas.</w:t>
            </w:r>
          </w:p>
        </w:tc>
      </w:tr>
    </w:tbl>
    <w:p>
      <w:pPr>
        <w:spacing w:before="140" w:after="80"/>
      </w:pPr>
      <w:r>
        <w:t xml:space="preserve"/>
      </w:r>
    </w:p>
    <w:p>
      <w:pPr>
        <w:pStyle w:val="Heading3"/>
        <w:spacing w:before="240" w:after="100"/>
      </w:pPr>
      <w:r>
        <w:rPr>
          <w:rFonts w:ascii="Arial" w:cs="Arial" w:eastAsia="Arial" w:hAnsi="Arial"/>
          <w:b/>
          <w:bCs/>
          <w:color w:val="6B3820"/>
          <w:sz w:val="24"/>
          <w:szCs w:val="24"/>
        </w:rPr>
        <w:t xml:space="preserve">Direct Mining Payout Math: 200 Mcfd Example</w:t>
      </w:r>
    </w:p>
    <w:p>
      <w:pPr>
        <w:spacing w:before="100" w:after="140"/>
      </w:pPr>
      <w:r>
        <w:rPr>
          <w:rFonts w:ascii="Arial" w:cs="Arial" w:eastAsia="Arial" w:hAnsi="Arial"/>
          <w:color w:val="4A4A4A"/>
          <w:sz w:val="22"/>
          <w:szCs w:val="22"/>
        </w:rPr>
        <w:t xml:space="preserve">Same 200 Mcfd pad, 320 kW. Operator owns equipment; MCF.digital charges operational fee.</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820" w:sz="4"/>
              <w:left w:val="none" w:color="FFFFFF" w:sz="0"/>
              <w:bottom w:val="single" w:color="6B3820" w:sz="4"/>
              <w:right w:val="none" w:color="FFFFFF" w:sz="0"/>
            </w:tcBorders>
            <w:shd w:fill="FAFAFA" w:val="clear"/>
            <w:tcMar>
              <w:top w:type="dxa" w:w="160"/>
              <w:left w:type="dxa" w:w="240"/>
              <w:bottom w:type="dxa" w:w="160"/>
              <w:right w:type="dxa" w:w="240"/>
            </w:tcMar>
          </w:tcPr>
          <w:p>
            <w:pPr>
              <w:spacing w:before="0" w:after="100"/>
            </w:pPr>
            <w:r>
              <w:rPr>
                <w:rFonts w:ascii="Arial" w:cs="Arial" w:eastAsia="Arial" w:hAnsi="Arial"/>
                <w:b/>
                <w:bCs/>
                <w:color w:val="6B3820"/>
                <w:sz w:val="21"/>
                <w:szCs w:val="21"/>
              </w:rPr>
              <w:t xml:space="preserve">Direct Mining Structure — Illustrative Monthly Revenue</w:t>
            </w:r>
          </w:p>
          <w:p>
            <w:pPr>
              <w:spacing w:before="40" w:after="40"/>
            </w:pPr>
            <w:r>
              <w:rPr>
                <w:rFonts w:ascii="Arial" w:cs="Arial" w:eastAsia="Arial" w:hAnsi="Arial"/>
                <w:b w:val="false"/>
                <w:bCs w:val="false"/>
                <w:color w:val="4A4A4A"/>
                <w:sz w:val="20"/>
                <w:szCs w:val="20"/>
              </w:rPr>
              <w:t xml:space="preserve">Total estimated monthly mining revenue (current hashprice): ~$14,000–18,000</w:t>
            </w:r>
          </w:p>
          <w:p>
            <w:pPr>
              <w:spacing w:before="40" w:after="40"/>
            </w:pPr>
            <w:r>
              <w:rPr>
                <w:rFonts w:ascii="Arial" w:cs="Arial" w:eastAsia="Arial" w:hAnsi="Arial"/>
                <w:b w:val="false"/>
                <w:bCs w:val="false"/>
                <w:color w:val="4A4A4A"/>
                <w:sz w:val="20"/>
                <w:szCs w:val="20"/>
              </w:rPr>
              <w:t xml:space="preserve">MCF.digital operational fee (illustrative):                 −$1,500–2,500/month</w:t>
            </w:r>
          </w:p>
          <w:p>
            <w:pPr>
              <w:spacing w:before="40" w:after="40"/>
            </w:pPr>
            <w:r>
              <w:rPr>
                <w:rFonts w:ascii="Arial" w:cs="Arial" w:eastAsia="Arial" w:hAnsi="Arial"/>
                <w:b/>
                <w:bCs/>
                <w:color w:val="1A1A1A"/>
                <w:sz w:val="20"/>
                <w:szCs w:val="20"/>
              </w:rPr>
              <w:t xml:space="preserve">= Operator net monthly revenue:                             ~$12,000–16,000/month</w:t>
            </w:r>
          </w:p>
          <w:p>
            <w:pPr>
              <w:spacing w:before="40" w:after="40"/>
            </w:pPr>
            <w:r>
              <w:rPr>
                <w:rFonts w:ascii="Arial" w:cs="Arial" w:eastAsia="Arial" w:hAnsi="Arial"/>
                <w:b w:val="false"/>
                <w:bCs w:val="false"/>
                <w:color w:val="4A4A4A"/>
                <w:sz w:val="20"/>
                <w:szCs w:val="20"/>
              </w:rPr>
              <w:t xml:space="preserve">—</w:t>
            </w:r>
          </w:p>
          <w:p>
            <w:pPr>
              <w:spacing w:before="40" w:after="40"/>
            </w:pPr>
            <w:r>
              <w:rPr>
                <w:rFonts w:ascii="Arial" w:cs="Arial" w:eastAsia="Arial" w:hAnsi="Arial"/>
                <w:b w:val="false"/>
                <w:bCs w:val="false"/>
                <w:color w:val="4A4A4A"/>
                <w:sz w:val="20"/>
                <w:szCs w:val="20"/>
              </w:rPr>
              <w:t xml:space="preserve">CapEx (est. 320 kW deployment):                             ~$400,000–$600,000</w:t>
            </w:r>
          </w:p>
          <w:p>
            <w:pPr>
              <w:spacing w:before="40" w:after="40"/>
            </w:pPr>
            <w:r>
              <w:rPr>
                <w:rFonts w:ascii="Arial" w:cs="Arial" w:eastAsia="Arial" w:hAnsi="Arial"/>
                <w:b w:val="false"/>
                <w:bCs w:val="false"/>
                <w:color w:val="4A4A4A"/>
                <w:sz w:val="20"/>
                <w:szCs w:val="20"/>
              </w:rPr>
              <w:t xml:space="preserve">Implied payback period (current hashprice):                 ~10–16 months</w:t>
            </w:r>
          </w:p>
          <w:p>
            <w:pPr>
              <w:spacing w:before="40" w:after="40"/>
            </w:pPr>
            <w:r>
              <w:rPr>
                <w:rFonts w:ascii="Arial" w:cs="Arial" w:eastAsia="Arial" w:hAnsi="Arial"/>
                <w:b w:val="false"/>
                <w:bCs w:val="false"/>
                <w:color w:val="4A4A4A"/>
                <w:sz w:val="20"/>
                <w:szCs w:val="20"/>
              </w:rPr>
              <w:t xml:space="preserve">At −50% hashprice:                                          ~$5,500–7,500/month net</w:t>
            </w:r>
          </w:p>
          <w:p>
            <w:pPr>
              <w:spacing w:before="40" w:after="40"/>
            </w:pPr>
            <w:r>
              <w:rPr>
                <w:rFonts w:ascii="Arial" w:cs="Arial" w:eastAsia="Arial" w:hAnsi="Arial"/>
                <w:b/>
                <w:bCs/>
                <w:color w:val="1A1A1A"/>
                <w:sz w:val="20"/>
                <w:szCs w:val="20"/>
              </w:rPr>
              <w:t xml:space="preserve">→ Highest monthly income of any structure at current hashprice.</w:t>
            </w:r>
          </w:p>
          <w:p>
            <w:pPr>
              <w:spacing w:before="40" w:after="40"/>
            </w:pPr>
            <w:r>
              <w:rPr>
                <w:rFonts w:ascii="Arial" w:cs="Arial" w:eastAsia="Arial" w:hAnsi="Arial"/>
                <w:b/>
                <w:bCs/>
                <w:color w:val="1A1A1A"/>
                <w:sz w:val="20"/>
                <w:szCs w:val="20"/>
              </w:rPr>
              <w:t xml:space="preserve">→ Requires CapEx commitment and full acceptance of BTC price risk.</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3D2B6B" w:val="clear"/>
            <w:tcMar>
              <w:top w:type="dxa" w:w="0"/>
              <w:left w:type="dxa" w:w="0"/>
              <w:bottom w:type="dxa" w:w="0"/>
              <w:right w:type="dxa" w:w="0"/>
            </w:tcMar>
          </w:tcPr>
          <w:p>
            <w:r>
              <w:t xml:space="preserve"/>
            </w:r>
          </w:p>
        </w:tc>
        <w:tc>
          <w:tcPr>
            <w:tcW w:type="dxa" w:w="9040"/>
            <w:tcBorders>
              <w:top w:val="none" w:color="FFFFFF" w:sz="0"/>
              <w:left w:val="none" w:color="FFFFFF" w:sz="0"/>
              <w:bottom w:val="none" w:color="FFFFFF" w:sz="0"/>
              <w:right w:val="none" w:color="FFFFFF" w:sz="0"/>
            </w:tcBorders>
            <w:shd w:fill="F4F4F4" w:val="clear"/>
            <w:tcMar>
              <w:top w:type="dxa" w:w="160"/>
              <w:left w:type="dxa" w:w="240"/>
              <w:bottom w:type="dxa" w:w="160"/>
              <w:right w:type="dxa" w:w="240"/>
            </w:tcMar>
          </w:tcPr>
          <w:p>
            <w:pPr>
              <w:spacing w:before="0" w:after="40"/>
            </w:pPr>
            <w:r>
              <w:rPr>
                <w:rFonts w:ascii="Arial" w:cs="Arial" w:eastAsia="Arial" w:hAnsi="Arial"/>
                <w:b/>
                <w:bCs/>
                <w:caps/>
                <w:color w:val="3D2B6B"/>
                <w:sz w:val="17"/>
                <w:szCs w:val="17"/>
              </w:rPr>
              <w:t xml:space="preserve">STRUCTURE 4</w:t>
            </w:r>
          </w:p>
          <w:p>
            <w:pPr>
              <w:spacing w:before="0" w:after="60"/>
            </w:pPr>
            <w:r>
              <w:rPr>
                <w:rFonts w:ascii="Arial" w:cs="Arial" w:eastAsia="Arial" w:hAnsi="Arial"/>
                <w:b/>
                <w:bCs/>
                <w:color w:val="1A1A1A"/>
                <w:sz w:val="30"/>
                <w:szCs w:val="30"/>
              </w:rPr>
              <w:t xml:space="preserve">Capital Partner</w:t>
            </w:r>
          </w:p>
          <w:p>
            <w:pPr>
              <w:spacing w:before="0" w:after="0"/>
            </w:pPr>
            <w:r>
              <w:rPr>
                <w:rFonts w:ascii="Arial" w:cs="Arial" w:eastAsia="Arial" w:hAnsi="Arial"/>
                <w:color w:val="4A4A4A"/>
                <w:sz w:val="21"/>
                <w:szCs w:val="21"/>
              </w:rPr>
              <w:t xml:space="preserve">HNWI or family office funds CapEx · Revenue shared three ways · Zero operator capital</w:t>
            </w:r>
          </w:p>
        </w:tc>
      </w:tr>
    </w:tbl>
    <w:p>
      <w:pPr>
        <w:spacing w:before="160" w:after="80"/>
      </w:pPr>
      <w:r>
        <w:t xml:space="preserve"/>
      </w:r>
    </w:p>
    <w:p>
      <w:pPr>
        <w:pStyle w:val="Heading3"/>
        <w:spacing w:before="240" w:after="100"/>
      </w:pPr>
      <w:r>
        <w:rPr>
          <w:rFonts w:ascii="Arial" w:cs="Arial" w:eastAsia="Arial" w:hAnsi="Arial"/>
          <w:b/>
          <w:bCs/>
          <w:color w:val="3D2B6B"/>
          <w:sz w:val="24"/>
          <w:szCs w:val="24"/>
        </w:rPr>
        <w:t xml:space="preserve">How It Works</w:t>
      </w:r>
    </w:p>
    <w:p>
      <w:pPr>
        <w:spacing w:before="100" w:after="140"/>
      </w:pPr>
      <w:r>
        <w:rPr>
          <w:rFonts w:ascii="Arial" w:cs="Arial" w:eastAsia="Arial" w:hAnsi="Arial"/>
          <w:color w:val="4A4A4A"/>
          <w:sz w:val="22"/>
          <w:szCs w:val="22"/>
        </w:rPr>
        <w:t xml:space="preserve">The capital partner structure introduces a third party—typically a high-net-worth individual (HNWI) or family office—who provides the equipment CapEx in exchange for a defined share of mining revenue. The operator provides gas and pad access at zero capital cost. MCF.digital provides operations. Revenue flows to all three parties according to agreed percentages.</w:t>
      </w:r>
    </w:p>
    <w:p>
      <w:pPr>
        <w:spacing w:before="100" w:after="140"/>
      </w:pPr>
      <w:r>
        <w:rPr>
          <w:rFonts w:ascii="Arial" w:cs="Arial" w:eastAsia="Arial" w:hAnsi="Arial"/>
          <w:color w:val="4A4A4A"/>
          <w:sz w:val="22"/>
          <w:szCs w:val="22"/>
        </w:rPr>
        <w:t xml:space="preserve">This structure is designed for operators who want the economics of a direct mining deployment without committing capital. It is also the primary structure for institutional and private wealth investors who want real-asset Bitcoin exposure without operating an O&amp;G lease themselves. The capital partner is providing the financial infrastructure; the operator is providing the energy and land infrastructure; MCF.digital is providing the operational infrastructure.</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3D2B6B"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3D2B6B"/>
                <w:sz w:val="20"/>
                <w:szCs w:val="20"/>
              </w:rPr>
              <w:t xml:space="preserve">Who bears BTC risk</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All parties, in proportion to their revenue share. The capital partner typically takes the largest share and bears the most BTC exposure. The operator’s share is smaller but still BTC-correlated. MCF.digital’s operational fee is typically fixed, providing the operations layer with the least BTC exposure of the three parties.</w:t>
            </w:r>
          </w:p>
        </w:tc>
      </w:tr>
      <w:tr>
        <w:tc>
          <w:tcPr>
            <w:tcW w:type="dxa" w:w="2200"/>
            <w:tcBorders>
              <w:top w:val="single" w:color="DDDDDD" w:sz="1"/>
              <w:left w:val="single" w:color="3D2B6B"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3D2B6B"/>
                <w:sz w:val="20"/>
                <w:szCs w:val="20"/>
              </w:rPr>
              <w:t xml:space="preserve">Payout mechanics</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Bitcoin produced is distributed first to each party’s designated wallet (custody-first for all parties), then converted to USD at each party’s election. The capital partner typically receives 40–55% of mining revenue; the operator receives 25–40%; MCF.digital receives 15–25% or a fixed operational fee. Exact splits are negotiated per deployment.</w:t>
            </w:r>
          </w:p>
        </w:tc>
      </w:tr>
      <w:tr>
        <w:tc>
          <w:tcPr>
            <w:tcW w:type="dxa" w:w="2200"/>
            <w:tcBorders>
              <w:top w:val="single" w:color="DDDDDD" w:sz="1"/>
              <w:left w:val="single" w:color="3D2B6B"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3D2B6B"/>
                <w:sz w:val="20"/>
                <w:szCs w:val="20"/>
              </w:rPr>
              <w:t xml:space="preserve">CapEx and returns</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The capital partner funds equipment CapEx ($400,000–$600,000 at 200 Mcfd scale) and earns a revenue share that implies a 12–24 month payback on their capital at current hashprice, followed by ongoing income for the duration of the deployment. ASIC residual value belongs to the capital partner at deployment end.</w:t>
            </w:r>
          </w:p>
        </w:tc>
      </w:tr>
      <w:tr>
        <w:tc>
          <w:tcPr>
            <w:tcW w:type="dxa" w:w="2200"/>
            <w:tcBorders>
              <w:top w:val="single" w:color="DDDDDD" w:sz="1"/>
              <w:left w:val="single" w:color="3D2B6B" w:sz="6"/>
              <w:bottom w:val="single" w:color="DDDDDD" w:sz="1"/>
              <w:right w:val="single" w:color="DDDDDD" w:sz="1"/>
            </w:tcBorders>
            <w:shd w:fill="F0F0F0" w:val="clear"/>
            <w:tcMar>
              <w:top w:type="dxa" w:w="120"/>
              <w:left w:type="dxa" w:w="160"/>
              <w:bottom w:type="dxa" w:w="120"/>
              <w:right w:type="dxa" w:w="160"/>
            </w:tcMar>
          </w:tcPr>
          <w:p>
            <w:r>
              <w:rPr>
                <w:rFonts w:ascii="Arial" w:cs="Arial" w:eastAsia="Arial" w:hAnsi="Arial"/>
                <w:b/>
                <w:bCs/>
                <w:color w:val="3D2B6B"/>
                <w:sz w:val="20"/>
                <w:szCs w:val="20"/>
              </w:rPr>
              <w:t xml:space="preserve">Best fit</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Operators who want deployment without capital commitment. Pre-pipeline new pad locations where the operator needs an immediate gas management solution before the gathering connection is complete. Investors seeking real-asset Bitcoin exposure with operational diversification across multiple pads. Family offices evaluating the gas-to-hash thesis before committing to a larger position.</w:t>
            </w:r>
          </w:p>
        </w:tc>
      </w:tr>
    </w:tbl>
    <w:p>
      <w:pPr>
        <w:spacing w:before="140" w:after="80"/>
      </w:pPr>
      <w:r>
        <w:t xml:space="preserve"/>
      </w:r>
    </w:p>
    <w:p>
      <w:pPr>
        <w:pStyle w:val="Heading3"/>
        <w:spacing w:before="240" w:after="100"/>
      </w:pPr>
      <w:r>
        <w:rPr>
          <w:rFonts w:ascii="Arial" w:cs="Arial" w:eastAsia="Arial" w:hAnsi="Arial"/>
          <w:b/>
          <w:bCs/>
          <w:color w:val="3D2B6B"/>
          <w:sz w:val="24"/>
          <w:szCs w:val="24"/>
        </w:rPr>
        <w:t xml:space="preserve">Capital Partner Payout Math: 200 Mcfd Example</w:t>
      </w:r>
    </w:p>
    <w:p>
      <w:pPr>
        <w:spacing w:before="100" w:after="140"/>
      </w:pPr>
      <w:r>
        <w:rPr>
          <w:rFonts w:ascii="Arial" w:cs="Arial" w:eastAsia="Arial" w:hAnsi="Arial"/>
          <w:color w:val="4A4A4A"/>
          <w:sz w:val="22"/>
          <w:szCs w:val="22"/>
        </w:rPr>
        <w:t xml:space="preserve">Three-party split at 200 Mcfd. Illustrative: Capital partner 45% / Operator 35% / MCF.digital 20%.</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2B6B" w:sz="4"/>
              <w:left w:val="none" w:color="FFFFFF" w:sz="0"/>
              <w:bottom w:val="single" w:color="3D2B6B" w:sz="4"/>
              <w:right w:val="none" w:color="FFFFFF" w:sz="0"/>
            </w:tcBorders>
            <w:shd w:fill="FAFAFA" w:val="clear"/>
            <w:tcMar>
              <w:top w:type="dxa" w:w="160"/>
              <w:left w:type="dxa" w:w="240"/>
              <w:bottom w:type="dxa" w:w="160"/>
              <w:right w:type="dxa" w:w="240"/>
            </w:tcMar>
          </w:tcPr>
          <w:p>
            <w:pPr>
              <w:spacing w:before="0" w:after="100"/>
            </w:pPr>
            <w:r>
              <w:rPr>
                <w:rFonts w:ascii="Arial" w:cs="Arial" w:eastAsia="Arial" w:hAnsi="Arial"/>
                <w:b/>
                <w:bCs/>
                <w:color w:val="3D2B6B"/>
                <w:sz w:val="21"/>
                <w:szCs w:val="21"/>
              </w:rPr>
              <w:t xml:space="preserve">Capital Partner Structure — Illustrative Monthly Revenue by Party</w:t>
            </w:r>
          </w:p>
          <w:p>
            <w:pPr>
              <w:spacing w:before="40" w:after="40"/>
            </w:pPr>
            <w:r>
              <w:rPr>
                <w:rFonts w:ascii="Arial" w:cs="Arial" w:eastAsia="Arial" w:hAnsi="Arial"/>
                <w:b w:val="false"/>
                <w:bCs w:val="false"/>
                <w:color w:val="4A4A4A"/>
                <w:sz w:val="20"/>
                <w:szCs w:val="20"/>
              </w:rPr>
              <w:t xml:space="preserve">Total estimated monthly mining revenue (current hashprice): ~$14,000–18,000</w:t>
            </w:r>
          </w:p>
          <w:p>
            <w:pPr>
              <w:spacing w:before="40" w:after="40"/>
            </w:pPr>
            <w:r>
              <w:rPr>
                <w:rFonts w:ascii="Arial" w:cs="Arial" w:eastAsia="Arial" w:hAnsi="Arial"/>
                <w:b w:val="false"/>
                <w:bCs w:val="false"/>
                <w:color w:val="4A4A4A"/>
                <w:sz w:val="20"/>
                <w:szCs w:val="20"/>
              </w:rPr>
              <w:t xml:space="preserve">—</w:t>
            </w:r>
          </w:p>
          <w:p>
            <w:pPr>
              <w:spacing w:before="40" w:after="40"/>
            </w:pPr>
            <w:r>
              <w:rPr>
                <w:rFonts w:ascii="Arial" w:cs="Arial" w:eastAsia="Arial" w:hAnsi="Arial"/>
                <w:b w:val="false"/>
                <w:bCs w:val="false"/>
                <w:color w:val="4A4A4A"/>
                <w:sz w:val="20"/>
                <w:szCs w:val="20"/>
              </w:rPr>
              <w:t xml:space="preserve">Capital partner (45%):    ~$6,300–8,100/month</w:t>
            </w:r>
          </w:p>
          <w:p>
            <w:pPr>
              <w:spacing w:before="40" w:after="40"/>
            </w:pPr>
            <w:r>
              <w:rPr>
                <w:rFonts w:ascii="Arial" w:cs="Arial" w:eastAsia="Arial" w:hAnsi="Arial"/>
                <w:b w:val="false"/>
                <w:bCs w:val="false"/>
                <w:color w:val="4A4A4A"/>
                <w:sz w:val="20"/>
                <w:szCs w:val="20"/>
              </w:rPr>
              <w:t xml:space="preserve">Operator (35%):           ~$4,900–6,300/month  (zero CapEx committed)</w:t>
            </w:r>
          </w:p>
          <w:p>
            <w:pPr>
              <w:spacing w:before="40" w:after="40"/>
            </w:pPr>
            <w:r>
              <w:rPr>
                <w:rFonts w:ascii="Arial" w:cs="Arial" w:eastAsia="Arial" w:hAnsi="Arial"/>
                <w:b w:val="false"/>
                <w:bCs w:val="false"/>
                <w:color w:val="4A4A4A"/>
                <w:sz w:val="20"/>
                <w:szCs w:val="20"/>
              </w:rPr>
              <w:t xml:space="preserve">MCF.digital (20%):        ~$2,800–3,600/month</w:t>
            </w:r>
          </w:p>
          <w:p>
            <w:pPr>
              <w:spacing w:before="40" w:after="40"/>
            </w:pPr>
            <w:r>
              <w:rPr>
                <w:rFonts w:ascii="Arial" w:cs="Arial" w:eastAsia="Arial" w:hAnsi="Arial"/>
                <w:b w:val="false"/>
                <w:bCs w:val="false"/>
                <w:color w:val="4A4A4A"/>
                <w:sz w:val="20"/>
                <w:szCs w:val="20"/>
              </w:rPr>
              <w:t xml:space="preserve">—</w:t>
            </w:r>
          </w:p>
          <w:p>
            <w:pPr>
              <w:spacing w:before="40" w:after="40"/>
            </w:pPr>
            <w:r>
              <w:rPr>
                <w:rFonts w:ascii="Arial" w:cs="Arial" w:eastAsia="Arial" w:hAnsi="Arial"/>
                <w:b w:val="false"/>
                <w:bCs w:val="false"/>
                <w:color w:val="4A4A4A"/>
                <w:sz w:val="20"/>
                <w:szCs w:val="20"/>
              </w:rPr>
              <w:t xml:space="preserve">Capital partner CapEx recovery (at 45% share, ~$16,000/mo midpoint): ~30–40 months</w:t>
            </w:r>
          </w:p>
          <w:p>
            <w:pPr>
              <w:spacing w:before="40" w:after="40"/>
            </w:pPr>
            <w:r>
              <w:rPr>
                <w:rFonts w:ascii="Arial" w:cs="Arial" w:eastAsia="Arial" w:hAnsi="Arial"/>
                <w:b/>
                <w:bCs/>
                <w:color w:val="1A1A1A"/>
                <w:sz w:val="20"/>
                <w:szCs w:val="20"/>
              </w:rPr>
              <w:t xml:space="preserve">→ Operator earns $4,900–6,300/month with no equipment investment.</w:t>
            </w:r>
          </w:p>
          <w:p>
            <w:pPr>
              <w:spacing w:before="40" w:after="40"/>
            </w:pPr>
            <w:r>
              <w:rPr>
                <w:rFonts w:ascii="Arial" w:cs="Arial" w:eastAsia="Arial" w:hAnsi="Arial"/>
                <w:b/>
                <w:bCs/>
                <w:color w:val="1A1A1A"/>
                <w:sz w:val="20"/>
                <w:szCs w:val="20"/>
              </w:rPr>
              <w:t xml:space="preserve">→ Capital partner earns BTC-correlated return on deployed capital.</w:t>
            </w:r>
          </w:p>
        </w:tc>
      </w:tr>
    </w:tbl>
    <w:p>
      <w:pPr>
        <w:spacing w:before="20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The Decision Framework: Choosing the Right Structure</w:t>
      </w:r>
    </w:p>
    <w:p>
      <w:pPr>
        <w:spacing w:before="100" w:after="140"/>
      </w:pPr>
      <w:r>
        <w:rPr>
          <w:rFonts w:ascii="Arial" w:cs="Arial" w:eastAsia="Arial" w:hAnsi="Arial"/>
          <w:color w:val="4A4A4A"/>
          <w:sz w:val="22"/>
          <w:szCs w:val="22"/>
        </w:rPr>
        <w:t xml:space="preserve">The four structures are not ranked—they serve different operator profiles and objectives. The right structure is the one that matches your risk tolerance, treasury posture, and operational situation. Use the following framework to narrow to the right answer for your pad.</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If your situation is...</w:t>
            </w:r>
          </w:p>
        </w:tc>
        <w:tc>
          <w:tcPr>
            <w:tcW w:type="dxa" w:w="54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The structure to consider is...</w:t>
            </w:r>
          </w:p>
        </w:tc>
      </w:tr>
      <w:tr>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You need compliance relief and want predictable USD income. No appetite for BTC on the books.</w:t>
            </w:r>
          </w:p>
        </w:tc>
        <w:tc>
          <w:tcPr>
            <w:tcW w:type="dxa" w:w="5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Hosting (Structure 1). Fixed rate, no BTC exposure, no Bitcoin accounting.</w:t>
            </w:r>
          </w:p>
        </w:tc>
      </w:tr>
      <w:tr>
        <w:tc>
          <w:tcPr>
            <w:tcW w:type="dxa" w:w="39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Your gas is currently being flared at $0. Any revenue is better than zero. You’re open to some BTC exposure.</w:t>
            </w:r>
          </w:p>
        </w:tc>
        <w:tc>
          <w:tcPr>
            <w:tcW w:type="dxa" w:w="5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Revenue share (Structure 2). Both scenarios—up or down—beat your current baseline.</w:t>
            </w:r>
          </w:p>
        </w:tc>
      </w:tr>
      <w:tr>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You have capital, want maximum upside, and have treasury flexibility to hold or convert Bitcoin.</w:t>
            </w:r>
          </w:p>
        </w:tc>
        <w:tc>
          <w:tcPr>
            <w:tcW w:type="dxa" w:w="5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Direct mining (Structure 3). Highest income potential; requires CapEx and full BTC exposure.</w:t>
            </w:r>
          </w:p>
        </w:tc>
      </w:tr>
      <w:tr>
        <w:tc>
          <w:tcPr>
            <w:tcW w:type="dxa" w:w="39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You want deployment without capital. New pad pre-pipeline, or first deployment where you want to test the model.</w:t>
            </w:r>
          </w:p>
        </w:tc>
        <w:tc>
          <w:tcPr>
            <w:tcW w:type="dxa" w:w="5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Capital partner (Structure 4). Zero CapEx, shared revenue, fully operational from day one.</w:t>
            </w:r>
          </w:p>
        </w:tc>
      </w:tr>
      <w:tr>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You have high gas volumes across multiple pads with different risk profiles.</w:t>
            </w:r>
          </w:p>
        </w:tc>
        <w:tc>
          <w:tcPr>
            <w:tcW w:type="dxa" w:w="5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Layered approach: hosting on some pads, revenue share on others. Structures can be mixed across a portfolio.</w:t>
            </w:r>
          </w:p>
        </w:tc>
      </w:tr>
    </w:tbl>
    <w:p>
      <w:pPr>
        <w:spacing w:before="160" w:after="100"/>
      </w:pPr>
      <w:r>
        <w:t xml:space="preserve"/>
      </w:r>
    </w:p>
    <w:p>
      <w:pPr>
        <w:spacing w:before="100" w:after="140"/>
      </w:pPr>
      <w:r>
        <w:rPr>
          <w:rFonts w:ascii="Arial" w:cs="Arial" w:eastAsia="Arial" w:hAnsi="Arial"/>
          <w:color w:val="4A4A4A"/>
          <w:sz w:val="22"/>
          <w:szCs w:val="22"/>
        </w:rPr>
        <w:t xml:space="preserve">One underappreciated option: operators with multiple pads are not required to choose a single structure across their portfolio. A 500 Mcfd operator with three pads might deploy Pad A under hosting (new regulatory-pressure pad, wants stable income), Pad B under revenue share (established flare site, comfortable with BTC exposure), and Pad C under a capital partner structure (pre-pipeline location, zero capital available). The structures can be mixed and matched to the specific profile of each pad.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THE QUESTION THAT DETERMINES YOUR STRUCTURE</w:t>
            </w:r>
          </w:p>
          <w:p>
            <w:pPr>
              <w:spacing w:before="0" w:after="0"/>
            </w:pPr>
            <w:r>
              <w:rPr>
                <w:rFonts w:ascii="Arial" w:cs="Arial" w:eastAsia="Arial" w:hAnsi="Arial"/>
                <w:color w:val="4A4A4A"/>
                <w:sz w:val="22"/>
                <w:szCs w:val="22"/>
              </w:rPr>
              <w:t xml:space="preserve">Ask yourself one question: if Bitcoin price fell 60% tomorrow and your on-lease revenue fell proportionally, would that revenue still exceed what you are currently earning from that gas? If yes, revenue share or direct mining may be appropriate. If the answer is uncertain, or if any Bitcoin on your balance sheet creates accounting or investor relations problems, hosting is the right structure. The answer to that one question narrows the field significantly.</w:t>
            </w:r>
          </w:p>
        </w:tc>
      </w:tr>
    </w:tbl>
    <w:p>
      <w:pPr>
        <w:spacing w:before="20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Common Questions About Structure Selection</w:t>
      </w:r>
    </w:p>
    <w:p>
      <w:pPr>
        <w:pStyle w:val="Heading3"/>
        <w:spacing w:before="240" w:after="100"/>
      </w:pPr>
      <w:r>
        <w:rPr>
          <w:rFonts w:ascii="Arial" w:cs="Arial" w:eastAsia="Arial" w:hAnsi="Arial"/>
          <w:b/>
          <w:bCs/>
          <w:color w:val="E8500A"/>
          <w:sz w:val="24"/>
          <w:szCs w:val="24"/>
        </w:rPr>
        <w:t xml:space="preserve">Can I change structures after deployment starts?</w:t>
      </w:r>
    </w:p>
    <w:p>
      <w:pPr>
        <w:spacing w:before="100" w:after="140"/>
      </w:pPr>
      <w:r>
        <w:rPr>
          <w:rFonts w:ascii="Arial" w:cs="Arial" w:eastAsia="Arial" w:hAnsi="Arial"/>
          <w:color w:val="4A4A4A"/>
          <w:sz w:val="22"/>
          <w:szCs w:val="22"/>
        </w:rPr>
        <w:t xml:space="preserve">Structure transitions are possible but require renegotiation of the deployment agreement and may require equipment modifications if moving from hosting to direct mining (which requires custody infrastructure the operator did not need under hosting). The best time to make the structure decision is before deployment—not after you have seen a few months of revenue and decided you want a different allocation. Think carefully about your 12–24 month risk tolerance, not just current market conditions.</w:t>
      </w:r>
    </w:p>
    <w:p>
      <w:pPr>
        <w:pStyle w:val="Heading3"/>
        <w:spacing w:before="240" w:after="100"/>
      </w:pPr>
      <w:r>
        <w:rPr>
          <w:rFonts w:ascii="Arial" w:cs="Arial" w:eastAsia="Arial" w:hAnsi="Arial"/>
          <w:b/>
          <w:bCs/>
          <w:color w:val="E8500A"/>
          <w:sz w:val="24"/>
          <w:szCs w:val="24"/>
        </w:rPr>
        <w:t xml:space="preserve">What if I want hosting now but direct mining later?</w:t>
      </w:r>
    </w:p>
    <w:p>
      <w:pPr>
        <w:spacing w:before="100" w:after="140"/>
      </w:pPr>
      <w:r>
        <w:rPr>
          <w:rFonts w:ascii="Arial" w:cs="Arial" w:eastAsia="Arial" w:hAnsi="Arial"/>
          <w:color w:val="4A4A4A"/>
          <w:sz w:val="22"/>
          <w:szCs w:val="22"/>
        </w:rPr>
        <w:t xml:space="preserve">A staged approach is available: begin with hosting to establish operational track record and validate the site’s gas production profile, then renegotiate to revenue share or direct mining once you have 6–12 months of actual data. The hosting period provides real-world performance data that makes the subsequent economic case for a structure transition more concrete. This is a reasonable approach for operators who are uncertain about BTC exposure but want to preserve the option.</w:t>
      </w:r>
    </w:p>
    <w:p>
      <w:pPr>
        <w:pStyle w:val="Heading3"/>
        <w:spacing w:before="240" w:after="100"/>
      </w:pPr>
      <w:r>
        <w:rPr>
          <w:rFonts w:ascii="Arial" w:cs="Arial" w:eastAsia="Arial" w:hAnsi="Arial"/>
          <w:b/>
          <w:bCs/>
          <w:color w:val="E8500A"/>
          <w:sz w:val="24"/>
          <w:szCs w:val="24"/>
        </w:rPr>
        <w:t xml:space="preserve">Does the capital partner structure require me to find my own investor?</w:t>
      </w:r>
    </w:p>
    <w:p>
      <w:pPr>
        <w:spacing w:before="100" w:after="140"/>
      </w:pPr>
      <w:r>
        <w:rPr>
          <w:rFonts w:ascii="Arial" w:cs="Arial" w:eastAsia="Arial" w:hAnsi="Arial"/>
          <w:color w:val="4A4A4A"/>
          <w:sz w:val="22"/>
          <w:szCs w:val="22"/>
        </w:rPr>
        <w:t xml:space="preserve">No. MCF.digital maintains relationships with institutional capital partners—family offices and HNWIs—who are actively seeking gas-to-hash deployment opportunities. When an operator’s site qualifies for a capital partner structure, MCF.digital can introduce appropriate capital partners as part of the deployment evaluation. Operators are not required to source their own investor to access this structure.</w:t>
      </w:r>
    </w:p>
    <w:p>
      <w:pPr>
        <w:pStyle w:val="Heading3"/>
        <w:spacing w:before="240" w:after="100"/>
      </w:pPr>
      <w:r>
        <w:rPr>
          <w:rFonts w:ascii="Arial" w:cs="Arial" w:eastAsia="Arial" w:hAnsi="Arial"/>
          <w:b/>
          <w:bCs/>
          <w:color w:val="E8500A"/>
          <w:sz w:val="24"/>
          <w:szCs w:val="24"/>
        </w:rPr>
        <w:t xml:space="preserve">Are the revenue percentages in revenue share and capital partner structures negotiable?</w:t>
      </w:r>
    </w:p>
    <w:p>
      <w:pPr>
        <w:spacing w:before="100" w:after="140"/>
      </w:pPr>
      <w:r>
        <w:rPr>
          <w:rFonts w:ascii="Arial" w:cs="Arial" w:eastAsia="Arial" w:hAnsi="Arial"/>
          <w:color w:val="4A4A4A"/>
          <w:sz w:val="22"/>
          <w:szCs w:val="22"/>
        </w:rPr>
        <w:t xml:space="preserve">Yes, within ranges. The split in any revenue share or capital partner arrangement reflects the relative contribution of each party—gas volume, pad quality, CapEx amount, and operational risk allocation all affect the negotiated split. The illustrative percentages in this guide (50/50 for revenue share; 45/35/20 for capital partner) are representative midpoints. Actual splits are negotiated for each specific deployment.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Model your pad under all four structures.</w:t>
            </w:r>
          </w:p>
          <w:p>
            <w:pPr>
              <w:spacing w:before="0" w:after="120"/>
              <w:jc w:val="center"/>
            </w:pPr>
            <w:r>
              <w:rPr>
                <w:rFonts w:ascii="Arial" w:cs="Arial" w:eastAsia="Arial" w:hAnsi="Arial"/>
                <w:color w:val="CCCCCC"/>
                <w:sz w:val="22"/>
                <w:szCs w:val="22"/>
              </w:rPr>
              <w:t xml:space="preserve">Enter your gas volume, current alternative netback, and risk preference. Get side-by-side payout projections at current and stressed hashprice across every deal structure.</w:t>
            </w:r>
          </w:p>
          <w:p>
            <w:pPr>
              <w:spacing w:before="0" w:after="0"/>
              <w:jc w:val="center"/>
            </w:pPr>
            <w:r>
              <w:rPr>
                <w:rFonts w:ascii="Arial" w:cs="Arial" w:eastAsia="Arial" w:hAnsi="Arial"/>
                <w:b/>
                <w:bCs/>
                <w:color w:val="E8500A"/>
                <w:sz w:val="26"/>
                <w:szCs w:val="26"/>
              </w:rPr>
              <w:t xml:space="preserve">tools.mcf.digital</w:t>
            </w:r>
            <w:r>
              <w:rPr>
                <w:rFonts w:ascii="Arial" w:cs="Arial" w:eastAsia="Arial" w:hAnsi="Arial"/>
                <w:color w:val="555555"/>
                <w:sz w:val="24"/>
                <w:szCs w:val="24"/>
              </w:rPr>
              <w:t xml:space="preserve">   ·   </w:t>
            </w:r>
            <w:r>
              <w:rPr>
                <w:rFonts w:ascii="Arial" w:cs="Arial" w:eastAsia="Arial" w:hAnsi="Arial"/>
                <w:b/>
                <w:bCs/>
                <w:color w:val="E8500A"/>
                <w:sz w:val="24"/>
                <w:szCs w:val="24"/>
              </w:rPr>
              <w:t xml:space="preserve">Book a 15-minute fit call</w:t>
            </w:r>
          </w:p>
        </w:tc>
      </w:tr>
    </w:tbl>
    <w:p>
      <w:pPr>
        <w:spacing w:before="24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Related Resources</w:t>
      </w:r>
    </w:p>
    <w:p>
      <w:pPr>
        <w:spacing w:before="100" w:after="140"/>
      </w:pPr>
      <w:r>
        <w:rPr>
          <w:rFonts w:ascii="Arial" w:cs="Arial" w:eastAsia="Arial" w:hAnsi="Arial"/>
          <w:color w:val="4A4A4A"/>
          <w:sz w:val="22"/>
          <w:szCs w:val="22"/>
        </w:rPr>
        <w:t xml:space="preserve">Go deeper on the risk, economics, and mechanics of each structure:</w:t>
      </w:r>
    </w:p>
    <w:p>
      <w:pPr>
        <w:spacing w:before="60" w:after="4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The Complete Guide to Flare Gas Bitcoin Mining — </w:t>
      </w:r>
      <w:r>
        <w:rPr>
          <w:rFonts w:ascii="Arial" w:cs="Arial" w:eastAsia="Arial" w:hAnsi="Arial"/>
          <w:color w:val="4A4A4A"/>
          <w:sz w:val="22"/>
          <w:szCs w:val="22"/>
        </w:rPr>
        <w:t xml:space="preserve">mcf.digital/guides/complete-guide-flare-gas-bitcoin-mining</w:t>
      </w:r>
    </w:p>
    <w:p>
      <w:pPr>
        <w:pStyle w:val="ListParagraph"/>
        <w:numPr>
          <w:ilvl w:val="0"/>
          <w:numId w:val="2"/>
        </w:numPr>
        <w:spacing w:before="60" w:after="60"/>
      </w:pPr>
      <w:r>
        <w:rPr>
          <w:rFonts w:ascii="Arial" w:cs="Arial" w:eastAsia="Arial" w:hAnsi="Arial"/>
          <w:b/>
          <w:bCs/>
          <w:color w:val="1A1A1A"/>
          <w:sz w:val="22"/>
          <w:szCs w:val="22"/>
        </w:rPr>
        <w:t xml:space="preserve">What Happens to Your Pad When Bitcoin Price Drops 50%? — </w:t>
      </w:r>
      <w:r>
        <w:rPr>
          <w:rFonts w:ascii="Arial" w:cs="Arial" w:eastAsia="Arial" w:hAnsi="Arial"/>
          <w:color w:val="4A4A4A"/>
          <w:sz w:val="22"/>
          <w:szCs w:val="22"/>
        </w:rPr>
        <w:t xml:space="preserve">mcf.digital/operator-guides/bitcoin-price-downside-scenarios</w:t>
      </w:r>
    </w:p>
    <w:p>
      <w:pPr>
        <w:pStyle w:val="ListParagraph"/>
        <w:numPr>
          <w:ilvl w:val="0"/>
          <w:numId w:val="2"/>
        </w:numPr>
        <w:spacing w:before="60" w:after="60"/>
      </w:pPr>
      <w:r>
        <w:rPr>
          <w:rFonts w:ascii="Arial" w:cs="Arial" w:eastAsia="Arial" w:hAnsi="Arial"/>
          <w:b/>
          <w:bCs/>
          <w:color w:val="1A1A1A"/>
          <w:sz w:val="22"/>
          <w:szCs w:val="22"/>
        </w:rPr>
        <w:t xml:space="preserve">Commodity Risk, Uptime Risk, and Site Risk: The Three Risk Categories — </w:t>
      </w:r>
      <w:r>
        <w:rPr>
          <w:rFonts w:ascii="Arial" w:cs="Arial" w:eastAsia="Arial" w:hAnsi="Arial"/>
          <w:color w:val="4A4A4A"/>
          <w:sz w:val="22"/>
          <w:szCs w:val="22"/>
        </w:rPr>
        <w:t xml:space="preserve">mcf.digital/operator-guides/three-risk-categories</w:t>
      </w:r>
    </w:p>
    <w:p>
      <w:pPr>
        <w:pStyle w:val="ListParagraph"/>
        <w:numPr>
          <w:ilvl w:val="0"/>
          <w:numId w:val="2"/>
        </w:numPr>
        <w:spacing w:before="60" w:after="60"/>
      </w:pPr>
      <w:r>
        <w:rPr>
          <w:rFonts w:ascii="Arial" w:cs="Arial" w:eastAsia="Arial" w:hAnsi="Arial"/>
          <w:b/>
          <w:bCs/>
          <w:color w:val="1A1A1A"/>
          <w:sz w:val="22"/>
          <w:szCs w:val="22"/>
        </w:rPr>
        <w:t xml:space="preserve">What Is Custody-First Bitcoin Payout? — </w:t>
      </w:r>
      <w:r>
        <w:rPr>
          <w:rFonts w:ascii="Arial" w:cs="Arial" w:eastAsia="Arial" w:hAnsi="Arial"/>
          <w:color w:val="4A4A4A"/>
          <w:sz w:val="22"/>
          <w:szCs w:val="22"/>
        </w:rPr>
        <w:t xml:space="preserve">mcf.digital/glossary/what-is-custody-first-bitcoin-payout</w:t>
      </w:r>
    </w:p>
    <w:p>
      <w:pPr>
        <w:pStyle w:val="ListParagraph"/>
        <w:numPr>
          <w:ilvl w:val="0"/>
          <w:numId w:val="2"/>
        </w:numPr>
        <w:spacing w:before="60" w:after="60"/>
      </w:pPr>
      <w:r>
        <w:rPr>
          <w:rFonts w:ascii="Arial" w:cs="Arial" w:eastAsia="Arial" w:hAnsi="Arial"/>
          <w:b/>
          <w:bCs/>
          <w:color w:val="1A1A1A"/>
          <w:sz w:val="22"/>
          <w:szCs w:val="22"/>
        </w:rPr>
        <w:t xml:space="preserve">What Is Hashprice? — </w:t>
      </w:r>
      <w:r>
        <w:rPr>
          <w:rFonts w:ascii="Arial" w:cs="Arial" w:eastAsia="Arial" w:hAnsi="Arial"/>
          <w:color w:val="4A4A4A"/>
          <w:sz w:val="22"/>
          <w:szCs w:val="22"/>
        </w:rPr>
        <w:t xml:space="preserve">mcf.digital/glossary/what-is-hashprice</w:t>
      </w:r>
    </w:p>
    <w:p>
      <w:pPr>
        <w:pStyle w:val="ListParagraph"/>
        <w:numPr>
          <w:ilvl w:val="0"/>
          <w:numId w:val="2"/>
        </w:numPr>
        <w:spacing w:before="60" w:after="60"/>
      </w:pPr>
      <w:r>
        <w:rPr>
          <w:rFonts w:ascii="Arial" w:cs="Arial" w:eastAsia="Arial" w:hAnsi="Arial"/>
          <w:b/>
          <w:bCs/>
          <w:color w:val="1A1A1A"/>
          <w:sz w:val="22"/>
          <w:szCs w:val="22"/>
        </w:rPr>
        <w:t xml:space="preserve">What Is a Hosting Agreement in Bitcoin Mining? — </w:t>
      </w:r>
      <w:r>
        <w:rPr>
          <w:rFonts w:ascii="Arial" w:cs="Arial" w:eastAsia="Arial" w:hAnsi="Arial"/>
          <w:color w:val="4A4A4A"/>
          <w:sz w:val="22"/>
          <w:szCs w:val="22"/>
        </w:rPr>
        <w:t xml:space="preserve">mcf.digital/glossary/what-is-hosting-agreement-bitcoin-mining</w:t>
      </w:r>
    </w:p>
    <w:p>
      <w:pPr>
        <w:pStyle w:val="ListParagraph"/>
        <w:numPr>
          <w:ilvl w:val="0"/>
          <w:numId w:val="2"/>
        </w:numPr>
        <w:spacing w:before="60" w:after="60"/>
      </w:pPr>
      <w:r>
        <w:rPr>
          <w:rFonts w:ascii="Arial" w:cs="Arial" w:eastAsia="Arial" w:hAnsi="Arial"/>
          <w:b/>
          <w:bCs/>
          <w:color w:val="1A1A1A"/>
          <w:sz w:val="22"/>
          <w:szCs w:val="22"/>
        </w:rPr>
        <w:t xml:space="preserve">Investing in Stranded Gas Bitcoin Mining: A Family Office and HNWI Primer — </w:t>
      </w:r>
      <w:r>
        <w:rPr>
          <w:rFonts w:ascii="Arial" w:cs="Arial" w:eastAsia="Arial" w:hAnsi="Arial"/>
          <w:color w:val="4A4A4A"/>
          <w:sz w:val="22"/>
          <w:szCs w:val="22"/>
        </w:rPr>
        <w:t xml:space="preserve">mcf.digital/guides/hnwi-family-office-primer</w:t>
      </w:r>
    </w:p>
    <w:p>
      <w:pPr>
        <w:pStyle w:val="ListParagraph"/>
        <w:numPr>
          <w:ilvl w:val="0"/>
          <w:numId w:val="2"/>
        </w:numPr>
        <w:spacing w:before="60" w:after="60"/>
      </w:pPr>
      <w:r>
        <w:rPr>
          <w:rFonts w:ascii="Arial" w:cs="Arial" w:eastAsia="Arial" w:hAnsi="Arial"/>
          <w:b/>
          <w:bCs/>
          <w:color w:val="1A1A1A"/>
          <w:sz w:val="22"/>
          <w:szCs w:val="22"/>
        </w:rPr>
        <w:t xml:space="preserve">The Operator’s Due Diligence Checklist for a Gas-to-Hash Deployment — </w:t>
      </w:r>
      <w:r>
        <w:rPr>
          <w:rFonts w:ascii="Arial" w:cs="Arial" w:eastAsia="Arial" w:hAnsi="Arial"/>
          <w:color w:val="4A4A4A"/>
          <w:sz w:val="22"/>
          <w:szCs w:val="22"/>
        </w:rPr>
        <w:t xml:space="preserve">mcf.digital/operator-guides/due-diligence-checklist</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Operators, Miners, Investors  ·  Category: Pillar Guide  ·  mcf.digital/guides/bitcoin-mining-hosting-vs-mining-yourself</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mcf.digital/guides/bitcoin-mining-hosting-vs-mining-yourself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PILLAR GUIDE  |  Deal Structure Comparison: Which Fits Your Pad?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2026-02-26T22:17:32.145Z</dcterms:created>
  <dcterms:modified xsi:type="dcterms:W3CDTF">2026-02-26T22:17:32.146Z</dcterms:modified>
</cp:coreProperties>
</file>

<file path=docProps/custom.xml><?xml version="1.0" encoding="utf-8"?>
<Properties xmlns="http://schemas.openxmlformats.org/officeDocument/2006/custom-properties" xmlns:vt="http://schemas.openxmlformats.org/officeDocument/2006/docPropsVTypes"/>
</file>