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PILLAR GUIDE  //  INVESTOR PRIMER</w:t>
      </w:r>
    </w:p>
    <w:p>
      <w:pPr>
        <w:spacing w:before="0" w:after="60"/>
      </w:pPr>
      <w:r>
        <w:rPr>
          <w:rFonts w:ascii="Arial" w:cs="Arial" w:eastAsia="Arial" w:hAnsi="Arial"/>
          <w:b/>
          <w:bCs/>
          <w:color w:val="1A1A1A"/>
          <w:sz w:val="44"/>
          <w:szCs w:val="44"/>
        </w:rPr>
        <w:t xml:space="preserve">Investing in Stranded Gas Bitcoin Mining:</w:t>
      </w:r>
    </w:p>
    <w:p>
      <w:pPr>
        <w:spacing w:before="0" w:after="200"/>
      </w:pPr>
      <w:r>
        <w:rPr>
          <w:rFonts w:ascii="Arial" w:cs="Arial" w:eastAsia="Arial" w:hAnsi="Arial"/>
          <w:b/>
          <w:bCs/>
          <w:color w:val="E8500A"/>
          <w:sz w:val="44"/>
          <w:szCs w:val="44"/>
        </w:rPr>
        <w:t xml:space="preserve">A Family Office and HNWI Primer</w:t>
      </w:r>
    </w:p>
    <w:p>
      <w:pPr>
        <w:pBdr>
          <w:bottom w:val="single" w:color="E8D5CC" w:sz="6" w:space="4"/>
        </w:pBdr>
        <w:spacing w:before="0" w:after="320"/>
      </w:pPr>
      <w:r>
        <w:rPr>
          <w:rFonts w:ascii="Arial" w:cs="Arial" w:eastAsia="Arial" w:hAnsi="Arial"/>
          <w:color w:val="4A4A4A"/>
          <w:sz w:val="24"/>
          <w:szCs w:val="24"/>
        </w:rPr>
        <w:t xml:space="preserve">Stranded gas Bitcoin mining sits at the intersection of two real assets: producing oil and gas infrastructure and Bitcoin—digital scarcity with a fixed supply schedule. For family offices and HNWIs evaluating alternative real-asset exposure, it offers something unusual: hard asset backing with non-correlated upside, a custody-first payout structure, and access to Bitcoin economics without operating a mining facility. This primer covers the investment thesis, the risk factors, how the payout model works, and what separates credible operators from promotional ones.</w:t>
      </w:r>
    </w:p>
    <w:p>
      <w:pPr>
        <w:spacing w:before="200" w:after="10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The Investment Thesis</w:t>
      </w:r>
    </w:p>
    <w:p>
      <w:pPr>
        <w:spacing w:before="100" w:after="140"/>
      </w:pPr>
      <w:r>
        <w:rPr>
          <w:rFonts w:ascii="Arial" w:cs="Arial" w:eastAsia="Arial" w:hAnsi="Arial"/>
          <w:color w:val="4A4A4A"/>
          <w:sz w:val="22"/>
          <w:szCs w:val="22"/>
        </w:rPr>
        <w:t xml:space="preserve">The investment thesis for stranded gas Bitcoin mining has three components that distinguish it from both conventional O&amp;G royalty investments and pure Bitcoin mining operations. Understanding all three is necessary to evaluate whether this vehicle belongs in a specific portfolio.</w:t>
      </w:r>
    </w:p>
    <w:p>
      <w:pPr>
        <w:spacing w:before="80" w:after="60"/>
      </w:pPr>
      <w:r>
        <w:t xml:space="preserve"/>
      </w:r>
    </w:p>
    <w:p>
      <w:pPr>
        <w:pStyle w:val="Heading3"/>
        <w:spacing w:before="240" w:after="100"/>
      </w:pPr>
      <w:r>
        <w:rPr>
          <w:rFonts w:ascii="Arial" w:cs="Arial" w:eastAsia="Arial" w:hAnsi="Arial"/>
          <w:b/>
          <w:bCs/>
          <w:color w:val="1A3A5C"/>
          <w:sz w:val="24"/>
          <w:szCs w:val="24"/>
        </w:rPr>
        <w:t xml:space="preserve">Component 1: Hard Asset as the Revenue Floor</w:t>
      </w:r>
    </w:p>
    <w:p>
      <w:pPr>
        <w:spacing w:before="100" w:after="140"/>
      </w:pPr>
      <w:r>
        <w:rPr>
          <w:rFonts w:ascii="Arial" w:cs="Arial" w:eastAsia="Arial" w:hAnsi="Arial"/>
          <w:color w:val="4A4A4A"/>
          <w:sz w:val="22"/>
          <w:szCs w:val="22"/>
        </w:rPr>
        <w:t xml:space="preserve">The capital in a gas-to-hash deployment is backed by physical equipment—generators, mining containers, and ASIC units—installed at a producing oil and gas wellsite. Unlike a pure Bitcoin mining operation in a data center, the energy source is stranded natural gas that has a physical value independent of Bitcoin markets. Gas that is currently being flared has a market value of exactly zero. Any deployment that converts that gas to on-site power and mining revenue creates value from a resource that was previously being destroyed.</w:t>
      </w:r>
    </w:p>
    <w:p>
      <w:pPr>
        <w:spacing w:before="100" w:after="140"/>
      </w:pPr>
      <w:r>
        <w:rPr>
          <w:rFonts w:ascii="Arial" w:cs="Arial" w:eastAsia="Arial" w:hAnsi="Arial"/>
          <w:color w:val="4A4A4A"/>
          <w:sz w:val="22"/>
          <w:szCs w:val="22"/>
        </w:rPr>
        <w:t xml:space="preserve">This “floor” framing is important: the comparison is not “gas-to-hash mining vs. the best alternative use of that gas.” It is “gas-to-hash mining vs. burning it at zero.” The real-asset component provides a floor that pure Bitcoin mining does not have—the gas has intrinsic value that persists independent of Bitcoin prices.</w:t>
      </w:r>
    </w:p>
    <w:p>
      <w:pPr>
        <w:spacing w:before="80" w:after="60"/>
      </w:pPr>
      <w:r>
        <w:t xml:space="preserve"/>
      </w:r>
    </w:p>
    <w:p>
      <w:pPr>
        <w:pStyle w:val="Heading3"/>
        <w:spacing w:before="240" w:after="100"/>
      </w:pPr>
      <w:r>
        <w:rPr>
          <w:rFonts w:ascii="Arial" w:cs="Arial" w:eastAsia="Arial" w:hAnsi="Arial"/>
          <w:b/>
          <w:bCs/>
          <w:color w:val="1A3A5C"/>
          <w:sz w:val="24"/>
          <w:szCs w:val="24"/>
        </w:rPr>
        <w:t xml:space="preserve">Component 2: Bitcoin Upside Without Bitcoin Operations</w:t>
      </w:r>
    </w:p>
    <w:p>
      <w:pPr>
        <w:spacing w:before="100" w:after="140"/>
      </w:pPr>
      <w:r>
        <w:rPr>
          <w:rFonts w:ascii="Arial" w:cs="Arial" w:eastAsia="Arial" w:hAnsi="Arial"/>
          <w:color w:val="4A4A4A"/>
          <w:sz w:val="22"/>
          <w:szCs w:val="22"/>
        </w:rPr>
        <w:t xml:space="preserve">A capital partner in a gas-to-hash deployment earns Bitcoin revenue without running a data center, managing ASIC fleets, sourcing cheap grid power, or competing for the same industrial real estate that large-scale Bitcoin mining operations require. The operator provides the energy infrastructure and the land. MCF.digital provides the equipment and operations. The capital partner provides the CapEx and receives a defined share of Bitcoin mined—under a custody-first structure that delivers BTC directly to the investor’s wallet before any other distributions.</w:t>
      </w:r>
    </w:p>
    <w:p>
      <w:pPr>
        <w:spacing w:before="100" w:after="140"/>
      </w:pPr>
      <w:r>
        <w:rPr>
          <w:rFonts w:ascii="Arial" w:cs="Arial" w:eastAsia="Arial" w:hAnsi="Arial"/>
          <w:color w:val="4A4A4A"/>
          <w:sz w:val="22"/>
          <w:szCs w:val="22"/>
        </w:rPr>
        <w:t xml:space="preserve">This is real-asset Bitcoin exposure: Bitcoin earned from physical energy production at an operating wellsite, not purchased on an exchange or earned through a fund structure. For family offices that want Bitcoin on their balance sheet but prefer to earn it rather than buy it, the capital partner structure provides that pathway with operational diversification across multiple deployment sites.</w:t>
      </w:r>
    </w:p>
    <w:p>
      <w:pPr>
        <w:spacing w:before="80" w:after="60"/>
      </w:pPr>
      <w:r>
        <w:t xml:space="preserve"/>
      </w:r>
    </w:p>
    <w:p>
      <w:pPr>
        <w:pStyle w:val="Heading3"/>
        <w:spacing w:before="240" w:after="100"/>
      </w:pPr>
      <w:r>
        <w:rPr>
          <w:rFonts w:ascii="Arial" w:cs="Arial" w:eastAsia="Arial" w:hAnsi="Arial"/>
          <w:b/>
          <w:bCs/>
          <w:color w:val="1A3A5C"/>
          <w:sz w:val="24"/>
          <w:szCs w:val="24"/>
        </w:rPr>
        <w:t xml:space="preserve">Component 3: Non-Correlation with Traditional Portfolio Exposures</w:t>
      </w:r>
    </w:p>
    <w:p>
      <w:pPr>
        <w:spacing w:before="100" w:after="140"/>
      </w:pPr>
      <w:r>
        <w:rPr>
          <w:rFonts w:ascii="Arial" w:cs="Arial" w:eastAsia="Arial" w:hAnsi="Arial"/>
          <w:color w:val="4A4A4A"/>
          <w:sz w:val="22"/>
          <w:szCs w:val="22"/>
        </w:rPr>
        <w:t xml:space="preserve">The revenue drivers of a gas-to-hash deployment—Bitcoin price, network hashrate, block subsidy schedule, wellhead gas production—are largely uncorrelated with the equity and fixed income exposures that dominate most family office portfolios. Bitcoin price has historically had low correlation with public equities over full market cycles. Wellhead gas production is driven by reservoir characteristics and O&amp;G commodity dynamics, not interest rates or earnings growth. The capital partner structure introduces a genuinely different return driver into a portfolio, which is increasingly difficult to achieve at reasonable cost.</w:t>
      </w:r>
    </w:p>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1A3A5C"/>
                <w:sz w:val="22"/>
                <w:szCs w:val="22"/>
              </w:rPr>
              <w:t xml:space="preserve">WHAT THIS IS NOT</w:t>
            </w:r>
          </w:p>
          <w:p>
            <w:pPr>
              <w:spacing w:before="0" w:after="0"/>
            </w:pPr>
            <w:r>
              <w:rPr>
                <w:rFonts w:ascii="Arial" w:cs="Arial" w:eastAsia="Arial" w:hAnsi="Arial"/>
                <w:color w:val="4A4A4A"/>
                <w:sz w:val="22"/>
                <w:szCs w:val="22"/>
              </w:rPr>
              <w:t xml:space="preserve">Stranded gas Bitcoin mining is not a Bitcoin ETF, a mining company equity position, or a cryptocurrency trading strategy. It is a real-asset deployment: physical equipment at a physical wellsite, earning Bitcoin from natural gas that would otherwise be flared. The investment is evaluated on the same terms as any physical infrastructure position—CapEx, yield, payback period, operating risk, and exit provisions—not on Bitcoin sentiment.</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The Return Profile: What to Expect</w:t>
      </w:r>
    </w:p>
    <w:p>
      <w:pPr>
        <w:spacing w:before="100" w:after="140"/>
      </w:pPr>
      <w:r>
        <w:rPr>
          <w:rFonts w:ascii="Arial" w:cs="Arial" w:eastAsia="Arial" w:hAnsi="Arial"/>
          <w:color w:val="4A4A4A"/>
          <w:sz w:val="22"/>
          <w:szCs w:val="22"/>
        </w:rPr>
        <w:t xml:space="preserve">Return projections for gas-to-hash investments are a function of four variables: the gas volume and quality at the deployment site, the derate-adjusted power output of the installed equipment, the hashprice at the time of deployment and over the deployment horizon, and the capital partner’s revenue share percentage. The following illustrative figures use a 200 Mcfd site—a mid-range deployment—at a 45% capital partner revenue share.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Parameter</w:t>
            </w:r>
          </w:p>
        </w:tc>
        <w:tc>
          <w:tcPr>
            <w:tcW w:type="dxa" w:w="31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Illustrative Range</w:t>
            </w:r>
          </w:p>
        </w:tc>
        <w:tc>
          <w:tcPr>
            <w:tcW w:type="dxa" w:w="31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Site size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200 Mcfd gas stream</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Mid-range deployment; viable at 100 Mcfd minimum</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Effective mining capacity</w:t>
            </w:r>
          </w:p>
        </w:tc>
        <w:tc>
          <w:tcPr>
            <w:tcW w:type="dxa" w:w="31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~320 kW (derate-adjusted)</w:t>
            </w:r>
          </w:p>
        </w:tc>
        <w:tc>
          <w:tcPr>
            <w:tcW w:type="dxa" w:w="31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After altitude and temperature derate applied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CapEx (capital partner)</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$400,000–$600,000</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Generator, containers, ASICs, installation</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Capital partner revenue share</w:t>
            </w:r>
          </w:p>
        </w:tc>
        <w:tc>
          <w:tcPr>
            <w:tcW w:type="dxa" w:w="31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40–50% of BTC mined</w:t>
            </w:r>
          </w:p>
        </w:tc>
        <w:tc>
          <w:tcPr>
            <w:tcW w:type="dxa" w:w="31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Negotiated per deployment; illustrated at 45%</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Monthly gross income (current hashprice)</w:t>
            </w:r>
          </w:p>
        </w:tc>
        <w:tc>
          <w:tcPr>
            <w:tcW w:type="dxa" w:w="318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~$6,300–8,100/month</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Capital partner’s 45% share of ~$14,000–18,000 total</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Monthly income at −50% hashprice</w:t>
            </w:r>
          </w:p>
        </w:tc>
        <w:tc>
          <w:tcPr>
            <w:tcW w:type="dxa" w:w="318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~$3,150–4,050/month</w:t>
            </w:r>
          </w:p>
        </w:tc>
        <w:tc>
          <w:tcPr>
            <w:tcW w:type="dxa" w:w="31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Revenue share tracks hashprice proportionally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Implied CapEx payback (current)</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~18–30 months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Based on capital partner’s share at midpoint hashprice</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ASIC residual value</w:t>
            </w:r>
          </w:p>
        </w:tc>
        <w:tc>
          <w:tcPr>
            <w:tcW w:type="dxa" w:w="31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30–60% of purchase price</w:t>
            </w:r>
          </w:p>
        </w:tc>
        <w:tc>
          <w:tcPr>
            <w:tcW w:type="dxa" w:w="31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Miners can be redeployed or sold after deployment</w:t>
            </w:r>
          </w:p>
        </w:tc>
      </w:tr>
    </w:tbl>
    <w:p>
      <w:pPr>
        <w:spacing w:before="120" w:after="80"/>
      </w:pPr>
      <w:r>
        <w:t xml:space="preserve"/>
      </w:r>
    </w:p>
    <w:p>
      <w:pPr>
        <w:spacing w:before="100" w:after="140"/>
      </w:pPr>
      <w:r>
        <w:rPr>
          <w:rFonts w:ascii="Arial" w:cs="Arial" w:eastAsia="Arial" w:hAnsi="Arial"/>
          <w:i/>
          <w:iCs/>
          <w:color w:val="888888"/>
          <w:sz w:val="22"/>
          <w:szCs w:val="22"/>
        </w:rPr>
        <w:t xml:space="preserve">These figures are illustrative and site-specific. A 400 Mcfd site with better gas quality and lower altitude derate will produce substantially higher returns on the same CapEx structure. A site with high altitude derate or rich gas requiring conditioning will produce lower returns. The site-specific calculation—run against actual gas data—is the only valid basis for investment evaluation.</w:t>
      </w:r>
    </w:p>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The Three Risk Factors</w:t>
      </w:r>
    </w:p>
    <w:p>
      <w:pPr>
        <w:spacing w:before="100" w:after="140"/>
      </w:pPr>
      <w:r>
        <w:rPr>
          <w:rFonts w:ascii="Arial" w:cs="Arial" w:eastAsia="Arial" w:hAnsi="Arial"/>
          <w:color w:val="4A4A4A"/>
          <w:sz w:val="22"/>
          <w:szCs w:val="22"/>
        </w:rPr>
        <w:t xml:space="preserve">Every gas-to-hash deployment carries three categories of investment risk. Evaluating all three—not just Bitcoin price—is what separates a rigorous investment analysis from a promotional narrative.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440"/>
        <w:gridCol w:w="2960"/>
        <w:gridCol w:w="440"/>
        <w:gridCol w:w="2960"/>
      </w:tblGrid>
      <w:tr>
        <w:tc>
          <w:tcPr>
            <w:tcW w:type="dxa" w:w="2960"/>
            <w:tcBorders>
              <w:top w:val="none" w:color="FFFFFF" w:sz="0"/>
              <w:left w:val="none" w:color="FFFFFF" w:sz="0"/>
              <w:bottom w:val="none" w:color="FFFFFF" w:sz="0"/>
              <w:right w:val="none" w:color="FFFFFF" w:sz="0"/>
            </w:tcBorders>
          </w:tcPr>
          <w:tbl>
            <w:tblPr>
              <w:tblW w:type="dxa" w:w="2960"/>
              <w:tblBorders>
                <w:top w:val="single" w:color="auto" w:sz="4"/>
                <w:left w:val="single" w:color="auto" w:sz="4"/>
                <w:bottom w:val="single" w:color="auto" w:sz="4"/>
                <w:right w:val="single" w:color="auto" w:sz="4"/>
                <w:insideH w:val="single" w:color="auto" w:sz="4"/>
                <w:insideV w:val="single" w:color="auto" w:sz="4"/>
              </w:tblBorders>
            </w:tblPr>
            <w:tblGrid>
              <w:gridCol w:w="2960"/>
            </w:tblGrid>
            <w:tr>
              <w:tc>
                <w:tcPr>
                  <w:tcW w:type="dxa" w:w="2960"/>
                  <w:tcBorders>
                    <w:top w:val="single" w:color="DDDDDD" w:sz="1"/>
                    <w:left w:val="single" w:color="DDDDDD" w:sz="1"/>
                    <w:bottom w:val="single" w:color="DDDDDD" w:sz="1"/>
                    <w:right w:val="single" w:color="DDDDDD" w:sz="1"/>
                  </w:tcBorders>
                  <w:shd w:fill="1A3A5C"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Bitcoin Price Risk</w:t>
                  </w:r>
                </w:p>
              </w:tc>
            </w:tr>
            <w:tr>
              <w:tc>
                <w:tcPr>
                  <w:tcW w:type="dxa" w:w="29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before="0" w:after="60"/>
                  </w:pPr>
                  <w:r>
                    <w:rPr>
                      <w:rFonts w:ascii="Arial" w:cs="Arial" w:eastAsia="Arial" w:hAnsi="Arial"/>
                      <w:b/>
                      <w:bCs/>
                      <w:color w:val="1A1A1A"/>
                      <w:sz w:val="19"/>
                      <w:szCs w:val="19"/>
                    </w:rPr>
                    <w:t xml:space="preserve">Likelihood:  </w:t>
                  </w:r>
                  <w:r>
                    <w:rPr>
                      <w:rFonts w:ascii="Arial" w:cs="Arial" w:eastAsia="Arial" w:hAnsi="Arial"/>
                      <w:color w:val="4A4A4A"/>
                      <w:sz w:val="19"/>
                      <w:szCs w:val="19"/>
                    </w:rPr>
                    <w:t xml:space="preserve">Certain (magnitude varies)</w:t>
                  </w:r>
                </w:p>
                <w:p>
                  <w:pPr>
                    <w:spacing w:before="0" w:after="60"/>
                  </w:pPr>
                  <w:r>
                    <w:rPr>
                      <w:rFonts w:ascii="Arial" w:cs="Arial" w:eastAsia="Arial" w:hAnsi="Arial"/>
                      <w:b/>
                      <w:bCs/>
                      <w:color w:val="1A1A1A"/>
                      <w:sz w:val="19"/>
                      <w:szCs w:val="19"/>
                    </w:rPr>
                    <w:t xml:space="preserve">Impact:  </w:t>
                  </w:r>
                  <w:r>
                    <w:rPr>
                      <w:rFonts w:ascii="Arial" w:cs="Arial" w:eastAsia="Arial" w:hAnsi="Arial"/>
                      <w:color w:val="4A4A4A"/>
                      <w:sz w:val="19"/>
                      <w:szCs w:val="19"/>
                    </w:rPr>
                    <w:t xml:space="preserve">Proportional to BTC position size</w:t>
                  </w:r>
                </w:p>
                <w:p>
                  <w:pPr>
                    <w:spacing w:before="0" w:after="0"/>
                  </w:pPr>
                  <w:r>
                    <w:rPr>
                      <w:rFonts w:ascii="Arial" w:cs="Arial" w:eastAsia="Arial" w:hAnsi="Arial"/>
                      <w:b/>
                      <w:bCs/>
                      <w:color w:val="1A1A1A"/>
                      <w:sz w:val="19"/>
                      <w:szCs w:val="19"/>
                    </w:rPr>
                    <w:t xml:space="preserve">Primary mitigation:  </w:t>
                  </w:r>
                  <w:r>
                    <w:rPr>
                      <w:rFonts w:ascii="Arial" w:cs="Arial" w:eastAsia="Arial" w:hAnsi="Arial"/>
                      <w:color w:val="4A4A4A"/>
                      <w:sz w:val="19"/>
                      <w:szCs w:val="19"/>
                    </w:rPr>
                    <w:t xml:space="preserve">Deal structure selection; hosting eliminates BTC exposure</w:t>
                  </w:r>
                </w:p>
              </w:tc>
            </w:tr>
          </w:tbl>
          <w:p/>
        </w:tc>
        <w:tc>
          <w:tcPr>
            <w:tcW w:type="dxa" w:w="440"/>
            <w:tcBorders>
              <w:top w:val="none" w:color="FFFFFF" w:sz="0"/>
              <w:left w:val="none" w:color="FFFFFF" w:sz="0"/>
              <w:bottom w:val="none" w:color="FFFFFF" w:sz="0"/>
              <w:right w:val="none" w:color="FFFFFF" w:sz="0"/>
            </w:tcBorders>
          </w:tcPr>
          <w:p>
            <w:r>
              <w:t xml:space="preserve"/>
            </w:r>
          </w:p>
        </w:tc>
        <w:tc>
          <w:tcPr>
            <w:tcW w:type="dxa" w:w="2960"/>
            <w:tcBorders>
              <w:top w:val="none" w:color="FFFFFF" w:sz="0"/>
              <w:left w:val="none" w:color="FFFFFF" w:sz="0"/>
              <w:bottom w:val="none" w:color="FFFFFF" w:sz="0"/>
              <w:right w:val="none" w:color="FFFFFF" w:sz="0"/>
            </w:tcBorders>
          </w:tcPr>
          <w:tbl>
            <w:tblPr>
              <w:tblW w:type="dxa" w:w="2960"/>
              <w:tblBorders>
                <w:top w:val="single" w:color="auto" w:sz="4"/>
                <w:left w:val="single" w:color="auto" w:sz="4"/>
                <w:bottom w:val="single" w:color="auto" w:sz="4"/>
                <w:right w:val="single" w:color="auto" w:sz="4"/>
                <w:insideH w:val="single" w:color="auto" w:sz="4"/>
                <w:insideV w:val="single" w:color="auto" w:sz="4"/>
              </w:tblBorders>
            </w:tblPr>
            <w:tblGrid>
              <w:gridCol w:w="2960"/>
            </w:tblGrid>
            <w:tr>
              <w:tc>
                <w:tcPr>
                  <w:tcW w:type="dxa" w:w="2960"/>
                  <w:tcBorders>
                    <w:top w:val="single" w:color="DDDDDD" w:sz="1"/>
                    <w:left w:val="single" w:color="DDDDDD" w:sz="1"/>
                    <w:bottom w:val="single" w:color="DDDDDD" w:sz="1"/>
                    <w:right w:val="single" w:color="DDDDDD" w:sz="1"/>
                  </w:tcBorders>
                  <w:shd w:fill="1A4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Gas Supply Risk</w:t>
                  </w:r>
                </w:p>
              </w:tc>
            </w:tr>
            <w:tr>
              <w:tc>
                <w:tcPr>
                  <w:tcW w:type="dxa" w:w="29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before="0" w:after="60"/>
                  </w:pPr>
                  <w:r>
                    <w:rPr>
                      <w:rFonts w:ascii="Arial" w:cs="Arial" w:eastAsia="Arial" w:hAnsi="Arial"/>
                      <w:b/>
                      <w:bCs/>
                      <w:color w:val="1A1A1A"/>
                      <w:sz w:val="19"/>
                      <w:szCs w:val="19"/>
                    </w:rPr>
                    <w:t xml:space="preserve">Likelihood:  </w:t>
                  </w:r>
                  <w:r>
                    <w:rPr>
                      <w:rFonts w:ascii="Arial" w:cs="Arial" w:eastAsia="Arial" w:hAnsi="Arial"/>
                      <w:color w:val="4A4A4A"/>
                      <w:sz w:val="19"/>
                      <w:szCs w:val="19"/>
                    </w:rPr>
                    <w:t xml:space="preserve">Moderate (well-dependent)</w:t>
                  </w:r>
                </w:p>
                <w:p>
                  <w:pPr>
                    <w:spacing w:before="0" w:after="60"/>
                  </w:pPr>
                  <w:r>
                    <w:rPr>
                      <w:rFonts w:ascii="Arial" w:cs="Arial" w:eastAsia="Arial" w:hAnsi="Arial"/>
                      <w:b/>
                      <w:bCs/>
                      <w:color w:val="1A1A1A"/>
                      <w:sz w:val="19"/>
                      <w:szCs w:val="19"/>
                    </w:rPr>
                    <w:t xml:space="preserve">Impact:  </w:t>
                  </w:r>
                  <w:r>
                    <w:rPr>
                      <w:rFonts w:ascii="Arial" w:cs="Arial" w:eastAsia="Arial" w:hAnsi="Arial"/>
                      <w:color w:val="4A4A4A"/>
                      <w:sz w:val="19"/>
                      <w:szCs w:val="19"/>
                    </w:rPr>
                    <w:t xml:space="preserve">Proportional to production decline</w:t>
                  </w:r>
                </w:p>
                <w:p>
                  <w:pPr>
                    <w:spacing w:before="0" w:after="0"/>
                  </w:pPr>
                  <w:r>
                    <w:rPr>
                      <w:rFonts w:ascii="Arial" w:cs="Arial" w:eastAsia="Arial" w:hAnsi="Arial"/>
                      <w:b/>
                      <w:bCs/>
                      <w:color w:val="1A1A1A"/>
                      <w:sz w:val="19"/>
                      <w:szCs w:val="19"/>
                    </w:rPr>
                    <w:t xml:space="preserve">Primary mitigation:  </w:t>
                  </w:r>
                  <w:r>
                    <w:rPr>
                      <w:rFonts w:ascii="Arial" w:cs="Arial" w:eastAsia="Arial" w:hAnsi="Arial"/>
                      <w:color w:val="4A4A4A"/>
                      <w:sz w:val="19"/>
                      <w:szCs w:val="19"/>
                    </w:rPr>
                    <w:t xml:space="preserve">Production history review; volume floor clause</w:t>
                  </w:r>
                </w:p>
              </w:tc>
            </w:tr>
          </w:tbl>
          <w:p/>
        </w:tc>
        <w:tc>
          <w:tcPr>
            <w:tcW w:type="dxa" w:w="440"/>
            <w:tcBorders>
              <w:top w:val="none" w:color="FFFFFF" w:sz="0"/>
              <w:left w:val="none" w:color="FFFFFF" w:sz="0"/>
              <w:bottom w:val="none" w:color="FFFFFF" w:sz="0"/>
              <w:right w:val="none" w:color="FFFFFF" w:sz="0"/>
            </w:tcBorders>
          </w:tcPr>
          <w:p>
            <w:r>
              <w:t xml:space="preserve"/>
            </w:r>
          </w:p>
        </w:tc>
        <w:tc>
          <w:tcPr>
            <w:tcW w:type="dxa" w:w="2960"/>
            <w:tcBorders>
              <w:top w:val="none" w:color="FFFFFF" w:sz="0"/>
              <w:left w:val="none" w:color="FFFFFF" w:sz="0"/>
              <w:bottom w:val="none" w:color="FFFFFF" w:sz="0"/>
              <w:right w:val="none" w:color="FFFFFF" w:sz="0"/>
            </w:tcBorders>
          </w:tcPr>
          <w:tbl>
            <w:tblPr>
              <w:tblW w:type="dxa" w:w="2960"/>
              <w:tblBorders>
                <w:top w:val="single" w:color="auto" w:sz="4"/>
                <w:left w:val="single" w:color="auto" w:sz="4"/>
                <w:bottom w:val="single" w:color="auto" w:sz="4"/>
                <w:right w:val="single" w:color="auto" w:sz="4"/>
                <w:insideH w:val="single" w:color="auto" w:sz="4"/>
                <w:insideV w:val="single" w:color="auto" w:sz="4"/>
              </w:tblBorders>
            </w:tblPr>
            <w:tblGrid>
              <w:gridCol w:w="2960"/>
            </w:tblGrid>
            <w:tr>
              <w:tc>
                <w:tcPr>
                  <w:tcW w:type="dxa" w:w="2960"/>
                  <w:tcBorders>
                    <w:top w:val="single" w:color="DDDDDD" w:sz="1"/>
                    <w:left w:val="single" w:color="DDDDDD" w:sz="1"/>
                    <w:bottom w:val="single" w:color="DDDDDD" w:sz="1"/>
                    <w:right w:val="single" w:color="DDDDDD" w:sz="1"/>
                  </w:tcBorders>
                  <w:shd w:fill="5C2A1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Operator Execution Risk</w:t>
                  </w:r>
                </w:p>
              </w:tc>
            </w:tr>
            <w:tr>
              <w:tc>
                <w:tcPr>
                  <w:tcW w:type="dxa" w:w="29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before="0" w:after="60"/>
                  </w:pPr>
                  <w:r>
                    <w:rPr>
                      <w:rFonts w:ascii="Arial" w:cs="Arial" w:eastAsia="Arial" w:hAnsi="Arial"/>
                      <w:b/>
                      <w:bCs/>
                      <w:color w:val="1A1A1A"/>
                      <w:sz w:val="19"/>
                      <w:szCs w:val="19"/>
                    </w:rPr>
                    <w:t xml:space="preserve">Likelihood:  </w:t>
                  </w:r>
                  <w:r>
                    <w:rPr>
                      <w:rFonts w:ascii="Arial" w:cs="Arial" w:eastAsia="Arial" w:hAnsi="Arial"/>
                      <w:color w:val="4A4A4A"/>
                      <w:sz w:val="19"/>
                      <w:szCs w:val="19"/>
                    </w:rPr>
                    <w:t xml:space="preserve">Low–Moderate (operator-dependent)</w:t>
                  </w:r>
                </w:p>
                <w:p>
                  <w:pPr>
                    <w:spacing w:before="0" w:after="60"/>
                  </w:pPr>
                  <w:r>
                    <w:rPr>
                      <w:rFonts w:ascii="Arial" w:cs="Arial" w:eastAsia="Arial" w:hAnsi="Arial"/>
                      <w:b/>
                      <w:bCs/>
                      <w:color w:val="1A1A1A"/>
                      <w:sz w:val="19"/>
                      <w:szCs w:val="19"/>
                    </w:rPr>
                    <w:t xml:space="preserve">Impact:  </w:t>
                  </w:r>
                  <w:r>
                    <w:rPr>
                      <w:rFonts w:ascii="Arial" w:cs="Arial" w:eastAsia="Arial" w:hAnsi="Arial"/>
                      <w:color w:val="4A4A4A"/>
                      <w:sz w:val="19"/>
                      <w:szCs w:val="19"/>
                    </w:rPr>
                    <w:t xml:space="preserve">High if operator fails</w:t>
                  </w:r>
                </w:p>
                <w:p>
                  <w:pPr>
                    <w:spacing w:before="0" w:after="0"/>
                  </w:pPr>
                  <w:r>
                    <w:rPr>
                      <w:rFonts w:ascii="Arial" w:cs="Arial" w:eastAsia="Arial" w:hAnsi="Arial"/>
                      <w:b/>
                      <w:bCs/>
                      <w:color w:val="1A1A1A"/>
                      <w:sz w:val="19"/>
                      <w:szCs w:val="19"/>
                    </w:rPr>
                    <w:t xml:space="preserve">Primary mitigation:  </w:t>
                  </w:r>
                  <w:r>
                    <w:rPr>
                      <w:rFonts w:ascii="Arial" w:cs="Arial" w:eastAsia="Arial" w:hAnsi="Arial"/>
                      <w:color w:val="4A4A4A"/>
                      <w:sz w:val="19"/>
                      <w:szCs w:val="19"/>
                    </w:rPr>
                    <w:t xml:space="preserve">Reference checks; track record verification; SLA terms</w:t>
                  </w:r>
                </w:p>
              </w:tc>
            </w:tr>
          </w:tbl>
          <w:p/>
        </w:tc>
      </w:tr>
    </w:tbl>
    <w:p>
      <w:pPr>
        <w:spacing w:before="160" w:after="100"/>
      </w:pPr>
      <w:r>
        <w:t xml:space="preserve"/>
      </w:r>
    </w:p>
    <w:p>
      <w:pPr>
        <w:pStyle w:val="Heading3"/>
        <w:spacing w:before="240" w:after="100"/>
      </w:pPr>
      <w:r>
        <w:rPr>
          <w:rFonts w:ascii="Arial" w:cs="Arial" w:eastAsia="Arial" w:hAnsi="Arial"/>
          <w:b/>
          <w:bCs/>
          <w:color w:val="1A3A5C"/>
          <w:sz w:val="24"/>
          <w:szCs w:val="24"/>
        </w:rPr>
        <w:t xml:space="preserve">Bitcoin Price Risk</w:t>
      </w:r>
    </w:p>
    <w:p>
      <w:pPr>
        <w:spacing w:before="100" w:after="140"/>
      </w:pPr>
      <w:r>
        <w:rPr>
          <w:rFonts w:ascii="Arial" w:cs="Arial" w:eastAsia="Arial" w:hAnsi="Arial"/>
          <w:color w:val="4A4A4A"/>
          <w:sz w:val="22"/>
          <w:szCs w:val="22"/>
        </w:rPr>
        <w:t xml:space="preserve">Bitcoin’s price is volatile and that volatility directly affects mining revenue. A capital partner in a revenue share structure earns proportionally more when Bitcoin’s price rises and proportionally less when it falls. There is no floor protection within the revenue share itself—the floor is the gas’s intrinsic value (zero, for flared gas) compared against the return of investing the same capital elsewhere.</w:t>
      </w:r>
    </w:p>
    <w:p>
      <w:pPr>
        <w:spacing w:before="100" w:after="140"/>
      </w:pPr>
      <w:r>
        <w:rPr>
          <w:rFonts w:ascii="Arial" w:cs="Arial" w:eastAsia="Arial" w:hAnsi="Arial"/>
          <w:color w:val="4A4A4A"/>
          <w:sz w:val="22"/>
          <w:szCs w:val="22"/>
        </w:rPr>
        <w:t xml:space="preserve">The appropriate way to evaluate Bitcoin price risk for a specific deployment: model the monthly income at current hashprice, at −25%, −50%, and −75% hashprice. Compare each scenario against the CapEx deployed and the opportunity cost of that capital. If the −50% scenario still generates an acceptable yield on capital deployed—typically 8–15% annually for most family office mandates—the investment passes the stress test. If it does not, the capital partner structure may require renegotiation, or the hosting structure (which eliminates BTC price exposure entirely for a fixed USD yield) may be more appropriate.</w:t>
      </w:r>
    </w:p>
    <w:p>
      <w:pPr>
        <w:spacing w:before="80" w:after="60"/>
      </w:pPr>
      <w:r>
        <w:t xml:space="preserve"/>
      </w:r>
    </w:p>
    <w:p>
      <w:pPr>
        <w:pStyle w:val="Heading3"/>
        <w:spacing w:before="240" w:after="100"/>
      </w:pPr>
      <w:r>
        <w:rPr>
          <w:rFonts w:ascii="Arial" w:cs="Arial" w:eastAsia="Arial" w:hAnsi="Arial"/>
          <w:b/>
          <w:bCs/>
          <w:color w:val="1A4A4A"/>
          <w:sz w:val="24"/>
          <w:szCs w:val="24"/>
        </w:rPr>
        <w:t xml:space="preserve">Gas Supply Risk</w:t>
      </w:r>
    </w:p>
    <w:p>
      <w:pPr>
        <w:spacing w:before="100" w:after="140"/>
      </w:pPr>
      <w:r>
        <w:rPr>
          <w:rFonts w:ascii="Arial" w:cs="Arial" w:eastAsia="Arial" w:hAnsi="Arial"/>
          <w:color w:val="4A4A4A"/>
          <w:sz w:val="22"/>
          <w:szCs w:val="22"/>
        </w:rPr>
        <w:t xml:space="preserve">The gas stream that powers the deployment comes from an operating well with a natural production decline curve. A well producing 400 Mcfd today may produce 250 Mcfd in 18 months. If production falls below the minimum viable threshold for the deployment—typically 75–100 Mcfd—the system must scale down or operations must be suspended.</w:t>
      </w:r>
    </w:p>
    <w:p>
      <w:pPr>
        <w:spacing w:before="100" w:after="140"/>
      </w:pPr>
      <w:r>
        <w:rPr>
          <w:rFonts w:ascii="Arial" w:cs="Arial" w:eastAsia="Arial" w:hAnsi="Arial"/>
          <w:color w:val="4A4A4A"/>
          <w:sz w:val="22"/>
          <w:szCs w:val="22"/>
        </w:rPr>
        <w:t xml:space="preserve">Mitigating gas supply risk requires reviewing the well’s production history and decline curve before committing capital. A well in early production with high initial rates and steep decline is a different risk profile than a mature well with stable, predictable volumes. The deployment agreement should include a volume floor clause: if gas volumes fall below a defined threshold, the agreement provides for a defined response—partial system operation, equipment removal, or a new commercial arrangement. Capital partners should verify that these provisions are explicit in the deployment agreement, not addressed by general force majeure language.</w:t>
      </w:r>
    </w:p>
    <w:p>
      <w:pPr>
        <w:spacing w:before="80" w:after="60"/>
      </w:pPr>
      <w:r>
        <w:t xml:space="preserve"/>
      </w:r>
    </w:p>
    <w:p>
      <w:pPr>
        <w:pStyle w:val="Heading3"/>
        <w:spacing w:before="240" w:after="100"/>
      </w:pPr>
      <w:r>
        <w:rPr>
          <w:rFonts w:ascii="Arial" w:cs="Arial" w:eastAsia="Arial" w:hAnsi="Arial"/>
          <w:b/>
          <w:bCs/>
          <w:color w:val="5C2A1A"/>
          <w:sz w:val="24"/>
          <w:szCs w:val="24"/>
        </w:rPr>
        <w:t xml:space="preserve">Operator Execution Risk</w:t>
      </w:r>
    </w:p>
    <w:p>
      <w:pPr>
        <w:spacing w:before="100" w:after="140"/>
      </w:pPr>
      <w:r>
        <w:rPr>
          <w:rFonts w:ascii="Arial" w:cs="Arial" w:eastAsia="Arial" w:hAnsi="Arial"/>
          <w:color w:val="4A4A4A"/>
          <w:sz w:val="22"/>
          <w:szCs w:val="22"/>
        </w:rPr>
        <w:t xml:space="preserve">The capital partner’s returns depend entirely on the operator’s ability to run the equipment reliably. Genset failures, ASIC performance degradation, service response delays at remote locations, and poor maintenance practices directly reduce uptime and, therefore, revenue. This risk cannot be mitigated by deal structure—only by choosing an operator with a verified track record of field performance.</w:t>
      </w:r>
    </w:p>
    <w:p>
      <w:pPr>
        <w:spacing w:before="100" w:after="140"/>
      </w:pPr>
      <w:r>
        <w:rPr>
          <w:rFonts w:ascii="Arial" w:cs="Arial" w:eastAsia="Arial" w:hAnsi="Arial"/>
          <w:color w:val="4A4A4A"/>
          <w:sz w:val="22"/>
          <w:szCs w:val="22"/>
        </w:rPr>
        <w:t xml:space="preserve">Operator execution risk is the most underanalyzed risk category in institutional evaluations of gas-to-hash investments. Investors who rigorously stress-test Bitcoin price scenarios sometimes give only cursory attention to operational due diligence. A 10% reduction in uptime—from 95% to 85%—reduces annual returns by approximately 10%, independent of any movement in Bitcoin prices. That is a meaningful impact that deserves the same analytical rigor as commodity risk.</w:t>
      </w:r>
    </w:p>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The Custody-First Payout Model</w:t>
      </w:r>
    </w:p>
    <w:p>
      <w:pPr>
        <w:spacing w:before="100" w:after="140"/>
      </w:pPr>
      <w:r>
        <w:rPr>
          <w:rFonts w:ascii="Arial" w:cs="Arial" w:eastAsia="Arial" w:hAnsi="Arial"/>
          <w:color w:val="4A4A4A"/>
          <w:sz w:val="22"/>
          <w:szCs w:val="22"/>
        </w:rPr>
        <w:t xml:space="preserve">For institutional and private wealth investors, the custody and payout structure of a gas-to-hash deployment is as important as the revenue economics. The custody-first model is the standard for credible operators and the baseline requirement for serious capital partners.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single" w:color="E8500A" w:sz="6"/>
            </w:tcBorders>
            <w:shd w:fill="E8500A" w:val="clear"/>
            <w:tcMar>
              <w:top w:type="dxa" w:w="140"/>
              <w:left w:type="dxa" w:w="180"/>
              <w:bottom w:type="dxa" w:w="140"/>
              <w:right w:type="dxa" w:w="180"/>
            </w:tcMa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single" w:color="DDDDDD" w:sz="1"/>
              <w:right w:val="none" w:color="FFFFFF" w:sz="0"/>
            </w:tcBorders>
            <w:shd w:fill="F8F8F8" w:val="clear"/>
            <w:tcMar>
              <w:top w:type="dxa" w:w="120"/>
              <w:left w:type="dxa" w:w="200"/>
              <w:bottom w:type="dxa" w:w="120"/>
              <w:right w:type="dxa" w:w="200"/>
            </w:tcMar>
          </w:tcPr>
          <w:p>
            <w:pPr>
              <w:spacing w:before="0" w:after="40"/>
            </w:pPr>
            <w:r>
              <w:rPr>
                <w:rFonts w:ascii="Arial" w:cs="Arial" w:eastAsia="Arial" w:hAnsi="Arial"/>
                <w:b/>
                <w:bCs/>
                <w:color w:val="1A1A1A"/>
                <w:sz w:val="22"/>
                <w:szCs w:val="22"/>
              </w:rPr>
              <w:t xml:space="preserve">Bitcoin is mined and assigned to the pool wallet</w:t>
            </w:r>
          </w:p>
          <w:p>
            <w:pPr>
              <w:spacing w:before="0" w:after="0"/>
            </w:pPr>
            <w:r>
              <w:rPr>
                <w:rFonts w:ascii="Arial" w:cs="Arial" w:eastAsia="Arial" w:hAnsi="Arial"/>
                <w:color w:val="4A4A4A"/>
                <w:sz w:val="20"/>
                <w:szCs w:val="20"/>
              </w:rPr>
              <w:t xml:space="preserve">The ASIC fleet directs hash power to a mining pool. As blocks are validated and rewards are assigned, Bitcoin accumulates in the pool wallet designated for the deployment.</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single" w:color="E8500A" w:sz="6"/>
            </w:tcBorders>
            <w:shd w:fill="E8500A" w:val="clear"/>
            <w:tcMar>
              <w:top w:type="dxa" w:w="140"/>
              <w:left w:type="dxa" w:w="180"/>
              <w:bottom w:type="dxa" w:w="140"/>
              <w:right w:type="dxa" w:w="180"/>
            </w:tcMa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single" w:color="DDDDDD" w:sz="1"/>
              <w:right w:val="none" w:color="FFFFFF" w:sz="0"/>
            </w:tcBorders>
            <w:shd w:fill="F8F8F8" w:val="clear"/>
            <w:tcMar>
              <w:top w:type="dxa" w:w="120"/>
              <w:left w:type="dxa" w:w="200"/>
              <w:bottom w:type="dxa" w:w="120"/>
              <w:right w:type="dxa" w:w="200"/>
            </w:tcMar>
          </w:tcPr>
          <w:p>
            <w:pPr>
              <w:spacing w:before="0" w:after="40"/>
            </w:pPr>
            <w:r>
              <w:rPr>
                <w:rFonts w:ascii="Arial" w:cs="Arial" w:eastAsia="Arial" w:hAnsi="Arial"/>
                <w:b/>
                <w:bCs/>
                <w:color w:val="1A1A1A"/>
                <w:sz w:val="22"/>
                <w:szCs w:val="22"/>
              </w:rPr>
              <w:t xml:space="preserve">Bitcoin is distributed to each party’s wallet before any pooling</w:t>
            </w:r>
          </w:p>
          <w:p>
            <w:pPr>
              <w:spacing w:before="0" w:after="0"/>
            </w:pPr>
            <w:r>
              <w:rPr>
                <w:rFonts w:ascii="Arial" w:cs="Arial" w:eastAsia="Arial" w:hAnsi="Arial"/>
                <w:color w:val="4A4A4A"/>
                <w:sz w:val="20"/>
                <w:szCs w:val="20"/>
              </w:rPr>
              <w:t xml:space="preserve">Under a custody-first structure, each party’s share of Bitcoin is distributed directly to their designated self-custody wallet as the first transaction—before any other distribution, conversion, or holding. No party’s Bitcoin is commingled with another party’s holdings at any point.</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single" w:color="E8500A" w:sz="6"/>
            </w:tcBorders>
            <w:shd w:fill="E8500A" w:val="clear"/>
            <w:tcMar>
              <w:top w:type="dxa" w:w="140"/>
              <w:left w:type="dxa" w:w="180"/>
              <w:bottom w:type="dxa" w:w="140"/>
              <w:right w:type="dxa" w:w="180"/>
            </w:tcMa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single" w:color="DDDDDD" w:sz="1"/>
              <w:right w:val="none" w:color="FFFFFF" w:sz="0"/>
            </w:tcBorders>
            <w:shd w:fill="F8F8F8" w:val="clear"/>
            <w:tcMar>
              <w:top w:type="dxa" w:w="120"/>
              <w:left w:type="dxa" w:w="200"/>
              <w:bottom w:type="dxa" w:w="120"/>
              <w:right w:type="dxa" w:w="200"/>
            </w:tcMar>
          </w:tcPr>
          <w:p>
            <w:pPr>
              <w:spacing w:before="0" w:after="40"/>
            </w:pPr>
            <w:r>
              <w:rPr>
                <w:rFonts w:ascii="Arial" w:cs="Arial" w:eastAsia="Arial" w:hAnsi="Arial"/>
                <w:b/>
                <w:bCs/>
                <w:color w:val="1A1A1A"/>
                <w:sz w:val="22"/>
                <w:szCs w:val="22"/>
              </w:rPr>
              <w:t xml:space="preserve">Capital partner elects BTC retention or USD conversion</w:t>
            </w:r>
          </w:p>
          <w:p>
            <w:pPr>
              <w:spacing w:before="0" w:after="0"/>
            </w:pPr>
            <w:r>
              <w:rPr>
                <w:rFonts w:ascii="Arial" w:cs="Arial" w:eastAsia="Arial" w:hAnsi="Arial"/>
                <w:color w:val="4A4A4A"/>
                <w:sz w:val="20"/>
                <w:szCs w:val="20"/>
              </w:rPr>
              <w:t xml:space="preserve">Once Bitcoin is in the capital partner’s wallet, they control it completely. They may retain it as Bitcoin (for direct BTC accumulation) or elect USD conversion through their own exchange or OTC desk at their own timing—not at the operator’s election or convenience.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single" w:color="E8500A" w:sz="6"/>
            </w:tcBorders>
            <w:shd w:fill="E8500A" w:val="clear"/>
            <w:tcMar>
              <w:top w:type="dxa" w:w="140"/>
              <w:left w:type="dxa" w:w="180"/>
              <w:bottom w:type="dxa" w:w="140"/>
              <w:right w:type="dxa" w:w="180"/>
            </w:tcMa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single" w:color="DDDDDD" w:sz="1"/>
              <w:right w:val="none" w:color="FFFFFF" w:sz="0"/>
            </w:tcBorders>
            <w:shd w:fill="F8F8F8" w:val="clear"/>
            <w:tcMar>
              <w:top w:type="dxa" w:w="120"/>
              <w:left w:type="dxa" w:w="200"/>
              <w:bottom w:type="dxa" w:w="120"/>
              <w:right w:type="dxa" w:w="200"/>
            </w:tcMar>
          </w:tcPr>
          <w:p>
            <w:pPr>
              <w:spacing w:before="0" w:after="40"/>
            </w:pPr>
            <w:r>
              <w:rPr>
                <w:rFonts w:ascii="Arial" w:cs="Arial" w:eastAsia="Arial" w:hAnsi="Arial"/>
                <w:b/>
                <w:bCs/>
                <w:color w:val="1A1A1A"/>
                <w:sz w:val="22"/>
                <w:szCs w:val="22"/>
              </w:rPr>
              <w:t xml:space="preserve">Reporting package issued on defined schedule</w:t>
            </w:r>
          </w:p>
          <w:p>
            <w:pPr>
              <w:spacing w:before="0" w:after="0"/>
            </w:pPr>
            <w:r>
              <w:rPr>
                <w:rFonts w:ascii="Arial" w:cs="Arial" w:eastAsia="Arial" w:hAnsi="Arial"/>
                <w:color w:val="4A4A4A"/>
                <w:sz w:val="20"/>
                <w:szCs w:val="20"/>
              </w:rPr>
              <w:t xml:space="preserve">A monthly reporting package documents Bitcoin mined by the deployment, spot price at distribution, USD equivalent at distribution, system uptime and performance metrics, and gas consumed. The capital partner’s record is complete and audit-ready.</w:t>
            </w:r>
          </w:p>
        </w:tc>
      </w:tr>
    </w:tbl>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1A3A5C"/>
                <w:sz w:val="22"/>
                <w:szCs w:val="22"/>
              </w:rPr>
              <w:t xml:space="preserve">WHY CUSTODY-FIRST MATTERS FOR INSTITUTIONAL CAPITAL</w:t>
            </w:r>
          </w:p>
          <w:p>
            <w:pPr>
              <w:spacing w:before="0" w:after="0"/>
            </w:pPr>
            <w:r>
              <w:rPr>
                <w:rFonts w:ascii="Arial" w:cs="Arial" w:eastAsia="Arial" w:hAnsi="Arial"/>
                <w:color w:val="4A4A4A"/>
                <w:sz w:val="22"/>
                <w:szCs w:val="22"/>
              </w:rPr>
              <w:t xml:space="preserve">The most common counterparty risk in gas-to-hash deployments is an operator who holds investor Bitcoin in a commingled pool wallet, distributes it on their own schedule, or retains discretion over conversion timing. Custody-first eliminates this entirely: the investor’s Bitcoin moves to their wallet first. There is no custodian to fail, no pool to be mismanaged, and no operator discretion over the investor’s Bitcoin holdings. For family offices with specific Bitcoin accounting requirements, custody-first is not a preference—it is a requirement.</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How to Evaluate an Operator’s Track Record</w:t>
      </w:r>
    </w:p>
    <w:p>
      <w:pPr>
        <w:spacing w:before="100" w:after="140"/>
      </w:pPr>
      <w:r>
        <w:rPr>
          <w:rFonts w:ascii="Arial" w:cs="Arial" w:eastAsia="Arial" w:hAnsi="Arial"/>
          <w:color w:val="4A4A4A"/>
          <w:sz w:val="22"/>
          <w:szCs w:val="22"/>
        </w:rPr>
        <w:t xml:space="preserve">Operator selection is the single most important variable in a gas-to-hash investment that is within the investor’s control. Bitcoin price and gas production are external. The operator’s execution quality is not. The following table identifies the specific questions to ask and the signals that distinguish credible operators from promotional ones.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Due Diligence Question</w:t>
            </w:r>
          </w:p>
        </w:tc>
        <w:tc>
          <w:tcPr>
            <w:tcW w:type="dxa" w:w="16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Signal</w:t>
            </w:r>
          </w:p>
        </w:tc>
        <w:tc>
          <w:tcPr>
            <w:tcW w:type="dxa" w:w="45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to Look For</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What is your actual average uptime across all deployed sites in the last 12 months?</w:t>
            </w:r>
          </w:p>
        </w:tc>
        <w:tc>
          <w:tcPr>
            <w:tcW w:type="dxa" w:w="1600"/>
            <w:tcBorders>
              <w:top w:val="single" w:color="DDDDDD" w:sz="1"/>
              <w:left w:val="single" w:color="DDDDDD" w:sz="1"/>
              <w:bottom w:val="single" w:color="DDDDDD" w:sz="1"/>
              <w:right w:val="single" w:color="DDDDDD" w:sz="1"/>
            </w:tcBorders>
            <w:shd w:fill="FDECEA" w:val="clear"/>
            <w:tcMar>
              <w:top w:type="dxa" w:w="90"/>
              <w:left w:type="dxa" w:w="140"/>
              <w:bottom w:type="dxa" w:w="90"/>
              <w:right w:type="dxa" w:w="140"/>
            </w:tcMar>
          </w:tcPr>
          <w:p>
            <w:pPr>
              <w:jc w:val="center"/>
            </w:pPr>
            <w:r>
              <w:rPr>
                <w:rFonts w:ascii="Arial" w:cs="Arial" w:eastAsia="Arial" w:hAnsi="Arial"/>
                <w:b/>
                <w:bCs/>
                <w:color w:val="C62828"/>
                <w:sz w:val="19"/>
                <w:szCs w:val="19"/>
              </w:rPr>
              <w:t xml:space="preserve">RED FLAG</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Vague answers, refusal to provide data, or claims of 99%+ uptime without documentation.</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What was your worst-performing site’s uptime in the last 12 months?</w:t>
            </w:r>
          </w:p>
        </w:tc>
        <w:tc>
          <w:tcPr>
            <w:tcW w:type="dxa" w:w="1600"/>
            <w:tcBorders>
              <w:top w:val="single" w:color="DDDDDD" w:sz="1"/>
              <w:left w:val="single" w:color="DDDDDD" w:sz="1"/>
              <w:bottom w:val="single" w:color="DDDDDD" w:sz="1"/>
              <w:right w:val="single" w:color="DDDDDD" w:sz="1"/>
            </w:tcBorders>
            <w:shd w:fill="FDECEA" w:val="clear"/>
            <w:tcMar>
              <w:top w:type="dxa" w:w="90"/>
              <w:left w:type="dxa" w:w="140"/>
              <w:bottom w:type="dxa" w:w="90"/>
              <w:right w:type="dxa" w:w="140"/>
            </w:tcMar>
          </w:tcPr>
          <w:p>
            <w:pPr>
              <w:jc w:val="center"/>
            </w:pPr>
            <w:r>
              <w:rPr>
                <w:rFonts w:ascii="Arial" w:cs="Arial" w:eastAsia="Arial" w:hAnsi="Arial"/>
                <w:b/>
                <w:bCs/>
                <w:color w:val="C62828"/>
                <w:sz w:val="19"/>
                <w:szCs w:val="19"/>
              </w:rPr>
              <w:t xml:space="preserve">RED FLAG</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Any operator who only discusses their best sites is not giving you the full picture.</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Provide two active operator references I can contact directly—not managed introductions.</w:t>
            </w:r>
          </w:p>
        </w:tc>
        <w:tc>
          <w:tcPr>
            <w:tcW w:type="dxa" w:w="1600"/>
            <w:tcBorders>
              <w:top w:val="single" w:color="DDDDDD" w:sz="1"/>
              <w:left w:val="single" w:color="DDDDDD" w:sz="1"/>
              <w:bottom w:val="single" w:color="DDDDDD" w:sz="1"/>
              <w:right w:val="single" w:color="DDDDDD" w:sz="1"/>
            </w:tcBorders>
            <w:shd w:fill="FDECEA" w:val="clear"/>
            <w:tcMar>
              <w:top w:type="dxa" w:w="90"/>
              <w:left w:type="dxa" w:w="140"/>
              <w:bottom w:type="dxa" w:w="90"/>
              <w:right w:type="dxa" w:w="140"/>
            </w:tcMar>
          </w:tcPr>
          <w:p>
            <w:pPr>
              <w:jc w:val="center"/>
            </w:pPr>
            <w:r>
              <w:rPr>
                <w:rFonts w:ascii="Arial" w:cs="Arial" w:eastAsia="Arial" w:hAnsi="Arial"/>
                <w:b/>
                <w:bCs/>
                <w:color w:val="C62828"/>
                <w:sz w:val="19"/>
                <w:szCs w:val="19"/>
              </w:rPr>
              <w:t xml:space="preserve">RED FLAG</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Inability to provide direct references from current operating pads is disqualifying.</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How is Bitcoin distributed to capital partners—show me the wallet transaction flow.</w:t>
            </w:r>
          </w:p>
        </w:tc>
        <w:tc>
          <w:tcPr>
            <w:tcW w:type="dxa" w:w="1600"/>
            <w:tcBorders>
              <w:top w:val="single" w:color="DDDDDD" w:sz="1"/>
              <w:left w:val="single" w:color="DDDDDD" w:sz="1"/>
              <w:bottom w:val="single" w:color="DDDDDD" w:sz="1"/>
              <w:right w:val="single" w:color="DDDDDD" w:sz="1"/>
            </w:tcBorders>
            <w:shd w:fill="EAF5EA" w:val="clear"/>
            <w:tcMar>
              <w:top w:type="dxa" w:w="90"/>
              <w:left w:type="dxa" w:w="140"/>
              <w:bottom w:type="dxa" w:w="90"/>
              <w:right w:type="dxa" w:w="140"/>
            </w:tcMar>
          </w:tcPr>
          <w:p>
            <w:pPr>
              <w:jc w:val="center"/>
            </w:pPr>
            <w:r>
              <w:rPr>
                <w:rFonts w:ascii="Arial" w:cs="Arial" w:eastAsia="Arial" w:hAnsi="Arial"/>
                <w:b/>
                <w:bCs/>
                <w:color w:val="2E7D32"/>
                <w:sz w:val="19"/>
                <w:szCs w:val="19"/>
              </w:rPr>
              <w:t xml:space="preserve">CONFIRM</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Should be custody-first to partner wallet, not held in operator pool. Get this in writing.</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What is your total deployed MW across all current sites?</w:t>
            </w:r>
          </w:p>
        </w:tc>
        <w:tc>
          <w:tcPr>
            <w:tcW w:type="dxa" w:w="1600"/>
            <w:tcBorders>
              <w:top w:val="single" w:color="DDDDDD" w:sz="1"/>
              <w:left w:val="single" w:color="DDDDDD" w:sz="1"/>
              <w:bottom w:val="single" w:color="DDDDDD" w:sz="1"/>
              <w:right w:val="single" w:color="DDDDDD" w:sz="1"/>
            </w:tcBorders>
            <w:shd w:fill="EAF5EA" w:val="clear"/>
            <w:tcMar>
              <w:top w:type="dxa" w:w="90"/>
              <w:left w:type="dxa" w:w="140"/>
              <w:bottom w:type="dxa" w:w="90"/>
              <w:right w:type="dxa" w:w="140"/>
            </w:tcMar>
          </w:tcPr>
          <w:p>
            <w:pPr>
              <w:jc w:val="center"/>
            </w:pPr>
            <w:r>
              <w:rPr>
                <w:rFonts w:ascii="Arial" w:cs="Arial" w:eastAsia="Arial" w:hAnsi="Arial"/>
                <w:b/>
                <w:bCs/>
                <w:color w:val="2E7D32"/>
                <w:sz w:val="19"/>
                <w:szCs w:val="19"/>
              </w:rPr>
              <w:t xml:space="preserve">CONFIRM</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MW is more informative than site count. Ask for both.</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Have you had any unresolved payment disputes with operators or capital partners?</w:t>
            </w:r>
          </w:p>
        </w:tc>
        <w:tc>
          <w:tcPr>
            <w:tcW w:type="dxa" w:w="1600"/>
            <w:tcBorders>
              <w:top w:val="single" w:color="DDDDDD" w:sz="1"/>
              <w:left w:val="single" w:color="DDDDDD" w:sz="1"/>
              <w:bottom w:val="single" w:color="DDDDDD" w:sz="1"/>
              <w:right w:val="single" w:color="DDDDDD" w:sz="1"/>
            </w:tcBorders>
            <w:shd w:fill="FDECEA" w:val="clear"/>
            <w:tcMar>
              <w:top w:type="dxa" w:w="90"/>
              <w:left w:type="dxa" w:w="140"/>
              <w:bottom w:type="dxa" w:w="90"/>
              <w:right w:type="dxa" w:w="140"/>
            </w:tcMar>
          </w:tcPr>
          <w:p>
            <w:pPr>
              <w:jc w:val="center"/>
            </w:pPr>
            <w:r>
              <w:rPr>
                <w:rFonts w:ascii="Arial" w:cs="Arial" w:eastAsia="Arial" w:hAnsi="Arial"/>
                <w:b/>
                <w:bCs/>
                <w:color w:val="C62828"/>
                <w:sz w:val="19"/>
                <w:szCs w:val="19"/>
              </w:rPr>
              <w:t xml:space="preserve">RED FLAG</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Even one unresolved dispute requires a full explanation before proceeding.</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What does your monthly reporting package include?</w:t>
            </w:r>
          </w:p>
        </w:tc>
        <w:tc>
          <w:tcPr>
            <w:tcW w:type="dxa" w:w="1600"/>
            <w:tcBorders>
              <w:top w:val="single" w:color="DDDDDD" w:sz="1"/>
              <w:left w:val="single" w:color="DDDDDD" w:sz="1"/>
              <w:bottom w:val="single" w:color="DDDDDD" w:sz="1"/>
              <w:right w:val="single" w:color="DDDDDD" w:sz="1"/>
            </w:tcBorders>
            <w:shd w:fill="EAF5EA" w:val="clear"/>
            <w:tcMar>
              <w:top w:type="dxa" w:w="90"/>
              <w:left w:type="dxa" w:w="140"/>
              <w:bottom w:type="dxa" w:w="90"/>
              <w:right w:type="dxa" w:w="140"/>
            </w:tcMar>
          </w:tcPr>
          <w:p>
            <w:pPr>
              <w:jc w:val="center"/>
            </w:pPr>
            <w:r>
              <w:rPr>
                <w:rFonts w:ascii="Arial" w:cs="Arial" w:eastAsia="Arial" w:hAnsi="Arial"/>
                <w:b/>
                <w:bCs/>
                <w:color w:val="2E7D32"/>
                <w:sz w:val="19"/>
                <w:szCs w:val="19"/>
              </w:rPr>
              <w:t xml:space="preserve">CONFIRM</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Minimum: BTC mined, hashprice at distribution, USD equivalent, uptime %, gas consumed.</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What are the equipment insurance and replacement provisions?</w:t>
            </w:r>
          </w:p>
        </w:tc>
        <w:tc>
          <w:tcPr>
            <w:tcW w:type="dxa" w:w="1600"/>
            <w:tcBorders>
              <w:top w:val="single" w:color="DDDDDD" w:sz="1"/>
              <w:left w:val="single" w:color="DDDDDD" w:sz="1"/>
              <w:bottom w:val="single" w:color="DDDDDD" w:sz="1"/>
              <w:right w:val="single" w:color="DDDDDD" w:sz="1"/>
            </w:tcBorders>
            <w:shd w:fill="EAF5EA" w:val="clear"/>
            <w:tcMar>
              <w:top w:type="dxa" w:w="90"/>
              <w:left w:type="dxa" w:w="140"/>
              <w:bottom w:type="dxa" w:w="90"/>
              <w:right w:type="dxa" w:w="140"/>
            </w:tcMar>
          </w:tcPr>
          <w:p>
            <w:pPr>
              <w:jc w:val="center"/>
            </w:pPr>
            <w:r>
              <w:rPr>
                <w:rFonts w:ascii="Arial" w:cs="Arial" w:eastAsia="Arial" w:hAnsi="Arial"/>
                <w:b/>
                <w:bCs/>
                <w:color w:val="2E7D32"/>
                <w:sz w:val="19"/>
                <w:szCs w:val="19"/>
              </w:rPr>
              <w:t xml:space="preserve">CONFIRM</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Equipment should be insured at replacement cost. Clarify who holds the policy.</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What happens if Bitcoin price falls below your operating cost?</w:t>
            </w:r>
          </w:p>
        </w:tc>
        <w:tc>
          <w:tcPr>
            <w:tcW w:type="dxa" w:w="1600"/>
            <w:tcBorders>
              <w:top w:val="single" w:color="DDDDDD" w:sz="1"/>
              <w:left w:val="single" w:color="DDDDDD" w:sz="1"/>
              <w:bottom w:val="single" w:color="DDDDDD" w:sz="1"/>
              <w:right w:val="single" w:color="DDDDDD" w:sz="1"/>
            </w:tcBorders>
            <w:shd w:fill="EAF5EA" w:val="clear"/>
            <w:tcMar>
              <w:top w:type="dxa" w:w="90"/>
              <w:left w:type="dxa" w:w="140"/>
              <w:bottom w:type="dxa" w:w="90"/>
              <w:right w:type="dxa" w:w="140"/>
            </w:tcMar>
          </w:tcPr>
          <w:p>
            <w:pPr>
              <w:jc w:val="center"/>
            </w:pPr>
            <w:r>
              <w:rPr>
                <w:rFonts w:ascii="Arial" w:cs="Arial" w:eastAsia="Arial" w:hAnsi="Arial"/>
                <w:b/>
                <w:bCs/>
                <w:color w:val="2E7D32"/>
                <w:sz w:val="19"/>
                <w:szCs w:val="19"/>
              </w:rPr>
              <w:t xml:space="preserve">CONFIRM</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Should have a defined suspension protocol with notice period and capital partner protection.</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What Clean Reporting Looks Like</w:t>
      </w:r>
    </w:p>
    <w:p>
      <w:pPr>
        <w:spacing w:before="100" w:after="140"/>
      </w:pPr>
      <w:r>
        <w:rPr>
          <w:rFonts w:ascii="Arial" w:cs="Arial" w:eastAsia="Arial" w:hAnsi="Arial"/>
          <w:color w:val="4A4A4A"/>
          <w:sz w:val="22"/>
          <w:szCs w:val="22"/>
        </w:rPr>
        <w:t xml:space="preserve">Monthly reporting is the primary ongoing accountability mechanism in a gas-to-hash investment. The quality of reporting tells you as much about an operator’s professionalism as the underlying economics. Clean reporting has eight components—all of which should be present in every monthly package.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1A3A5C" w:sz="6"/>
              <w:bottom w:val="single" w:color="DDDDDD" w:sz="1"/>
              <w:right w:val="single" w:color="DDDDDD" w:sz="1"/>
            </w:tcBorders>
            <w:shd w:fill="F2F2F2" w:val="clear"/>
            <w:tcMar>
              <w:top w:type="dxa" w:w="120"/>
              <w:left w:type="dxa" w:w="160"/>
              <w:bottom w:type="dxa" w:w="120"/>
              <w:right w:type="dxa" w:w="160"/>
            </w:tcMar>
          </w:tcPr>
          <w:p>
            <w:r>
              <w:rPr>
                <w:rFonts w:ascii="Arial" w:cs="Arial" w:eastAsia="Arial" w:hAnsi="Arial"/>
                <w:b/>
                <w:bCs/>
                <w:color w:val="1A3A5C"/>
                <w:sz w:val="20"/>
                <w:szCs w:val="20"/>
              </w:rPr>
              <w:t xml:space="preserve">Bitcoin production</w:t>
            </w:r>
          </w:p>
        </w:tc>
        <w:tc>
          <w:tcPr>
            <w:tcW w:type="dxa" w:w="6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Total BTC mined for the period, broken down by site if the capital partner has exposure to multiple deployments. Denominated in BTC, not USD equivalent.</w:t>
            </w:r>
          </w:p>
        </w:tc>
      </w:tr>
      <w:tr>
        <w:tc>
          <w:tcPr>
            <w:tcW w:type="dxa" w:w="2400"/>
            <w:tcBorders>
              <w:top w:val="single" w:color="DDDDDD" w:sz="1"/>
              <w:left w:val="single" w:color="1A3A5C" w:sz="6"/>
              <w:bottom w:val="single" w:color="DDDDDD" w:sz="1"/>
              <w:right w:val="single" w:color="DDDDDD" w:sz="1"/>
            </w:tcBorders>
            <w:shd w:fill="F2F2F2" w:val="clear"/>
            <w:tcMar>
              <w:top w:type="dxa" w:w="120"/>
              <w:left w:type="dxa" w:w="160"/>
              <w:bottom w:type="dxa" w:w="120"/>
              <w:right w:type="dxa" w:w="160"/>
            </w:tcMar>
          </w:tcPr>
          <w:p>
            <w:r>
              <w:rPr>
                <w:rFonts w:ascii="Arial" w:cs="Arial" w:eastAsia="Arial" w:hAnsi="Arial"/>
                <w:b/>
                <w:bCs/>
                <w:color w:val="1A3A5C"/>
                <w:sz w:val="20"/>
                <w:szCs w:val="20"/>
              </w:rPr>
              <w:t xml:space="preserve">Hashprice at distribution</w:t>
            </w:r>
          </w:p>
        </w:tc>
        <w:tc>
          <w:tcPr>
            <w:tcW w:type="dxa" w:w="6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The spot hashprice ($ per TH/day) at the time of each distribution. Allows the investor to verify that revenue projections aligned with actual market conditions.</w:t>
            </w:r>
          </w:p>
        </w:tc>
      </w:tr>
      <w:tr>
        <w:tc>
          <w:tcPr>
            <w:tcW w:type="dxa" w:w="2400"/>
            <w:tcBorders>
              <w:top w:val="single" w:color="DDDDDD" w:sz="1"/>
              <w:left w:val="single" w:color="1A3A5C" w:sz="6"/>
              <w:bottom w:val="single" w:color="DDDDDD" w:sz="1"/>
              <w:right w:val="single" w:color="DDDDDD" w:sz="1"/>
            </w:tcBorders>
            <w:shd w:fill="F2F2F2" w:val="clear"/>
            <w:tcMar>
              <w:top w:type="dxa" w:w="120"/>
              <w:left w:type="dxa" w:w="160"/>
              <w:bottom w:type="dxa" w:w="120"/>
              <w:right w:type="dxa" w:w="160"/>
            </w:tcMar>
          </w:tcPr>
          <w:p>
            <w:r>
              <w:rPr>
                <w:rFonts w:ascii="Arial" w:cs="Arial" w:eastAsia="Arial" w:hAnsi="Arial"/>
                <w:b/>
                <w:bCs/>
                <w:color w:val="1A3A5C"/>
                <w:sz w:val="20"/>
                <w:szCs w:val="20"/>
              </w:rPr>
              <w:t xml:space="preserve">USD equivalent</w:t>
            </w:r>
          </w:p>
        </w:tc>
        <w:tc>
          <w:tcPr>
            <w:tcW w:type="dxa" w:w="6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USD value of BTC distributed, at the spot price on the distribution date. Required for accounting and tax documentation regardless of whether the investor retains BTC or converts.</w:t>
            </w:r>
          </w:p>
        </w:tc>
      </w:tr>
      <w:tr>
        <w:tc>
          <w:tcPr>
            <w:tcW w:type="dxa" w:w="2400"/>
            <w:tcBorders>
              <w:top w:val="single" w:color="DDDDDD" w:sz="1"/>
              <w:left w:val="single" w:color="1A3A5C" w:sz="6"/>
              <w:bottom w:val="single" w:color="DDDDDD" w:sz="1"/>
              <w:right w:val="single" w:color="DDDDDD" w:sz="1"/>
            </w:tcBorders>
            <w:shd w:fill="F2F2F2" w:val="clear"/>
            <w:tcMar>
              <w:top w:type="dxa" w:w="120"/>
              <w:left w:type="dxa" w:w="160"/>
              <w:bottom w:type="dxa" w:w="120"/>
              <w:right w:type="dxa" w:w="160"/>
            </w:tcMar>
          </w:tcPr>
          <w:p>
            <w:r>
              <w:rPr>
                <w:rFonts w:ascii="Arial" w:cs="Arial" w:eastAsia="Arial" w:hAnsi="Arial"/>
                <w:b/>
                <w:bCs/>
                <w:color w:val="1A3A5C"/>
                <w:sz w:val="20"/>
                <w:szCs w:val="20"/>
              </w:rPr>
              <w:t xml:space="preserve">System uptime</w:t>
            </w:r>
          </w:p>
        </w:tc>
        <w:tc>
          <w:tcPr>
            <w:tcW w:type="dxa" w:w="6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Actual operating hours as a percentage of total hours in the period, by component: generator uptime, ASIC container uptime, connectivity uptime. Not a single blended figure.</w:t>
            </w:r>
          </w:p>
        </w:tc>
      </w:tr>
      <w:tr>
        <w:tc>
          <w:tcPr>
            <w:tcW w:type="dxa" w:w="2400"/>
            <w:tcBorders>
              <w:top w:val="single" w:color="DDDDDD" w:sz="1"/>
              <w:left w:val="single" w:color="1A3A5C" w:sz="6"/>
              <w:bottom w:val="single" w:color="DDDDDD" w:sz="1"/>
              <w:right w:val="single" w:color="DDDDDD" w:sz="1"/>
            </w:tcBorders>
            <w:shd w:fill="F2F2F2" w:val="clear"/>
            <w:tcMar>
              <w:top w:type="dxa" w:w="120"/>
              <w:left w:type="dxa" w:w="160"/>
              <w:bottom w:type="dxa" w:w="120"/>
              <w:right w:type="dxa" w:w="160"/>
            </w:tcMar>
          </w:tcPr>
          <w:p>
            <w:r>
              <w:rPr>
                <w:rFonts w:ascii="Arial" w:cs="Arial" w:eastAsia="Arial" w:hAnsi="Arial"/>
                <w:b/>
                <w:bCs/>
                <w:color w:val="1A3A5C"/>
                <w:sz w:val="20"/>
                <w:szCs w:val="20"/>
              </w:rPr>
              <w:t xml:space="preserve">Gas consumed</w:t>
            </w:r>
          </w:p>
        </w:tc>
        <w:tc>
          <w:tcPr>
            <w:tcW w:type="dxa" w:w="6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Volume of natural gas consumed (Mcf) and effective power output (kWh) for the period. Cross-check against gas supply confirmation from the operator.</w:t>
            </w:r>
          </w:p>
        </w:tc>
      </w:tr>
      <w:tr>
        <w:tc>
          <w:tcPr>
            <w:tcW w:type="dxa" w:w="2400"/>
            <w:tcBorders>
              <w:top w:val="single" w:color="DDDDDD" w:sz="1"/>
              <w:left w:val="single" w:color="1A3A5C" w:sz="6"/>
              <w:bottom w:val="single" w:color="DDDDDD" w:sz="1"/>
              <w:right w:val="single" w:color="DDDDDD" w:sz="1"/>
            </w:tcBorders>
            <w:shd w:fill="F2F2F2" w:val="clear"/>
            <w:tcMar>
              <w:top w:type="dxa" w:w="120"/>
              <w:left w:type="dxa" w:w="160"/>
              <w:bottom w:type="dxa" w:w="120"/>
              <w:right w:type="dxa" w:w="160"/>
            </w:tcMar>
          </w:tcPr>
          <w:p>
            <w:r>
              <w:rPr>
                <w:rFonts w:ascii="Arial" w:cs="Arial" w:eastAsia="Arial" w:hAnsi="Arial"/>
                <w:b/>
                <w:bCs/>
                <w:color w:val="1A3A5C"/>
                <w:sz w:val="20"/>
                <w:szCs w:val="20"/>
              </w:rPr>
              <w:t xml:space="preserve">Maintenance and service events</w:t>
            </w:r>
          </w:p>
        </w:tc>
        <w:tc>
          <w:tcPr>
            <w:tcW w:type="dxa" w:w="6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Any unplanned downtime events, service calls, equipment replacements, or planned maintenance periods during the reporting month. With dates, durations, and resolution.</w:t>
            </w:r>
          </w:p>
        </w:tc>
      </w:tr>
      <w:tr>
        <w:tc>
          <w:tcPr>
            <w:tcW w:type="dxa" w:w="2400"/>
            <w:tcBorders>
              <w:top w:val="single" w:color="DDDDDD" w:sz="1"/>
              <w:left w:val="single" w:color="1A3A5C" w:sz="6"/>
              <w:bottom w:val="single" w:color="DDDDDD" w:sz="1"/>
              <w:right w:val="single" w:color="DDDDDD" w:sz="1"/>
            </w:tcBorders>
            <w:shd w:fill="F2F2F2" w:val="clear"/>
            <w:tcMar>
              <w:top w:type="dxa" w:w="120"/>
              <w:left w:type="dxa" w:w="160"/>
              <w:bottom w:type="dxa" w:w="120"/>
              <w:right w:type="dxa" w:w="160"/>
            </w:tcMar>
          </w:tcPr>
          <w:p>
            <w:r>
              <w:rPr>
                <w:rFonts w:ascii="Arial" w:cs="Arial" w:eastAsia="Arial" w:hAnsi="Arial"/>
                <w:b/>
                <w:bCs/>
                <w:color w:val="1A3A5C"/>
                <w:sz w:val="20"/>
                <w:szCs w:val="20"/>
              </w:rPr>
              <w:t xml:space="preserve">Wallet transaction records</w:t>
            </w:r>
          </w:p>
        </w:tc>
        <w:tc>
          <w:tcPr>
            <w:tcW w:type="dxa" w:w="6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Blockchain transaction IDs for all BTC distributions to the capital partner’s wallet. Should match the distribution amount and timing reported in the package.</w:t>
            </w:r>
          </w:p>
        </w:tc>
      </w:tr>
      <w:tr>
        <w:tc>
          <w:tcPr>
            <w:tcW w:type="dxa" w:w="2400"/>
            <w:tcBorders>
              <w:top w:val="single" w:color="DDDDDD" w:sz="1"/>
              <w:left w:val="single" w:color="1A3A5C" w:sz="6"/>
              <w:bottom w:val="single" w:color="DDDDDD" w:sz="1"/>
              <w:right w:val="single" w:color="DDDDDD" w:sz="1"/>
            </w:tcBorders>
            <w:shd w:fill="F2F2F2" w:val="clear"/>
            <w:tcMar>
              <w:top w:type="dxa" w:w="120"/>
              <w:left w:type="dxa" w:w="160"/>
              <w:bottom w:type="dxa" w:w="120"/>
              <w:right w:type="dxa" w:w="160"/>
            </w:tcMar>
          </w:tcPr>
          <w:p>
            <w:r>
              <w:rPr>
                <w:rFonts w:ascii="Arial" w:cs="Arial" w:eastAsia="Arial" w:hAnsi="Arial"/>
                <w:b/>
                <w:bCs/>
                <w:color w:val="1A3A5C"/>
                <w:sz w:val="20"/>
                <w:szCs w:val="20"/>
              </w:rPr>
              <w:t xml:space="preserve">Forward notes</w:t>
            </w:r>
          </w:p>
        </w:tc>
        <w:tc>
          <w:tcPr>
            <w:tcW w:type="dxa" w:w="6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Any material changes expected in the next period: scheduled maintenance, gas volume changes, equipment upgrades, regulatory milestones. No surprises in the following month’s report.</w:t>
            </w:r>
          </w:p>
        </w:tc>
      </w:tr>
    </w:tbl>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A1A" w:sz="8"/>
              <w:left w:val="single" w:color="5C2A1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5C2A1A"/>
                <w:sz w:val="22"/>
                <w:szCs w:val="22"/>
              </w:rPr>
              <w:t xml:space="preserve">THE REPORTING RED FLAG</w:t>
            </w:r>
          </w:p>
          <w:p>
            <w:pPr>
              <w:spacing w:before="0" w:after="0"/>
            </w:pPr>
            <w:r>
              <w:rPr>
                <w:rFonts w:ascii="Arial" w:cs="Arial" w:eastAsia="Arial" w:hAnsi="Arial"/>
                <w:color w:val="4A4A4A"/>
                <w:sz w:val="22"/>
                <w:szCs w:val="22"/>
              </w:rPr>
              <w:t xml:space="preserve">The most common reporting failure mode is an operator who sends monthly revenue summaries without the underlying data—no blockchain transaction IDs, no uptime breakdown, no gas consumption figures. A revenue summary without verifiable data is not reporting. It is a number on a page. Institutional capital partners should require the full eight-component package as a condition of the investment, not an optional add-on.</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How the Investment Is Typically Structured</w:t>
      </w:r>
    </w:p>
    <w:p>
      <w:pPr>
        <w:spacing w:before="100" w:after="140"/>
      </w:pPr>
      <w:r>
        <w:rPr>
          <w:rFonts w:ascii="Arial" w:cs="Arial" w:eastAsia="Arial" w:hAnsi="Arial"/>
          <w:color w:val="4A4A4A"/>
          <w:sz w:val="22"/>
          <w:szCs w:val="22"/>
        </w:rPr>
        <w:t xml:space="preserve">Capital partner investments in gas-to-hash deployments are typically structured as equipment deployment agreements—not fund investments, equity stakes, or loan instruments. The capital partner owns the equipment deployed at the wellsite and earns revenue from that equipment’s operation. The key structural terms to evaluate before committing are: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Term</w:t>
            </w:r>
          </w:p>
        </w:tc>
        <w:tc>
          <w:tcPr>
            <w:tcW w:type="dxa" w:w="67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to Evaluate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Equipment ownership</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Capital partner should have documented ownership of the deployed equipment—generator and ASIC units—throughout the deployment term. Ownership is the basis for both revenue entitlement and recovery value.</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Revenue share percentage</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Negotiate based on site-specific CapEx, gas volume quality, and the operator’s track record. Illustrative range: 40–55% to capital partner. Higher percentage for higher-quality sites.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Deployment term</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Typical: 24–36 months. Shorter terms reduce CapEx payback; longer terms increase revenue duration. Evaluate against the well’s projected production profile.</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Early termination provisions</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What events trigger early termination? Who bears equipment removal cost? What compensation is owed to the capital partner if the operator elects early termination?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Equipment at end of term</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Who retains the equipment after the deployment term? If the capital partner—as is typical—ASICs can be redeployed to a new site, sold on the secondary market, or repurposed. ASIC residual value at 24–36 months is typically 30–60% of purchase price.</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Gas volume floor clause</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If gas production falls below viable operating threshold, what is the defined response? Capital partners should have a documented exit or renegotiation pathway, not exposure to indefinite below-threshold operations.</w:t>
            </w:r>
          </w:p>
        </w:tc>
      </w:tr>
    </w:tbl>
    <w:p>
      <w:pPr>
        <w:spacing w:before="80" w:after="80"/>
      </w:pPr>
      <w:r>
        <w:t xml:space="preserve"/>
      </w:r>
    </w:p>
    <w:p>
      <w:pPr>
        <w:spacing w:before="100" w:after="140"/>
      </w:pPr>
      <w:r>
        <w:rPr>
          <w:rFonts w:ascii="Arial" w:cs="Arial" w:eastAsia="Arial" w:hAnsi="Arial"/>
          <w:color w:val="4A4A4A"/>
          <w:sz w:val="22"/>
          <w:szCs w:val="22"/>
        </w:rPr>
        <w:t xml:space="preserve">A note on investment vehicle: gas-to-hash capital partner deployments are typically direct agreements between the capital partner and the operating company, not fund structures. This means the investor has direct contractual rights, direct equipment ownership, and direct Bitcoin distribution—without a fund manager layer, management fee, or carried interest. For family offices that prefer direct deal structures over fund exposure, this is a feature, not a limitation.</w:t>
      </w:r>
    </w:p>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Evaluate a specific gas-to-hash deployment opportunity.</w:t>
            </w:r>
          </w:p>
          <w:p>
            <w:pPr>
              <w:spacing w:before="0" w:after="120"/>
              <w:jc w:val="center"/>
            </w:pPr>
            <w:r>
              <w:rPr>
                <w:rFonts w:ascii="Arial" w:cs="Arial" w:eastAsia="Arial" w:hAnsi="Arial"/>
                <w:color w:val="CCCCCC"/>
                <w:sz w:val="22"/>
                <w:szCs w:val="22"/>
              </w:rPr>
              <w:t xml:space="preserve">MCF.digital works with family offices and HNWIs evaluating capital partner deployment opportunities. Book a 15-minute introduction call to discuss current site availability, deal structures, and reporting standards.</w:t>
            </w:r>
          </w:p>
          <w:p>
            <w:pPr>
              <w:spacing w:before="0" w:after="0"/>
              <w:jc w:val="center"/>
            </w:pPr>
            <w:r>
              <w:rPr>
                <w:rFonts w:ascii="Arial" w:cs="Arial" w:eastAsia="Arial" w:hAnsi="Arial"/>
                <w:b/>
                <w:bCs/>
                <w:color w:val="E8500A"/>
                <w:sz w:val="26"/>
                <w:szCs w:val="26"/>
              </w:rPr>
              <w:t xml:space="preserve">mcf.digital/hnwi-family-offices</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introduction</w:t>
            </w:r>
          </w:p>
        </w:tc>
      </w:tr>
    </w:tbl>
    <w:p>
      <w:pPr>
        <w:spacing w:before="24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Additional references for investors evaluating gas-to-hash deployment opportunities:</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The Complete Guide to Flare Gas Bitcoin Mining — </w:t>
      </w:r>
      <w:r>
        <w:rPr>
          <w:rFonts w:ascii="Arial" w:cs="Arial" w:eastAsia="Arial" w:hAnsi="Arial"/>
          <w:color w:val="4A4A4A"/>
          <w:sz w:val="22"/>
          <w:szCs w:val="22"/>
        </w:rPr>
        <w:t xml:space="preserve">mcf.digital/guides/complete-guide-flare-gas-bitcoin-mining</w:t>
      </w:r>
    </w:p>
    <w:p>
      <w:pPr>
        <w:pStyle w:val="ListParagraph"/>
        <w:numPr>
          <w:ilvl w:val="0"/>
          <w:numId w:val="2"/>
        </w:numPr>
        <w:spacing w:before="60" w:after="60"/>
      </w:pPr>
      <w:r>
        <w:rPr>
          <w:rFonts w:ascii="Arial" w:cs="Arial" w:eastAsia="Arial" w:hAnsi="Arial"/>
          <w:b/>
          <w:bCs/>
          <w:color w:val="1A1A1A"/>
          <w:sz w:val="22"/>
          <w:szCs w:val="22"/>
        </w:rPr>
        <w:t xml:space="preserve">Bitcoin Mining Hosting vs. Mining Yourself: Which Structure Fits Your Pad? — </w:t>
      </w:r>
      <w:r>
        <w:rPr>
          <w:rFonts w:ascii="Arial" w:cs="Arial" w:eastAsia="Arial" w:hAnsi="Arial"/>
          <w:color w:val="4A4A4A"/>
          <w:sz w:val="22"/>
          <w:szCs w:val="22"/>
        </w:rPr>
        <w:t xml:space="preserve">mcf.digital/guides/bitcoin-mining-hosting-vs-mining-yourself</w:t>
      </w:r>
    </w:p>
    <w:p>
      <w:pPr>
        <w:pStyle w:val="ListParagraph"/>
        <w:numPr>
          <w:ilvl w:val="0"/>
          <w:numId w:val="2"/>
        </w:numPr>
        <w:spacing w:before="60" w:after="60"/>
      </w:pPr>
      <w:r>
        <w:rPr>
          <w:rFonts w:ascii="Arial" w:cs="Arial" w:eastAsia="Arial" w:hAnsi="Arial"/>
          <w:b/>
          <w:bCs/>
          <w:color w:val="1A1A1A"/>
          <w:sz w:val="22"/>
          <w:szCs w:val="22"/>
        </w:rPr>
        <w:t xml:space="preserve">Commodity Risk, Uptime Risk, and Site Risk: The Three Risk Categories — </w:t>
      </w:r>
      <w:r>
        <w:rPr>
          <w:rFonts w:ascii="Arial" w:cs="Arial" w:eastAsia="Arial" w:hAnsi="Arial"/>
          <w:color w:val="4A4A4A"/>
          <w:sz w:val="22"/>
          <w:szCs w:val="22"/>
        </w:rPr>
        <w:t xml:space="preserve">mcf.digital/operator-guides/three-risk-categories</w:t>
      </w:r>
    </w:p>
    <w:p>
      <w:pPr>
        <w:pStyle w:val="ListParagraph"/>
        <w:numPr>
          <w:ilvl w:val="0"/>
          <w:numId w:val="2"/>
        </w:numPr>
        <w:spacing w:before="60" w:after="60"/>
      </w:pPr>
      <w:r>
        <w:rPr>
          <w:rFonts w:ascii="Arial" w:cs="Arial" w:eastAsia="Arial" w:hAnsi="Arial"/>
          <w:b/>
          <w:bCs/>
          <w:color w:val="1A1A1A"/>
          <w:sz w:val="22"/>
          <w:szCs w:val="22"/>
        </w:rPr>
        <w:t xml:space="preserve">What Happens to Your Pad When Bitcoin Price Drops 50%? — </w:t>
      </w:r>
      <w:r>
        <w:rPr>
          <w:rFonts w:ascii="Arial" w:cs="Arial" w:eastAsia="Arial" w:hAnsi="Arial"/>
          <w:color w:val="4A4A4A"/>
          <w:sz w:val="22"/>
          <w:szCs w:val="22"/>
        </w:rPr>
        <w:t xml:space="preserve">mcf.digital/operator-guides/bitcoin-price-downside-scenarios</w:t>
      </w:r>
    </w:p>
    <w:p>
      <w:pPr>
        <w:pStyle w:val="ListParagraph"/>
        <w:numPr>
          <w:ilvl w:val="0"/>
          <w:numId w:val="2"/>
        </w:numPr>
        <w:spacing w:before="60" w:after="60"/>
      </w:pPr>
      <w:r>
        <w:rPr>
          <w:rFonts w:ascii="Arial" w:cs="Arial" w:eastAsia="Arial" w:hAnsi="Arial"/>
          <w:b/>
          <w:bCs/>
          <w:color w:val="1A1A1A"/>
          <w:sz w:val="22"/>
          <w:szCs w:val="22"/>
        </w:rPr>
        <w:t xml:space="preserve">What Is Custody-First Bitcoin Payout? — </w:t>
      </w:r>
      <w:r>
        <w:rPr>
          <w:rFonts w:ascii="Arial" w:cs="Arial" w:eastAsia="Arial" w:hAnsi="Arial"/>
          <w:color w:val="4A4A4A"/>
          <w:sz w:val="22"/>
          <w:szCs w:val="22"/>
        </w:rPr>
        <w:t xml:space="preserve">mcf.digital/glossary/what-is-custody-first-bitcoin-payout</w:t>
      </w:r>
    </w:p>
    <w:p>
      <w:pPr>
        <w:pStyle w:val="ListParagraph"/>
        <w:numPr>
          <w:ilvl w:val="0"/>
          <w:numId w:val="2"/>
        </w:numPr>
        <w:spacing w:before="60" w:after="60"/>
      </w:pPr>
      <w:r>
        <w:rPr>
          <w:rFonts w:ascii="Arial" w:cs="Arial" w:eastAsia="Arial" w:hAnsi="Arial"/>
          <w:b/>
          <w:bCs/>
          <w:color w:val="1A1A1A"/>
          <w:sz w:val="22"/>
          <w:szCs w:val="22"/>
        </w:rPr>
        <w:t xml:space="preserve">What Is Hashprice? — </w:t>
      </w:r>
      <w:r>
        <w:rPr>
          <w:rFonts w:ascii="Arial" w:cs="Arial" w:eastAsia="Arial" w:hAnsi="Arial"/>
          <w:color w:val="4A4A4A"/>
          <w:sz w:val="22"/>
          <w:szCs w:val="22"/>
        </w:rPr>
        <w:t xml:space="preserve">mcf.digital/glossary/what-is-hashprice</w:t>
      </w:r>
    </w:p>
    <w:p>
      <w:pPr>
        <w:pStyle w:val="ListParagraph"/>
        <w:numPr>
          <w:ilvl w:val="0"/>
          <w:numId w:val="2"/>
        </w:numPr>
        <w:spacing w:before="60" w:after="60"/>
      </w:pPr>
      <w:r>
        <w:rPr>
          <w:rFonts w:ascii="Arial" w:cs="Arial" w:eastAsia="Arial" w:hAnsi="Arial"/>
          <w:b/>
          <w:bCs/>
          <w:color w:val="1A1A1A"/>
          <w:sz w:val="22"/>
          <w:szCs w:val="22"/>
        </w:rPr>
        <w:t xml:space="preserve">The Operator’s Due Diligence Checklist for a Gas-to-Hash Deployment — </w:t>
      </w:r>
      <w:r>
        <w:rPr>
          <w:rFonts w:ascii="Arial" w:cs="Arial" w:eastAsia="Arial" w:hAnsi="Arial"/>
          <w:color w:val="4A4A4A"/>
          <w:sz w:val="22"/>
          <w:szCs w:val="22"/>
        </w:rPr>
        <w:t xml:space="preserve">mcf.digital/operator-guides/due-diligence-checklist</w:t>
      </w:r>
    </w:p>
    <w:p>
      <w:pPr>
        <w:pStyle w:val="ListParagraph"/>
        <w:numPr>
          <w:ilvl w:val="0"/>
          <w:numId w:val="2"/>
        </w:numPr>
        <w:spacing w:before="60" w:after="60"/>
      </w:pPr>
      <w:r>
        <w:rPr>
          <w:rFonts w:ascii="Arial" w:cs="Arial" w:eastAsia="Arial" w:hAnsi="Arial"/>
          <w:b/>
          <w:bCs/>
          <w:color w:val="1A1A1A"/>
          <w:sz w:val="22"/>
          <w:szCs w:val="22"/>
        </w:rPr>
        <w:t xml:space="preserve">HNWI and Family Offices: Work With MCF.digital — </w:t>
      </w:r>
      <w:r>
        <w:rPr>
          <w:rFonts w:ascii="Arial" w:cs="Arial" w:eastAsia="Arial" w:hAnsi="Arial"/>
          <w:color w:val="4A4A4A"/>
          <w:sz w:val="22"/>
          <w:szCs w:val="22"/>
        </w:rPr>
        <w:t xml:space="preserve">mcf.digital/hnwi-family-offices</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Investors, Family Offices, HNWIs  ·  Category: Pillar Guide  ·  mcf.digital/guides/hnwi-family-office-primer</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mcf.digital/guides/hnwi-family-office-primer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PILLAR GUIDE  |  Investing in Stranded Gas Bitcoin Mining: A Family Office &amp; HNWI Primer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2026-02-26T22:33:50.729Z</dcterms:created>
  <dcterms:modified xsi:type="dcterms:W3CDTF">2026-02-26T22:33:50.730Z</dcterms:modified>
</cp:coreProperties>
</file>

<file path=docProps/custom.xml><?xml version="1.0" encoding="utf-8"?>
<Properties xmlns="http://schemas.openxmlformats.org/officeDocument/2006/custom-properties" xmlns:vt="http://schemas.openxmlformats.org/officeDocument/2006/docPropsVTypes"/>
</file>