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pPr>
      <w:r>
        <w:rPr>
          <w:rFonts w:ascii="Arial" w:cs="Arial" w:eastAsia="Arial" w:hAnsi="Arial"/>
          <w:caps/>
          <w:color w:val="999999"/>
          <w:sz w:val="18"/>
          <w:szCs w:val="18"/>
        </w:rPr>
        <w:t xml:space="preserve">PILLAR GUIDE  //  TECHNICAL REFERENCE</w:t>
      </w:r>
    </w:p>
    <w:p>
      <w:pPr>
        <w:spacing w:before="0" w:after="60"/>
      </w:pPr>
      <w:r>
        <w:rPr>
          <w:rFonts w:ascii="Arial" w:cs="Arial" w:eastAsia="Arial" w:hAnsi="Arial"/>
          <w:b/>
          <w:bCs/>
          <w:color w:val="1A1A1A"/>
          <w:sz w:val="44"/>
          <w:szCs w:val="44"/>
        </w:rPr>
        <w:t xml:space="preserve">How On-Lease Power and Compute Systems Work:</w:t>
      </w:r>
    </w:p>
    <w:p>
      <w:pPr>
        <w:spacing w:before="0" w:after="200"/>
      </w:pPr>
      <w:r>
        <w:rPr>
          <w:rFonts w:ascii="Arial" w:cs="Arial" w:eastAsia="Arial" w:hAnsi="Arial"/>
          <w:b/>
          <w:bCs/>
          <w:color w:val="E8500A"/>
          <w:sz w:val="44"/>
          <w:szCs w:val="44"/>
        </w:rPr>
        <w:t xml:space="preserve">A Technical Overview</w:t>
      </w:r>
    </w:p>
    <w:p>
      <w:pPr>
        <w:pBdr>
          <w:bottom w:val="single" w:color="E8D5CC" w:sz="6" w:space="4"/>
        </w:pBdr>
        <w:spacing w:before="0" w:after="320"/>
      </w:pPr>
      <w:r>
        <w:rPr>
          <w:rFonts w:ascii="Arial" w:cs="Arial" w:eastAsia="Arial" w:hAnsi="Arial"/>
          <w:color w:val="4A4A4A"/>
          <w:sz w:val="24"/>
          <w:szCs w:val="24"/>
        </w:rPr>
        <w:t xml:space="preserve">For production engineers and operations teams evaluating whether a gas-to-hash deployment can actually work on a specific pad. This guide covers every component of the system—wellhead gas conditioning through Bitcoin payout—with the engineering specifications, selection criteria, and field condition requirements that determine whether a deployment performs or underdelivers.</w:t>
      </w:r>
    </w:p>
    <w:p>
      <w:pPr>
        <w:spacing w:before="160" w:after="80"/>
      </w:pPr>
      <w:r>
        <w:t xml:space="preserve"/>
      </w:r>
    </w:p>
    <w:p>
      <w:pPr>
        <w:pStyle w:val="Heading2"/>
        <w:pBdr>
          <w:bottom w:val="single" w:color="E8500A" w:sz="4" w:space="4"/>
        </w:pBdr>
        <w:spacing w:before="360" w:after="120"/>
      </w:pPr>
      <w:r>
        <w:rPr>
          <w:rFonts w:ascii="Arial" w:cs="Arial" w:eastAsia="Arial" w:hAnsi="Arial"/>
          <w:b/>
          <w:bCs/>
          <w:color w:val="1A1A1A"/>
          <w:sz w:val="28"/>
          <w:szCs w:val="28"/>
        </w:rPr>
        <w:t xml:space="preserve">System Architecture: Seven Components</w:t>
      </w:r>
    </w:p>
    <w:p>
      <w:pPr>
        <w:spacing w:before="100" w:after="140"/>
      </w:pPr>
      <w:r>
        <w:rPr>
          <w:rFonts w:ascii="Arial" w:cs="Arial" w:eastAsia="Arial" w:hAnsi="Arial"/>
          <w:color w:val="4A4A4A"/>
          <w:sz w:val="22"/>
          <w:szCs w:val="22"/>
        </w:rPr>
        <w:t xml:space="preserve">An on-lease gas-to-hash system is not a single product—it is a seven-component engineered system where each component must be correctly specified for the deployment site. The components are sequential and interdependent: a miscalculation at the genset selection stage propagates through the entire power and compute chain. Engineers evaluating a proposed deployment should assess each component independently, not just the system headline output.</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6400"/>
      </w:tblGrid>
      <w:tr>
        <w:trPr>
          <w:tblHeader/>
        </w:trPr>
        <w:tc>
          <w:tcPr>
            <w:tcW w:type="dxa" w:w="56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24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Component</w:t>
            </w:r>
          </w:p>
        </w:tc>
        <w:tc>
          <w:tcPr>
            <w:tcW w:type="dxa" w:w="64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Function and Key Engineering Constraint</w:t>
            </w:r>
          </w:p>
        </w:tc>
      </w:tr>
      <w:tr>
        <w:tc>
          <w:tcPr>
            <w:tcW w:type="dxa" w:w="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1</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Wellhead Gas Conditioning</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Pressure regulation, filtration, H2S treatment if required. Inlet specification: 2–7 in. W.C. at genset fuel inlet.</w:t>
            </w:r>
          </w:p>
        </w:tc>
      </w:tr>
      <w:tr>
        <w:tc>
          <w:tcPr>
            <w:tcW w:type="dxa" w:w="5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2</w:t>
            </w:r>
          </w:p>
        </w:tc>
        <w:tc>
          <w:tcPr>
            <w:tcW w:type="dxa" w:w="24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Generator Set (Genset)</w:t>
            </w:r>
          </w:p>
        </w:tc>
        <w:tc>
          <w:tcPr>
            <w:tcW w:type="dxa" w:w="64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Converts gas to AC electrical power. Primary capacity constraint. Must be sized against derated output, not nameplate.</w:t>
            </w:r>
          </w:p>
        </w:tc>
      </w:tr>
      <w:tr>
        <w:tc>
          <w:tcPr>
            <w:tcW w:type="dxa" w:w="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3</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Electrical Interconnect</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Switchgear, distribution panel, container feeds. Must match genset output voltage and container load profile.</w:t>
            </w:r>
          </w:p>
        </w:tc>
      </w:tr>
      <w:tr>
        <w:tc>
          <w:tcPr>
            <w:tcW w:type="dxa" w:w="5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4</w:t>
            </w:r>
          </w:p>
        </w:tc>
        <w:tc>
          <w:tcPr>
            <w:tcW w:type="dxa" w:w="24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ASIC Mining Containers</w:t>
            </w:r>
          </w:p>
        </w:tc>
        <w:tc>
          <w:tcPr>
            <w:tcW w:type="dxa" w:w="64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Houses ASIC miners with thermal management. Container spec must match ambient temperature range of deployment site.</w:t>
            </w:r>
          </w:p>
        </w:tc>
      </w:tr>
      <w:tr>
        <w:tc>
          <w:tcPr>
            <w:tcW w:type="dxa" w:w="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5</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Data Connectivity</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Starlink satellite internet. Pool connectivity required for mining revenue. Latency tolerance: pool protocols accept up to ~500 ms.</w:t>
            </w:r>
          </w:p>
        </w:tc>
      </w:tr>
      <w:tr>
        <w:tc>
          <w:tcPr>
            <w:tcW w:type="dxa" w:w="5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6</w:t>
            </w:r>
          </w:p>
        </w:tc>
        <w:tc>
          <w:tcPr>
            <w:tcW w:type="dxa" w:w="24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Remote Monitoring</w:t>
            </w:r>
          </w:p>
        </w:tc>
        <w:tc>
          <w:tcPr>
            <w:tcW w:type="dxa" w:w="64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Real-time telemetry: generator performance, container temp, hash rate, power draw. Alert escalation for fault conditions.</w:t>
            </w:r>
          </w:p>
        </w:tc>
      </w:tr>
      <w:tr>
        <w:tc>
          <w:tcPr>
            <w:tcW w:type="dxa" w:w="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7</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Service Access Design</w:t>
            </w:r>
          </w:p>
        </w:tc>
        <w:tc>
          <w:tcPr>
            <w:tcW w:type="dxa" w:w="6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Physical access planning for scheduled maintenance and unplanned service calls. Critical path for uptime management.</w:t>
            </w:r>
          </w:p>
        </w:tc>
      </w:tr>
    </w:tbl>
    <w:p>
      <w:pPr>
        <w:spacing w:before="20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A3A5C" w:val="clear"/>
            <w:tcMar>
              <w:top w:type="dxa" w:w="0"/>
              <w:left w:type="dxa" w:w="0"/>
              <w:bottom w:type="dxa" w:w="0"/>
              <w:right w:type="dxa" w:w="0"/>
            </w:tcMar>
          </w:tcPr>
          <w:p>
            <w:r>
              <w:t xml:space="preserve"/>
            </w:r>
          </w:p>
        </w:tc>
        <w:tc>
          <w:tcPr>
            <w:tcW w:type="dxa" w:w="9080"/>
            <w:tcBorders>
              <w:top w:val="none" w:color="FFFFFF" w:sz="0"/>
              <w:left w:val="none" w:color="FFFFFF" w:sz="0"/>
              <w:bottom w:val="single" w:color="E0E0E0" w:sz="2"/>
              <w:right w:val="none" w:color="FFFFFF" w:sz="0"/>
            </w:tcBorders>
            <w:shd w:fill="F5F5F5" w:val="clear"/>
            <w:tcMar>
              <w:top w:type="dxa" w:w="150"/>
              <w:left w:type="dxa" w:w="220"/>
              <w:bottom w:type="dxa" w:w="150"/>
              <w:right w:type="dxa" w:w="220"/>
            </w:tcMar>
          </w:tcPr>
          <w:p>
            <w:pPr>
              <w:spacing w:before="0" w:after="40"/>
            </w:pPr>
            <w:r>
              <w:rPr>
                <w:rFonts w:ascii="Arial" w:cs="Arial" w:eastAsia="Arial" w:hAnsi="Arial"/>
                <w:b/>
                <w:bCs/>
                <w:caps/>
                <w:color w:val="1A3A5C"/>
                <w:sz w:val="17"/>
                <w:szCs w:val="17"/>
              </w:rPr>
              <w:t xml:space="preserve">SYSTEM COMPONENT 1</w:t>
            </w:r>
          </w:p>
          <w:p>
            <w:pPr>
              <w:spacing w:before="0" w:after="50"/>
            </w:pPr>
            <w:r>
              <w:rPr>
                <w:rFonts w:ascii="Arial" w:cs="Arial" w:eastAsia="Arial" w:hAnsi="Arial"/>
                <w:b/>
                <w:bCs/>
                <w:color w:val="1A1A1A"/>
                <w:sz w:val="28"/>
                <w:szCs w:val="28"/>
              </w:rPr>
              <w:t xml:space="preserve">Wellhead Gas Conditioning</w:t>
            </w:r>
          </w:p>
          <w:p>
            <w:pPr>
              <w:spacing w:before="0" w:after="0"/>
            </w:pPr>
            <w:r>
              <w:rPr>
                <w:rFonts w:ascii="Arial" w:cs="Arial" w:eastAsia="Arial" w:hAnsi="Arial"/>
                <w:color w:val="4A4A4A"/>
                <w:sz w:val="20"/>
                <w:szCs w:val="20"/>
              </w:rPr>
              <w:t xml:space="preserve">Pressure regulation · Filtration · Gas analysis · H2S treatment</w:t>
            </w:r>
          </w:p>
        </w:tc>
      </w:tr>
    </w:tbl>
    <w:p>
      <w:pPr>
        <w:spacing w:before="160" w:after="80"/>
      </w:pPr>
      <w:r>
        <w:t xml:space="preserve"/>
      </w:r>
    </w:p>
    <w:p>
      <w:pPr>
        <w:spacing w:before="100" w:after="140"/>
      </w:pPr>
      <w:r>
        <w:rPr>
          <w:rFonts w:ascii="Arial" w:cs="Arial" w:eastAsia="Arial" w:hAnsi="Arial"/>
          <w:color w:val="4A4A4A"/>
          <w:sz w:val="22"/>
          <w:szCs w:val="22"/>
        </w:rPr>
        <w:t xml:space="preserve">Gas at the wellhead arrives at pressures ranging from 10 psi on low-productivity wells to 1,000+ psi on high-pressure Bakken formations. Generator sets operate at fuel inlet pressures of 2–7 inches water column (approximately 0.07–0.25 psi). The conditioning train bridges that gap and removes contaminants that would damage the genset or invalidate its warranty coverage.</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1A3A5C"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1A3A5C"/>
                <w:sz w:val="20"/>
                <w:szCs w:val="20"/>
              </w:rPr>
              <w:t xml:space="preserve">Inlet pressure requirement</w:t>
            </w:r>
          </w:p>
        </w:tc>
        <w:tc>
          <w:tcPr>
            <w:tcW w:type="dxa" w:w="67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4A4A4A"/>
                <w:sz w:val="20"/>
                <w:szCs w:val="20"/>
              </w:rPr>
              <w:t xml:space="preserve">2–7 in. W.C. (0.07–0.25 psi) at genset fuel inlet. Wellhead pressure must be regulated through a two-stage regulator train to this range.</w:t>
            </w:r>
          </w:p>
        </w:tc>
      </w:tr>
      <w:tr>
        <w:tc>
          <w:tcPr>
            <w:tcW w:type="dxa" w:w="2600"/>
            <w:tcBorders>
              <w:top w:val="single" w:color="DDDDDD" w:sz="1"/>
              <w:left w:val="single" w:color="1A3A5C"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1A3A5C"/>
                <w:sz w:val="20"/>
                <w:szCs w:val="20"/>
              </w:rPr>
              <w:t xml:space="preserve">Minimum wellhead pressure</w:t>
            </w:r>
          </w:p>
        </w:tc>
        <w:tc>
          <w:tcPr>
            <w:tcW w:type="dxa" w:w="6760"/>
            <w:tcBorders>
              <w:top w:val="single" w:color="DDDDDD" w:sz="1"/>
              <w:left w:val="single" w:color="DDDDDD" w:sz="1"/>
              <w:bottom w:val="single" w:color="DDDDDD" w:sz="1"/>
              <w:right w:val="single" w:color="DDDDDD" w:sz="1"/>
            </w:tcBorders>
            <w:shd w:fill="FAFAFA" w:val="clear"/>
            <w:tcMar>
              <w:top w:type="dxa" w:w="110"/>
              <w:left w:type="dxa" w:w="160"/>
              <w:bottom w:type="dxa" w:w="110"/>
              <w:right w:type="dxa" w:w="160"/>
            </w:tcMar>
          </w:tcPr>
          <w:p>
            <w:r>
              <w:rPr>
                <w:rFonts w:ascii="Arial" w:cs="Arial" w:eastAsia="Arial" w:hAnsi="Arial"/>
                <w:color w:val="4A4A4A"/>
                <w:sz w:val="20"/>
                <w:szCs w:val="20"/>
              </w:rPr>
              <w:t xml:space="preserve">25 psi preferred; 10 psi absolute minimum without added compression. Below 10 psi: electric or gas-driven compressor required before conditioning train.</w:t>
            </w:r>
          </w:p>
        </w:tc>
      </w:tr>
      <w:tr>
        <w:tc>
          <w:tcPr>
            <w:tcW w:type="dxa" w:w="2600"/>
            <w:tcBorders>
              <w:top w:val="single" w:color="DDDDDD" w:sz="1"/>
              <w:left w:val="single" w:color="1A3A5C"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1A3A5C"/>
                <w:sz w:val="20"/>
                <w:szCs w:val="20"/>
              </w:rPr>
              <w:t xml:space="preserve">Filtration</w:t>
            </w:r>
          </w:p>
        </w:tc>
        <w:tc>
          <w:tcPr>
            <w:tcW w:type="dxa" w:w="67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4A4A4A"/>
                <w:sz w:val="20"/>
                <w:szCs w:val="20"/>
              </w:rPr>
              <w:t xml:space="preserve">Coalescing filter to remove liquid hydrocarbons and water vapor. Separator required upstream of regulator on high-GOR streams. Protects regulator seats and genset carburetor.</w:t>
            </w:r>
          </w:p>
        </w:tc>
      </w:tr>
      <w:tr>
        <w:tc>
          <w:tcPr>
            <w:tcW w:type="dxa" w:w="2600"/>
            <w:tcBorders>
              <w:top w:val="single" w:color="DDDDDD" w:sz="1"/>
              <w:left w:val="single" w:color="1A3A5C"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1A3A5C"/>
                <w:sz w:val="20"/>
                <w:szCs w:val="20"/>
              </w:rPr>
              <w:t xml:space="preserve">H2S treatment threshold</w:t>
            </w:r>
          </w:p>
        </w:tc>
        <w:tc>
          <w:tcPr>
            <w:tcW w:type="dxa" w:w="6760"/>
            <w:tcBorders>
              <w:top w:val="single" w:color="DDDDDD" w:sz="1"/>
              <w:left w:val="single" w:color="DDDDDD" w:sz="1"/>
              <w:bottom w:val="single" w:color="DDDDDD" w:sz="1"/>
              <w:right w:val="single" w:color="DDDDDD" w:sz="1"/>
            </w:tcBorders>
            <w:shd w:fill="FAFAFA" w:val="clear"/>
            <w:tcMar>
              <w:top w:type="dxa" w:w="110"/>
              <w:left w:type="dxa" w:w="160"/>
              <w:bottom w:type="dxa" w:w="110"/>
              <w:right w:type="dxa" w:w="160"/>
            </w:tcMar>
          </w:tcPr>
          <w:p>
            <w:r>
              <w:rPr>
                <w:rFonts w:ascii="Arial" w:cs="Arial" w:eastAsia="Arial" w:hAnsi="Arial"/>
                <w:color w:val="4A4A4A"/>
                <w:sz w:val="20"/>
                <w:szCs w:val="20"/>
              </w:rPr>
              <w:t xml:space="preserve">Below 100 ppm: standard genset with H2S-rated lube oil adequate. 100–500 ppm: H2S-rated genset components required. Above 500 ppm: active sweetening (amine scrubber or iron sponge) before genset fuel inlet.</w:t>
            </w:r>
          </w:p>
        </w:tc>
      </w:tr>
      <w:tr>
        <w:tc>
          <w:tcPr>
            <w:tcW w:type="dxa" w:w="2600"/>
            <w:tcBorders>
              <w:top w:val="single" w:color="DDDDDD" w:sz="1"/>
              <w:left w:val="single" w:color="1A3A5C"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1A3A5C"/>
                <w:sz w:val="20"/>
                <w:szCs w:val="20"/>
              </w:rPr>
              <w:t xml:space="preserve">Gas analysis requirement</w:t>
            </w:r>
          </w:p>
        </w:tc>
        <w:tc>
          <w:tcPr>
            <w:tcW w:type="dxa" w:w="67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4A4A4A"/>
                <w:sz w:val="20"/>
                <w:szCs w:val="20"/>
              </w:rPr>
              <w:t xml:space="preserve">Full compositional analysis (BTU, methane %, C2+, H2S, CO2, N2) required before genset selection. Analysis must be current (within 90 days). Stale analysis is the most common source of genset misspecification.</w:t>
            </w:r>
          </w:p>
        </w:tc>
      </w:tr>
      <w:tr>
        <w:tc>
          <w:tcPr>
            <w:tcW w:type="dxa" w:w="2600"/>
            <w:tcBorders>
              <w:top w:val="single" w:color="DDDDDD" w:sz="1"/>
              <w:left w:val="single" w:color="1A3A5C"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1A3A5C"/>
                <w:sz w:val="20"/>
                <w:szCs w:val="20"/>
              </w:rPr>
              <w:t xml:space="preserve">NGL-rich streams</w:t>
            </w:r>
          </w:p>
        </w:tc>
        <w:tc>
          <w:tcPr>
            <w:tcW w:type="dxa" w:w="6760"/>
            <w:tcBorders>
              <w:top w:val="single" w:color="DDDDDD" w:sz="1"/>
              <w:left w:val="single" w:color="DDDDDD" w:sz="1"/>
              <w:bottom w:val="single" w:color="DDDDDD" w:sz="1"/>
              <w:right w:val="single" w:color="DDDDDD" w:sz="1"/>
            </w:tcBorders>
            <w:shd w:fill="FAFAFA" w:val="clear"/>
            <w:tcMar>
              <w:top w:type="dxa" w:w="110"/>
              <w:left w:type="dxa" w:w="160"/>
              <w:bottom w:type="dxa" w:w="110"/>
              <w:right w:type="dxa" w:w="160"/>
            </w:tcMar>
          </w:tcPr>
          <w:p>
            <w:r>
              <w:rPr>
                <w:rFonts w:ascii="Arial" w:cs="Arial" w:eastAsia="Arial" w:hAnsi="Arial"/>
                <w:color w:val="4A4A4A"/>
                <w:sz w:val="20"/>
                <w:szCs w:val="20"/>
              </w:rPr>
              <w:t xml:space="preserve">High NGL content (C3+) reduces methane number and increases BTU variability. Rich streams require BTU trim valve or catalytic conversion ahead of genset on some configurations. Confirm with genset manufacturer.</w:t>
            </w:r>
          </w:p>
        </w:tc>
      </w:tr>
    </w:tbl>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DDDDDD" w:sz="1"/>
              <w:bottom w:val="single" w:color="DDDDDD" w:sz="1"/>
              <w:right w:val="single" w:color="DDDDDD" w:sz="1"/>
            </w:tcBorders>
            <w:shd w:fill="F0F4FA" w:val="clear"/>
            <w:tcMar>
              <w:top w:type="dxa" w:w="120"/>
              <w:left w:type="dxa" w:w="180"/>
              <w:bottom w:type="dxa" w:w="120"/>
              <w:right w:type="dxa" w:w="180"/>
            </w:tcMar>
          </w:tcPr>
          <w:p>
            <w:r>
              <w:rPr>
                <w:rFonts w:ascii="Arial" w:cs="Arial" w:eastAsia="Arial" w:hAnsi="Arial"/>
                <w:b/>
                <w:bCs/>
                <w:color w:val="1A3A5C"/>
                <w:sz w:val="20"/>
                <w:szCs w:val="20"/>
              </w:rPr>
              <w:t xml:space="preserve">FIELD NOTE:  </w:t>
            </w:r>
            <w:r>
              <w:rPr>
                <w:rFonts w:ascii="Arial" w:cs="Arial" w:eastAsia="Arial" w:hAnsi="Arial"/>
                <w:color w:val="4A4A4A"/>
                <w:sz w:val="20"/>
                <w:szCs w:val="20"/>
              </w:rPr>
              <w:t xml:space="preserve">Wellhead pressure always needs to be confirmed at minimum winter conditions, not average annual. A DJ Basin well at 4,800 ft with 80 psi average wellhead pressure may drop to 30 psi during high-draw winter months. Size the conditioning train against the minimum, not the average.</w:t>
            </w:r>
          </w:p>
        </w:tc>
      </w:tr>
    </w:tbl>
    <w:p>
      <w:pPr>
        <w:spacing w:before="20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E4D2B" w:val="clear"/>
            <w:tcMar>
              <w:top w:type="dxa" w:w="0"/>
              <w:left w:type="dxa" w:w="0"/>
              <w:bottom w:type="dxa" w:w="0"/>
              <w:right w:type="dxa" w:w="0"/>
            </w:tcMar>
          </w:tcPr>
          <w:p>
            <w:r>
              <w:t xml:space="preserve"/>
            </w:r>
          </w:p>
        </w:tc>
        <w:tc>
          <w:tcPr>
            <w:tcW w:type="dxa" w:w="9080"/>
            <w:tcBorders>
              <w:top w:val="none" w:color="FFFFFF" w:sz="0"/>
              <w:left w:val="none" w:color="FFFFFF" w:sz="0"/>
              <w:bottom w:val="single" w:color="E0E0E0" w:sz="2"/>
              <w:right w:val="none" w:color="FFFFFF" w:sz="0"/>
            </w:tcBorders>
            <w:shd w:fill="F5F5F5" w:val="clear"/>
            <w:tcMar>
              <w:top w:type="dxa" w:w="150"/>
              <w:left w:type="dxa" w:w="220"/>
              <w:bottom w:type="dxa" w:w="150"/>
              <w:right w:type="dxa" w:w="220"/>
            </w:tcMar>
          </w:tcPr>
          <w:p>
            <w:pPr>
              <w:spacing w:before="0" w:after="40"/>
            </w:pPr>
            <w:r>
              <w:rPr>
                <w:rFonts w:ascii="Arial" w:cs="Arial" w:eastAsia="Arial" w:hAnsi="Arial"/>
                <w:b/>
                <w:bCs/>
                <w:caps/>
                <w:color w:val="1E4D2B"/>
                <w:sz w:val="17"/>
                <w:szCs w:val="17"/>
              </w:rPr>
              <w:t xml:space="preserve">SYSTEM COMPONENT 2</w:t>
            </w:r>
          </w:p>
          <w:p>
            <w:pPr>
              <w:spacing w:before="0" w:after="50"/>
            </w:pPr>
            <w:r>
              <w:rPr>
                <w:rFonts w:ascii="Arial" w:cs="Arial" w:eastAsia="Arial" w:hAnsi="Arial"/>
                <w:b/>
                <w:bCs/>
                <w:color w:val="1A1A1A"/>
                <w:sz w:val="28"/>
                <w:szCs w:val="28"/>
              </w:rPr>
              <w:t xml:space="preserve">Generator Set Selection and Sizing</w:t>
            </w:r>
          </w:p>
          <w:p>
            <w:pPr>
              <w:spacing w:before="0" w:after="0"/>
            </w:pPr>
            <w:r>
              <w:rPr>
                <w:rFonts w:ascii="Arial" w:cs="Arial" w:eastAsia="Arial" w:hAnsi="Arial"/>
                <w:color w:val="4A4A4A"/>
                <w:sz w:val="20"/>
                <w:szCs w:val="20"/>
              </w:rPr>
              <w:t xml:space="preserve">Methane number · Altitude derate · Temperature derate · Cold-weather packages</w:t>
            </w:r>
          </w:p>
        </w:tc>
      </w:tr>
    </w:tbl>
    <w:p>
      <w:pPr>
        <w:spacing w:before="160" w:after="80"/>
      </w:pPr>
      <w:r>
        <w:t xml:space="preserve"/>
      </w:r>
    </w:p>
    <w:p>
      <w:pPr>
        <w:spacing w:before="100" w:after="140"/>
      </w:pPr>
      <w:r>
        <w:rPr>
          <w:rFonts w:ascii="Arial" w:cs="Arial" w:eastAsia="Arial" w:hAnsi="Arial"/>
          <w:color w:val="4A4A4A"/>
          <w:sz w:val="22"/>
          <w:szCs w:val="22"/>
        </w:rPr>
        <w:t xml:space="preserve">Genset selection is the most consequential engineering decision in the deployment. An undersized or misspecified genset either underperforms against the revenue projection or fails prematurely. Every parameter below must be evaluated for the specific site before selecting a genset model and rated capacity.</w:t>
      </w:r>
    </w:p>
    <w:p>
      <w:pPr>
        <w:spacing w:before="80" w:after="60"/>
      </w:pPr>
      <w:r>
        <w:t xml:space="preserve"/>
      </w:r>
    </w:p>
    <w:p>
      <w:pPr>
        <w:pStyle w:val="Heading3"/>
        <w:spacing w:before="240" w:after="100"/>
      </w:pPr>
      <w:r>
        <w:rPr>
          <w:rFonts w:ascii="Arial" w:cs="Arial" w:eastAsia="Arial" w:hAnsi="Arial"/>
          <w:b/>
          <w:bCs/>
          <w:color w:val="1E4D2B"/>
          <w:sz w:val="24"/>
          <w:szCs w:val="24"/>
        </w:rPr>
        <w:t xml:space="preserve">Methane Number and Knock Resistance</w:t>
      </w:r>
    </w:p>
    <w:p>
      <w:pPr>
        <w:spacing w:before="100" w:after="140"/>
      </w:pPr>
      <w:r>
        <w:rPr>
          <w:rFonts w:ascii="Arial" w:cs="Arial" w:eastAsia="Arial" w:hAnsi="Arial"/>
          <w:color w:val="4A4A4A"/>
          <w:sz w:val="22"/>
          <w:szCs w:val="22"/>
        </w:rPr>
        <w:t xml:space="preserve">Methane number (MN) is a fuel quality index that measures the knock resistance of a natural gas fuel. Higher methane number means higher knock resistance. Generator sets have a rated methane number tolerance—the minimum fuel quality they can operate on without derating or component damage. Using a genset on fuel below its rated MN threshold causes detonation (knock), leading to piston and valve damage and potential engine failure.</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rPr>
          <w:tblHeader/>
        </w:trPr>
        <w:tc>
          <w:tcPr>
            <w:tcW w:type="dxa" w:w="1800"/>
            <w:tcBorders>
              <w:top w:val="single" w:color="DDDDDD" w:sz="1"/>
              <w:left w:val="single" w:color="DDDDDD" w:sz="1"/>
              <w:bottom w:val="single" w:color="DDDDDD" w:sz="1"/>
              <w:right w:val="single" w:color="DDDDDD" w:sz="1"/>
            </w:tcBorders>
            <w:shd w:fill="1E4D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MN Range</w:t>
            </w:r>
          </w:p>
        </w:tc>
        <w:tc>
          <w:tcPr>
            <w:tcW w:type="dxa" w:w="2200"/>
            <w:tcBorders>
              <w:top w:val="single" w:color="DDDDDD" w:sz="1"/>
              <w:left w:val="single" w:color="DDDDDD" w:sz="1"/>
              <w:bottom w:val="single" w:color="DDDDDD" w:sz="1"/>
              <w:right w:val="single" w:color="DDDDDD" w:sz="1"/>
            </w:tcBorders>
            <w:shd w:fill="1E4D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Typical Gas Source</w:t>
            </w:r>
          </w:p>
        </w:tc>
        <w:tc>
          <w:tcPr>
            <w:tcW w:type="dxa" w:w="2680"/>
            <w:tcBorders>
              <w:top w:val="single" w:color="DDDDDD" w:sz="1"/>
              <w:left w:val="single" w:color="DDDDDD" w:sz="1"/>
              <w:bottom w:val="single" w:color="DDDDDD" w:sz="1"/>
              <w:right w:val="single" w:color="DDDDDD" w:sz="1"/>
            </w:tcBorders>
            <w:shd w:fill="1E4D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Genset Compatibility</w:t>
            </w:r>
          </w:p>
        </w:tc>
        <w:tc>
          <w:tcPr>
            <w:tcW w:type="dxa" w:w="2680"/>
            <w:tcBorders>
              <w:top w:val="single" w:color="DDDDDD" w:sz="1"/>
              <w:left w:val="single" w:color="DDDDDD" w:sz="1"/>
              <w:bottom w:val="single" w:color="DDDDDD" w:sz="1"/>
              <w:right w:val="single" w:color="DDDDDD" w:sz="1"/>
            </w:tcBorders>
            <w:shd w:fill="1E4D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Action Required</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MN 88–95+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Haynesville dry gas, lean Codell/Niobrara (DJ)</w:t>
            </w:r>
          </w:p>
        </w:tc>
        <w:tc>
          <w:tcPr>
            <w:tcW w:type="dxa" w:w="268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Standard genset; no derating required</w:t>
            </w:r>
          </w:p>
        </w:tc>
        <w:tc>
          <w:tcPr>
            <w:tcW w:type="dxa" w:w="2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None. Optimal fuel for spark-ignited gas engines.</w:t>
            </w:r>
          </w:p>
        </w:tc>
      </w:tr>
      <w:tr>
        <w:tc>
          <w:tcPr>
            <w:tcW w:type="dxa" w:w="1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MN 75–88</w:t>
            </w:r>
          </w:p>
        </w:tc>
        <w:tc>
          <w:tcPr>
            <w:tcW w:type="dxa" w:w="22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Permian associated gas, Bakken associated gas</w:t>
            </w:r>
          </w:p>
        </w:tc>
        <w:tc>
          <w:tcPr>
            <w:tcW w:type="dxa" w:w="268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Standard genset; minor MN derate may apply</w:t>
            </w:r>
          </w:p>
        </w:tc>
        <w:tc>
          <w:tcPr>
            <w:tcW w:type="dxa" w:w="26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Confirm genset model’s minimum MN rating. Caterpillar G3500 series: MN 70 minimum.</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MN 60–75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Rich condensate-window gas, high NGL associated gas</w:t>
            </w:r>
          </w:p>
        </w:tc>
        <w:tc>
          <w:tcPr>
            <w:tcW w:type="dxa" w:w="268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MN-rated genset required; or BTU conditioning</w:t>
            </w:r>
          </w:p>
        </w:tc>
        <w:tc>
          <w:tcPr>
            <w:tcW w:type="dxa" w:w="2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Select genset rated for MN 60 minimum. Alternative: install BTU trim valve to reduce knock tendency.</w:t>
            </w:r>
          </w:p>
        </w:tc>
      </w:tr>
      <w:tr>
        <w:tc>
          <w:tcPr>
            <w:tcW w:type="dxa" w:w="1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MN &lt; 60</w:t>
            </w:r>
          </w:p>
        </w:tc>
        <w:tc>
          <w:tcPr>
            <w:tcW w:type="dxa" w:w="22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High-NGL wet gas; unusual composition</w:t>
            </w:r>
          </w:p>
        </w:tc>
        <w:tc>
          <w:tcPr>
            <w:tcW w:type="dxa" w:w="2680"/>
            <w:tcBorders>
              <w:top w:val="single" w:color="DDDDDD" w:sz="1"/>
              <w:left w:val="single" w:color="DDDDDD" w:sz="1"/>
              <w:bottom w:val="single" w:color="DDDDDD" w:sz="1"/>
              <w:right w:val="single" w:color="DDDDDD" w:sz="1"/>
            </w:tcBorders>
            <w:shd w:fill="FDEC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Not viable for standard gas genset</w:t>
            </w:r>
          </w:p>
        </w:tc>
        <w:tc>
          <w:tcPr>
            <w:tcW w:type="dxa" w:w="26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Active gas conditioning required before genset. Re-evaluate economics with conditioning capex included.</w:t>
            </w:r>
          </w:p>
        </w:tc>
      </w:tr>
    </w:tbl>
    <w:p>
      <w:pPr>
        <w:spacing w:before="140" w:after="80"/>
      </w:pPr>
      <w:r>
        <w:t xml:space="preserve"/>
      </w:r>
    </w:p>
    <w:p>
      <w:pPr>
        <w:pStyle w:val="Heading3"/>
        <w:spacing w:before="240" w:after="100"/>
      </w:pPr>
      <w:r>
        <w:rPr>
          <w:rFonts w:ascii="Arial" w:cs="Arial" w:eastAsia="Arial" w:hAnsi="Arial"/>
          <w:b/>
          <w:bCs/>
          <w:color w:val="1E4D2B"/>
          <w:sz w:val="24"/>
          <w:szCs w:val="24"/>
        </w:rPr>
        <w:t xml:space="preserve">Altitude Derate</w:t>
      </w:r>
    </w:p>
    <w:p>
      <w:pPr>
        <w:spacing w:before="100" w:after="140"/>
      </w:pPr>
      <w:r>
        <w:rPr>
          <w:rFonts w:ascii="Arial" w:cs="Arial" w:eastAsia="Arial" w:hAnsi="Arial"/>
          <w:color w:val="4A4A4A"/>
          <w:sz w:val="22"/>
          <w:szCs w:val="22"/>
        </w:rPr>
        <w:t xml:space="preserve">Generator output decreases as altitude increases because the air—required for combustion—is less dense at elevation. The standard derate factor for naturally aspirated gas gensets is approximately 3–4% per 1,000 feet above sea level. Turbocharged gensets have lower derate factors but are more sensitive to fuel quality variation. Always apply site elevation before sizing.</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tcBorders>
              <w:top w:val="single" w:color="DDDDDD" w:sz="1"/>
              <w:left w:val="single" w:color="DDDDDD" w:sz="1"/>
              <w:bottom w:val="single" w:color="DDDDDD" w:sz="1"/>
              <w:right w:val="single" w:color="DDDDDD" w:sz="1"/>
            </w:tcBorders>
            <w:shd w:fill="1E4D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Elevation Range</w:t>
            </w:r>
          </w:p>
        </w:tc>
        <w:tc>
          <w:tcPr>
            <w:tcW w:type="dxa" w:w="2400"/>
            <w:tcBorders>
              <w:top w:val="single" w:color="DDDDDD" w:sz="1"/>
              <w:left w:val="single" w:color="DDDDDD" w:sz="1"/>
              <w:bottom w:val="single" w:color="DDDDDD" w:sz="1"/>
              <w:right w:val="single" w:color="DDDDDD" w:sz="1"/>
            </w:tcBorders>
            <w:shd w:fill="1E4D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Typical Basin / Region</w:t>
            </w:r>
          </w:p>
        </w:tc>
        <w:tc>
          <w:tcPr>
            <w:tcW w:type="dxa" w:w="2280"/>
            <w:tcBorders>
              <w:top w:val="single" w:color="DDDDDD" w:sz="1"/>
              <w:left w:val="single" w:color="DDDDDD" w:sz="1"/>
              <w:bottom w:val="single" w:color="DDDDDD" w:sz="1"/>
              <w:right w:val="single" w:color="DDDDDD" w:sz="1"/>
            </w:tcBorders>
            <w:shd w:fill="1E4D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Altitude Derate (approx.)</w:t>
            </w:r>
          </w:p>
        </w:tc>
        <w:tc>
          <w:tcPr>
            <w:tcW w:type="dxa" w:w="2280"/>
            <w:tcBorders>
              <w:top w:val="single" w:color="DDDDDD" w:sz="1"/>
              <w:left w:val="single" w:color="DDDDDD" w:sz="1"/>
              <w:bottom w:val="single" w:color="DDDDDD" w:sz="1"/>
              <w:right w:val="single" w:color="DDDDDD" w:sz="1"/>
            </w:tcBorders>
            <w:shd w:fill="1E4D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Effective Output: 500 kW Nameplate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0–1,000 ft</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Haynesville (LA/TX), Eagle Ford lowlands</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1–4%</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480–495 kW effective</w:t>
            </w:r>
          </w:p>
        </w:tc>
      </w:tr>
      <w:tr>
        <w:tc>
          <w:tcPr>
            <w:tcW w:type="dxa" w:w="24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1,000–3,000 ft</w:t>
            </w:r>
          </w:p>
        </w:tc>
        <w:tc>
          <w:tcPr>
            <w:tcW w:type="dxa" w:w="24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Permian Basin core, Bakken (eastern ND)</w:t>
            </w:r>
          </w:p>
        </w:tc>
        <w:tc>
          <w:tcPr>
            <w:tcW w:type="dxa" w:w="22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4–12%</w:t>
            </w:r>
          </w:p>
        </w:tc>
        <w:tc>
          <w:tcPr>
            <w:tcW w:type="dxa" w:w="22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440–480 kW effective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3,000–5,000 ft</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Permian Delaware Basin, DJ Basin eastern flats</w:t>
            </w:r>
          </w:p>
        </w:tc>
        <w:tc>
          <w:tcPr>
            <w:tcW w:type="dxa" w:w="228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12–20%</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400–440 kW effective</w:t>
            </w:r>
          </w:p>
        </w:tc>
      </w:tr>
      <w:tr>
        <w:tc>
          <w:tcPr>
            <w:tcW w:type="dxa" w:w="24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5,000–7,000 ft</w:t>
            </w:r>
          </w:p>
        </w:tc>
        <w:tc>
          <w:tcPr>
            <w:tcW w:type="dxa" w:w="24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Core Wattenberg / DJ Basin, Pinedale (WY)</w:t>
            </w:r>
          </w:p>
        </w:tc>
        <w:tc>
          <w:tcPr>
            <w:tcW w:type="dxa" w:w="228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20–28%</w:t>
            </w:r>
          </w:p>
        </w:tc>
        <w:tc>
          <w:tcPr>
            <w:tcW w:type="dxa" w:w="22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360–400 kW effective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7,000+ ft</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Western DJ / foothills, high-altitude WY/CO</w:t>
            </w:r>
          </w:p>
        </w:tc>
        <w:tc>
          <w:tcPr>
            <w:tcW w:type="dxa" w:w="2280"/>
            <w:tcBorders>
              <w:top w:val="single" w:color="DDDDDD" w:sz="1"/>
              <w:left w:val="single" w:color="DDDDDD" w:sz="1"/>
              <w:bottom w:val="single" w:color="DDDDDD" w:sz="1"/>
              <w:right w:val="single" w:color="DDDDDD" w:sz="1"/>
            </w:tcBorders>
            <w:shd w:fill="FDEC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28%+</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≤360 kW effective; re-evaluate sizing</w:t>
            </w:r>
          </w:p>
        </w:tc>
      </w:tr>
    </w:tbl>
    <w:p>
      <w:pPr>
        <w:spacing w:before="140" w:after="80"/>
      </w:pPr>
      <w:r>
        <w:t xml:space="preserve"/>
      </w:r>
    </w:p>
    <w:p>
      <w:pPr>
        <w:pStyle w:val="Heading3"/>
        <w:spacing w:before="240" w:after="100"/>
      </w:pPr>
      <w:r>
        <w:rPr>
          <w:rFonts w:ascii="Arial" w:cs="Arial" w:eastAsia="Arial" w:hAnsi="Arial"/>
          <w:b/>
          <w:bCs/>
          <w:color w:val="1E4D2B"/>
          <w:sz w:val="24"/>
          <w:szCs w:val="24"/>
        </w:rPr>
        <w:t xml:space="preserve">Temperature Derate</w:t>
      </w:r>
    </w:p>
    <w:p>
      <w:pPr>
        <w:spacing w:before="100" w:after="140"/>
      </w:pPr>
      <w:r>
        <w:rPr>
          <w:rFonts w:ascii="Arial" w:cs="Arial" w:eastAsia="Arial" w:hAnsi="Arial"/>
          <w:color w:val="4A4A4A"/>
          <w:sz w:val="22"/>
          <w:szCs w:val="22"/>
        </w:rPr>
        <w:t xml:space="preserve">Ambient temperature above the ISO standard rating temperature (typically 77°F / 25°C) also reduces genset output. The rule of thumb: 0.5–1.0% output reduction per 10°F above 77°F. In Permian and Eagle Ford summer conditions—where ambient temperatures regularly reach 105–115°F—this adds 8–12% additional derate on top of the altitude derate. Both factors compound multiplicatively, not additively.</w:t>
      </w:r>
    </w:p>
    <w:p>
      <w:pPr>
        <w:spacing w:before="100" w:after="140"/>
      </w:pPr>
      <w:r>
        <w:rPr>
          <w:rFonts w:ascii="Arial" w:cs="Arial" w:eastAsia="Arial" w:hAnsi="Arial"/>
          <w:color w:val="4A4A4A"/>
          <w:sz w:val="22"/>
          <w:szCs w:val="22"/>
        </w:rPr>
        <w:t xml:space="preserve">Example: A 500 kW nameplate genset at 3,500 ft elevation (14% altitude derate) on a 105°F summer day (7% temperature derate) has an effective output of approximately 500 × 0.86 × 0.93 = ≈400 kW. Sizing the system against 500 kW nameplate would overpromise revenue by 20%.</w:t>
      </w:r>
    </w:p>
    <w:p>
      <w:pPr>
        <w:spacing w:before="140" w:after="80"/>
      </w:pPr>
      <w:r>
        <w:t xml:space="preserve"/>
      </w:r>
    </w:p>
    <w:p>
      <w:pPr>
        <w:pStyle w:val="Heading3"/>
        <w:spacing w:before="240" w:after="100"/>
      </w:pPr>
      <w:r>
        <w:rPr>
          <w:rFonts w:ascii="Arial" w:cs="Arial" w:eastAsia="Arial" w:hAnsi="Arial"/>
          <w:b/>
          <w:bCs/>
          <w:color w:val="1E4D2B"/>
          <w:sz w:val="24"/>
          <w:szCs w:val="24"/>
        </w:rPr>
        <w:t xml:space="preserve">Cold-Weather Packages</w:t>
      </w:r>
    </w:p>
    <w:p>
      <w:pPr>
        <w:spacing w:before="100" w:after="140"/>
      </w:pPr>
      <w:r>
        <w:rPr>
          <w:rFonts w:ascii="Arial" w:cs="Arial" w:eastAsia="Arial" w:hAnsi="Arial"/>
          <w:color w:val="4A4A4A"/>
          <w:sz w:val="22"/>
          <w:szCs w:val="22"/>
        </w:rPr>
        <w:t xml:space="preserve">At the other extreme, deployments in the Bakken, DJ Basin, Pinedale Anticline, and other northern basins require cold-weather engineering that is not standard on base genset configurations. The following are required—not optional—for sustained operation below 20°F.</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DDDDD" w:sz="1"/>
              <w:left w:val="single" w:color="DDDDDD" w:sz="1"/>
              <w:bottom w:val="single" w:color="DDDDDD" w:sz="1"/>
              <w:right w:val="single" w:color="DDDDDD" w:sz="1"/>
            </w:tcBorders>
            <w:shd w:fill="1E4D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Cold-Weather Requirement</w:t>
            </w:r>
          </w:p>
        </w:tc>
        <w:tc>
          <w:tcPr>
            <w:tcW w:type="dxa" w:w="5960"/>
            <w:tcBorders>
              <w:top w:val="single" w:color="DDDDDD" w:sz="1"/>
              <w:left w:val="single" w:color="DDDDDD" w:sz="1"/>
              <w:bottom w:val="single" w:color="DDDDDD" w:sz="1"/>
              <w:right w:val="single" w:color="DDDDDD" w:sz="1"/>
            </w:tcBorders>
            <w:shd w:fill="1E4D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Specification</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Engine block heater</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240V immersion heater to maintain coolant temperature above 40°F during cold starts. Required below 20°F ambient.</w:t>
            </w:r>
          </w:p>
        </w:tc>
      </w:tr>
      <w:tr>
        <w:tc>
          <w:tcPr>
            <w:tcW w:type="dxa" w:w="34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Arctic-grade engine lubricants</w:t>
            </w:r>
          </w:p>
        </w:tc>
        <w:tc>
          <w:tcPr>
            <w:tcW w:type="dxa" w:w="59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SAE 0W-40 or manufacturer-specified arctic lube for startup below −20°F. Standard 15W-40 gels at low temperatures.</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Battery thermal management</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Battery wrap or enclosure heater for genset start batteries. Lead-acid capacity drops 50% at 0°F; AGM drops ~30%.</w:t>
            </w:r>
          </w:p>
        </w:tc>
      </w:tr>
      <w:tr>
        <w:tc>
          <w:tcPr>
            <w:tcW w:type="dxa" w:w="34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Gas line heat tracing</w:t>
            </w:r>
          </w:p>
        </w:tc>
        <w:tc>
          <w:tcPr>
            <w:tcW w:type="dxa" w:w="59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Electric heat tape on exposed gas supply lines from wellhead to genset. Prevents hydrate formation and regulator freeze-up in humid gas streams.</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Generator housing insulation</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Insulated genset enclosure or doghouse to maintain ambient temperature inside housing above −30°F minimum. Required for Bakken deployments.</w:t>
            </w:r>
          </w:p>
        </w:tc>
      </w:tr>
      <w:tr>
        <w:tc>
          <w:tcPr>
            <w:tcW w:type="dxa" w:w="34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Coolant concentration</w:t>
            </w:r>
          </w:p>
        </w:tc>
        <w:tc>
          <w:tcPr>
            <w:tcW w:type="dxa" w:w="59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50/50 ethylene glycol–water minimum; 60/40 for Bakken deployments with sustained −40°F ambient exposure.</w:t>
            </w:r>
          </w:p>
        </w:tc>
      </w:tr>
    </w:tbl>
    <w:p>
      <w:pPr>
        <w:spacing w:before="20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4A2060" w:val="clear"/>
            <w:tcMar>
              <w:top w:type="dxa" w:w="0"/>
              <w:left w:type="dxa" w:w="0"/>
              <w:bottom w:type="dxa" w:w="0"/>
              <w:right w:type="dxa" w:w="0"/>
            </w:tcMar>
          </w:tcPr>
          <w:p>
            <w:r>
              <w:t xml:space="preserve"/>
            </w:r>
          </w:p>
        </w:tc>
        <w:tc>
          <w:tcPr>
            <w:tcW w:type="dxa" w:w="9080"/>
            <w:tcBorders>
              <w:top w:val="none" w:color="FFFFFF" w:sz="0"/>
              <w:left w:val="none" w:color="FFFFFF" w:sz="0"/>
              <w:bottom w:val="single" w:color="E0E0E0" w:sz="2"/>
              <w:right w:val="none" w:color="FFFFFF" w:sz="0"/>
            </w:tcBorders>
            <w:shd w:fill="F5F5F5" w:val="clear"/>
            <w:tcMar>
              <w:top w:type="dxa" w:w="150"/>
              <w:left w:type="dxa" w:w="220"/>
              <w:bottom w:type="dxa" w:w="150"/>
              <w:right w:type="dxa" w:w="220"/>
            </w:tcMar>
          </w:tcPr>
          <w:p>
            <w:pPr>
              <w:spacing w:before="0" w:after="40"/>
            </w:pPr>
            <w:r>
              <w:rPr>
                <w:rFonts w:ascii="Arial" w:cs="Arial" w:eastAsia="Arial" w:hAnsi="Arial"/>
                <w:b/>
                <w:bCs/>
                <w:caps/>
                <w:color w:val="4A2060"/>
                <w:sz w:val="17"/>
                <w:szCs w:val="17"/>
              </w:rPr>
              <w:t xml:space="preserve">SYSTEM COMPONENT 3</w:t>
            </w:r>
          </w:p>
          <w:p>
            <w:pPr>
              <w:spacing w:before="0" w:after="50"/>
            </w:pPr>
            <w:r>
              <w:rPr>
                <w:rFonts w:ascii="Arial" w:cs="Arial" w:eastAsia="Arial" w:hAnsi="Arial"/>
                <w:b/>
                <w:bCs/>
                <w:color w:val="1A1A1A"/>
                <w:sz w:val="28"/>
                <w:szCs w:val="28"/>
              </w:rPr>
              <w:t xml:space="preserve">Electrical Interconnect Design</w:t>
            </w:r>
          </w:p>
          <w:p>
            <w:pPr>
              <w:spacing w:before="0" w:after="0"/>
            </w:pPr>
            <w:r>
              <w:rPr>
                <w:rFonts w:ascii="Arial" w:cs="Arial" w:eastAsia="Arial" w:hAnsi="Arial"/>
                <w:color w:val="4A4A4A"/>
                <w:sz w:val="20"/>
                <w:szCs w:val="20"/>
              </w:rPr>
              <w:t xml:space="preserve">Switchgear · Distribution panel · Grounding · Power quality</w:t>
            </w:r>
          </w:p>
        </w:tc>
      </w:tr>
    </w:tbl>
    <w:p>
      <w:pPr>
        <w:spacing w:before="160" w:after="80"/>
      </w:pPr>
      <w:r>
        <w:t xml:space="preserve"/>
      </w:r>
    </w:p>
    <w:p>
      <w:pPr>
        <w:spacing w:before="100" w:after="140"/>
      </w:pPr>
      <w:r>
        <w:rPr>
          <w:rFonts w:ascii="Arial" w:cs="Arial" w:eastAsia="Arial" w:hAnsi="Arial"/>
          <w:color w:val="4A4A4A"/>
          <w:sz w:val="22"/>
          <w:szCs w:val="22"/>
        </w:rPr>
        <w:t xml:space="preserve">The electrical interconnect routes power from the genset output to the ASIC mining containers. The design must match genset output characteristics, container load profiles, and safety requirements. Undersized conductors, missing protective devices, or poor grounding are the most common causes of container-level equipment damage and arc flash risk.</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4A2060"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4A2060"/>
                <w:sz w:val="20"/>
                <w:szCs w:val="20"/>
              </w:rPr>
              <w:t xml:space="preserve">Typical genset output voltage</w:t>
            </w:r>
          </w:p>
        </w:tc>
        <w:tc>
          <w:tcPr>
            <w:tcW w:type="dxa" w:w="67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4A4A4A"/>
                <w:sz w:val="20"/>
                <w:szCs w:val="20"/>
              </w:rPr>
              <w:t xml:space="preserve">480V / 3-phase / 60 Hz (North America standard). Some configurations use 600V for longer cable runs. Container power distribution panels are typically 480V input.</w:t>
            </w:r>
          </w:p>
        </w:tc>
      </w:tr>
      <w:tr>
        <w:tc>
          <w:tcPr>
            <w:tcW w:type="dxa" w:w="2600"/>
            <w:tcBorders>
              <w:top w:val="single" w:color="DDDDDD" w:sz="1"/>
              <w:left w:val="single" w:color="4A2060"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4A2060"/>
                <w:sz w:val="20"/>
                <w:szCs w:val="20"/>
              </w:rPr>
              <w:t xml:space="preserve">Switchgear requirements</w:t>
            </w:r>
          </w:p>
        </w:tc>
        <w:tc>
          <w:tcPr>
            <w:tcW w:type="dxa" w:w="6760"/>
            <w:tcBorders>
              <w:top w:val="single" w:color="DDDDDD" w:sz="1"/>
              <w:left w:val="single" w:color="DDDDDD" w:sz="1"/>
              <w:bottom w:val="single" w:color="DDDDDD" w:sz="1"/>
              <w:right w:val="single" w:color="DDDDDD" w:sz="1"/>
            </w:tcBorders>
            <w:shd w:fill="FAFAFA" w:val="clear"/>
            <w:tcMar>
              <w:top w:type="dxa" w:w="110"/>
              <w:left w:type="dxa" w:w="160"/>
              <w:bottom w:type="dxa" w:w="110"/>
              <w:right w:type="dxa" w:w="160"/>
            </w:tcMar>
          </w:tcPr>
          <w:p>
            <w:r>
              <w:rPr>
                <w:rFonts w:ascii="Arial" w:cs="Arial" w:eastAsia="Arial" w:hAnsi="Arial"/>
                <w:color w:val="4A4A4A"/>
                <w:sz w:val="20"/>
                <w:szCs w:val="20"/>
              </w:rPr>
              <w:t xml:space="preserve">Main circuit breaker sized at 125% of continuous load. Fault current interrupting capacity (KAIC) must exceed available fault current at the panel. Ground fault protection required for personnel safety on remote pads.</w:t>
            </w:r>
          </w:p>
        </w:tc>
      </w:tr>
      <w:tr>
        <w:tc>
          <w:tcPr>
            <w:tcW w:type="dxa" w:w="2600"/>
            <w:tcBorders>
              <w:top w:val="single" w:color="DDDDDD" w:sz="1"/>
              <w:left w:val="single" w:color="4A2060"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4A2060"/>
                <w:sz w:val="20"/>
                <w:szCs w:val="20"/>
              </w:rPr>
              <w:t xml:space="preserve">Container feed conductors</w:t>
            </w:r>
          </w:p>
        </w:tc>
        <w:tc>
          <w:tcPr>
            <w:tcW w:type="dxa" w:w="67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4A4A4A"/>
                <w:sz w:val="20"/>
                <w:szCs w:val="20"/>
              </w:rPr>
              <w:t xml:space="preserve">Sized per NEC 310 for continuous load at 75°C ampacity. Typical container draws 300–500 A at 480V. Voltage drop must be kept below 3% at full load to maintain ASIC performance.</w:t>
            </w:r>
          </w:p>
        </w:tc>
      </w:tr>
      <w:tr>
        <w:tc>
          <w:tcPr>
            <w:tcW w:type="dxa" w:w="2600"/>
            <w:tcBorders>
              <w:top w:val="single" w:color="DDDDDD" w:sz="1"/>
              <w:left w:val="single" w:color="4A2060"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4A2060"/>
                <w:sz w:val="20"/>
                <w:szCs w:val="20"/>
              </w:rPr>
              <w:t xml:space="preserve">Grounding system</w:t>
            </w:r>
          </w:p>
        </w:tc>
        <w:tc>
          <w:tcPr>
            <w:tcW w:type="dxa" w:w="6760"/>
            <w:tcBorders>
              <w:top w:val="single" w:color="DDDDDD" w:sz="1"/>
              <w:left w:val="single" w:color="DDDDDD" w:sz="1"/>
              <w:bottom w:val="single" w:color="DDDDDD" w:sz="1"/>
              <w:right w:val="single" w:color="DDDDDD" w:sz="1"/>
            </w:tcBorders>
            <w:shd w:fill="FAFAFA" w:val="clear"/>
            <w:tcMar>
              <w:top w:type="dxa" w:w="110"/>
              <w:left w:type="dxa" w:w="160"/>
              <w:bottom w:type="dxa" w:w="110"/>
              <w:right w:type="dxa" w:w="160"/>
            </w:tcMar>
          </w:tcPr>
          <w:p>
            <w:r>
              <w:rPr>
                <w:rFonts w:ascii="Arial" w:cs="Arial" w:eastAsia="Arial" w:hAnsi="Arial"/>
                <w:color w:val="4A4A4A"/>
                <w:sz w:val="20"/>
                <w:szCs w:val="20"/>
              </w:rPr>
              <w:t xml:space="preserve">Equipment grounding conductor (EGC) and grounding electrode system per NEC 250. Ground rod resistance below 25 ohms. Critical in dry soils (Permian, DJ Basin)—may require ground ring or chemical ground enhancement.</w:t>
            </w:r>
          </w:p>
        </w:tc>
      </w:tr>
      <w:tr>
        <w:tc>
          <w:tcPr>
            <w:tcW w:type="dxa" w:w="2600"/>
            <w:tcBorders>
              <w:top w:val="single" w:color="DDDDDD" w:sz="1"/>
              <w:left w:val="single" w:color="4A2060"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4A2060"/>
                <w:sz w:val="20"/>
                <w:szCs w:val="20"/>
              </w:rPr>
              <w:t xml:space="preserve">Power quality monitoring</w:t>
            </w:r>
          </w:p>
        </w:tc>
        <w:tc>
          <w:tcPr>
            <w:tcW w:type="dxa" w:w="67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4A4A4A"/>
                <w:sz w:val="20"/>
                <w:szCs w:val="20"/>
              </w:rPr>
              <w:t xml:space="preserve">Voltage and frequency transient monitoring at container input. ASIC power supplies tolerate ±10% voltage variation; sustained excursions cause PSU failure and ASIC chip damage. Voltage regulator or AVR recommended on gensets with poor regulation.</w:t>
            </w:r>
          </w:p>
        </w:tc>
      </w:tr>
      <w:tr>
        <w:tc>
          <w:tcPr>
            <w:tcW w:type="dxa" w:w="2600"/>
            <w:tcBorders>
              <w:top w:val="single" w:color="DDDDDD" w:sz="1"/>
              <w:left w:val="single" w:color="4A2060"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4A2060"/>
                <w:sz w:val="20"/>
                <w:szCs w:val="20"/>
              </w:rPr>
              <w:t xml:space="preserve">Single-line diagram</w:t>
            </w:r>
          </w:p>
        </w:tc>
        <w:tc>
          <w:tcPr>
            <w:tcW w:type="dxa" w:w="6760"/>
            <w:tcBorders>
              <w:top w:val="single" w:color="DDDDDD" w:sz="1"/>
              <w:left w:val="single" w:color="DDDDDD" w:sz="1"/>
              <w:bottom w:val="single" w:color="DDDDDD" w:sz="1"/>
              <w:right w:val="single" w:color="DDDDDD" w:sz="1"/>
            </w:tcBorders>
            <w:shd w:fill="FAFAFA" w:val="clear"/>
            <w:tcMar>
              <w:top w:type="dxa" w:w="110"/>
              <w:left w:type="dxa" w:w="160"/>
              <w:bottom w:type="dxa" w:w="110"/>
              <w:right w:type="dxa" w:w="160"/>
            </w:tcMar>
          </w:tcPr>
          <w:p>
            <w:r>
              <w:rPr>
                <w:rFonts w:ascii="Arial" w:cs="Arial" w:eastAsia="Arial" w:hAnsi="Arial"/>
                <w:color w:val="4A4A4A"/>
                <w:sz w:val="20"/>
                <w:szCs w:val="20"/>
              </w:rPr>
              <w:t xml:space="preserve">A complete single-line diagram (SLD) must be produced for every deployment before equipment installation. The SLD documents all protective device ratings, conductor sizing, grounding, and metering points.</w:t>
            </w:r>
          </w:p>
        </w:tc>
      </w:tr>
    </w:tbl>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060" w:sz="4"/>
              <w:left w:val="single" w:color="DDDDDD" w:sz="1"/>
              <w:bottom w:val="single" w:color="DDDDDD" w:sz="1"/>
              <w:right w:val="single" w:color="DDDDDD" w:sz="1"/>
            </w:tcBorders>
            <w:shd w:fill="F2F0FA" w:val="clear"/>
            <w:tcMar>
              <w:top w:type="dxa" w:w="120"/>
              <w:left w:type="dxa" w:w="180"/>
              <w:bottom w:type="dxa" w:w="120"/>
              <w:right w:type="dxa" w:w="180"/>
            </w:tcMar>
          </w:tcPr>
          <w:p>
            <w:r>
              <w:rPr>
                <w:rFonts w:ascii="Arial" w:cs="Arial" w:eastAsia="Arial" w:hAnsi="Arial"/>
                <w:b/>
                <w:bCs/>
                <w:color w:val="4A2060"/>
                <w:sz w:val="20"/>
                <w:szCs w:val="20"/>
              </w:rPr>
              <w:t xml:space="preserve">ENGINEER’S NOTE:  </w:t>
            </w:r>
            <w:r>
              <w:rPr>
                <w:rFonts w:ascii="Arial" w:cs="Arial" w:eastAsia="Arial" w:hAnsi="Arial"/>
                <w:color w:val="4A4A4A"/>
                <w:sz w:val="20"/>
                <w:szCs w:val="20"/>
              </w:rPr>
              <w:t xml:space="preserve">Remote pad grounding is frequently underspecified. Dry caliche soils in the Permian and sandy soils in the Bakken have native resistivities of 500–5,000 ohm-meters. A single 8-ft ground rod in these soils may have resistance of 100–500 ohms. A ground ring with bentonite backfill or chemical ground rods must be specified for high-resistivity soils—not discovered as a problem during commissioning.</w:t>
            </w:r>
          </w:p>
        </w:tc>
      </w:tr>
    </w:tbl>
    <w:p>
      <w:pPr>
        <w:spacing w:before="20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5C3A1A" w:val="clear"/>
            <w:tcMar>
              <w:top w:type="dxa" w:w="0"/>
              <w:left w:type="dxa" w:w="0"/>
              <w:bottom w:type="dxa" w:w="0"/>
              <w:right w:type="dxa" w:w="0"/>
            </w:tcMar>
          </w:tcPr>
          <w:p>
            <w:r>
              <w:t xml:space="preserve"/>
            </w:r>
          </w:p>
        </w:tc>
        <w:tc>
          <w:tcPr>
            <w:tcW w:type="dxa" w:w="9080"/>
            <w:tcBorders>
              <w:top w:val="none" w:color="FFFFFF" w:sz="0"/>
              <w:left w:val="none" w:color="FFFFFF" w:sz="0"/>
              <w:bottom w:val="single" w:color="E0E0E0" w:sz="2"/>
              <w:right w:val="none" w:color="FFFFFF" w:sz="0"/>
            </w:tcBorders>
            <w:shd w:fill="F5F5F5" w:val="clear"/>
            <w:tcMar>
              <w:top w:type="dxa" w:w="150"/>
              <w:left w:type="dxa" w:w="220"/>
              <w:bottom w:type="dxa" w:w="150"/>
              <w:right w:type="dxa" w:w="220"/>
            </w:tcMar>
          </w:tcPr>
          <w:p>
            <w:pPr>
              <w:spacing w:before="0" w:after="40"/>
            </w:pPr>
            <w:r>
              <w:rPr>
                <w:rFonts w:ascii="Arial" w:cs="Arial" w:eastAsia="Arial" w:hAnsi="Arial"/>
                <w:b/>
                <w:bCs/>
                <w:caps/>
                <w:color w:val="5C3A1A"/>
                <w:sz w:val="17"/>
                <w:szCs w:val="17"/>
              </w:rPr>
              <w:t xml:space="preserve">SYSTEM COMPONENT 4</w:t>
            </w:r>
          </w:p>
          <w:p>
            <w:pPr>
              <w:spacing w:before="0" w:after="50"/>
            </w:pPr>
            <w:r>
              <w:rPr>
                <w:rFonts w:ascii="Arial" w:cs="Arial" w:eastAsia="Arial" w:hAnsi="Arial"/>
                <w:b/>
                <w:bCs/>
                <w:color w:val="1A1A1A"/>
                <w:sz w:val="28"/>
                <w:szCs w:val="28"/>
              </w:rPr>
              <w:t xml:space="preserve">ASIC Container Thermal Management</w:t>
            </w:r>
          </w:p>
          <w:p>
            <w:pPr>
              <w:spacing w:before="0" w:after="0"/>
            </w:pPr>
            <w:r>
              <w:rPr>
                <w:rFonts w:ascii="Arial" w:cs="Arial" w:eastAsia="Arial" w:hAnsi="Arial"/>
                <w:color w:val="4A4A4A"/>
                <w:sz w:val="20"/>
                <w:szCs w:val="20"/>
              </w:rPr>
              <w:t xml:space="preserve">Cooling in heat · Heating in cold · Thermal cycling · Dust and particulate management</w:t>
            </w:r>
          </w:p>
        </w:tc>
      </w:tr>
    </w:tbl>
    <w:p>
      <w:pPr>
        <w:spacing w:before="160" w:after="80"/>
      </w:pPr>
      <w:r>
        <w:t xml:space="preserve"/>
      </w:r>
    </w:p>
    <w:p>
      <w:pPr>
        <w:spacing w:before="100" w:after="140"/>
      </w:pPr>
      <w:r>
        <w:rPr>
          <w:rFonts w:ascii="Arial" w:cs="Arial" w:eastAsia="Arial" w:hAnsi="Arial"/>
          <w:color w:val="4A4A4A"/>
          <w:sz w:val="22"/>
          <w:szCs w:val="22"/>
        </w:rPr>
        <w:t xml:space="preserve">ASIC miners generate approximately 3,000–6,000 BTU/hour per unit at full load. A container housing 200–300 ASICs generates 600,000–1,800,000 BTU/hour of waste heat. In field conditions—where ambient temperatures range from −40°F to 115°F depending on basin and season—thermal management is the primary determinant of ASIC performance, longevity, and hash rate stability.</w:t>
      </w:r>
    </w:p>
    <w:p>
      <w:pPr>
        <w:spacing w:before="80" w:after="60"/>
      </w:pPr>
      <w:r>
        <w:t xml:space="preserve"/>
      </w:r>
    </w:p>
    <w:p>
      <w:pPr>
        <w:pStyle w:val="Heading3"/>
        <w:spacing w:before="240" w:after="100"/>
      </w:pPr>
      <w:r>
        <w:rPr>
          <w:rFonts w:ascii="Arial" w:cs="Arial" w:eastAsia="Arial" w:hAnsi="Arial"/>
          <w:b/>
          <w:bCs/>
          <w:color w:val="5C3A1A"/>
          <w:sz w:val="24"/>
          <w:szCs w:val="24"/>
        </w:rPr>
        <w:t xml:space="preserve">Hot Climate Thermal Management (Permian, Eagle Ford, Haynesville)</w:t>
      </w:r>
    </w:p>
    <w:p>
      <w:pPr>
        <w:spacing w:before="100" w:after="140"/>
      </w:pPr>
      <w:r>
        <w:rPr>
          <w:rFonts w:ascii="Arial" w:cs="Arial" w:eastAsia="Arial" w:hAnsi="Arial"/>
          <w:color w:val="4A4A4A"/>
          <w:sz w:val="22"/>
          <w:szCs w:val="22"/>
        </w:rPr>
        <w:t xml:space="preserve">ASIC miners operate within a thermal envelope: inlet air temperature typically 5–40°C (41–104°F) depending on the miner model. Above the rated inlet temperature, the ASIC’s frequency scaling algorithm reduces clock speed—and therefore hash rate—to protect the chip. This is not a failure; it is a designed protection mechanism. But sustained operation at the upper end of the thermal envelope reduces annual revenue versus design assumptions.</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5C3A1A"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5C3A1A"/>
                <w:sz w:val="20"/>
                <w:szCs w:val="20"/>
              </w:rPr>
              <w:t xml:space="preserve">Container design for heat</w:t>
            </w:r>
          </w:p>
        </w:tc>
        <w:tc>
          <w:tcPr>
            <w:tcW w:type="dxa" w:w="67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4A4A4A"/>
                <w:sz w:val="20"/>
                <w:szCs w:val="20"/>
              </w:rPr>
              <w:t xml:space="preserve">Forced-air cooling with high-volume axial fans. Hot-aisle/cold-aisle airflow management within the container. Inlet air drawn from shaded, north-facing side where possible.</w:t>
            </w:r>
          </w:p>
        </w:tc>
      </w:tr>
      <w:tr>
        <w:tc>
          <w:tcPr>
            <w:tcW w:type="dxa" w:w="2600"/>
            <w:tcBorders>
              <w:top w:val="single" w:color="DDDDDD" w:sz="1"/>
              <w:left w:val="single" w:color="5C3A1A"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5C3A1A"/>
                <w:sz w:val="20"/>
                <w:szCs w:val="20"/>
              </w:rPr>
              <w:t xml:space="preserve">Evaporative precooling</w:t>
            </w:r>
          </w:p>
        </w:tc>
        <w:tc>
          <w:tcPr>
            <w:tcW w:type="dxa" w:w="6760"/>
            <w:tcBorders>
              <w:top w:val="single" w:color="DDDDDD" w:sz="1"/>
              <w:left w:val="single" w:color="DDDDDD" w:sz="1"/>
              <w:bottom w:val="single" w:color="DDDDDD" w:sz="1"/>
              <w:right w:val="single" w:color="DDDDDD" w:sz="1"/>
            </w:tcBorders>
            <w:shd w:fill="FAFAFA" w:val="clear"/>
            <w:tcMar>
              <w:top w:type="dxa" w:w="110"/>
              <w:left w:type="dxa" w:w="160"/>
              <w:bottom w:type="dxa" w:w="110"/>
              <w:right w:type="dxa" w:w="160"/>
            </w:tcMar>
          </w:tcPr>
          <w:p>
            <w:r>
              <w:rPr>
                <w:rFonts w:ascii="Arial" w:cs="Arial" w:eastAsia="Arial" w:hAnsi="Arial"/>
                <w:color w:val="4A4A4A"/>
                <w:sz w:val="20"/>
                <w:szCs w:val="20"/>
              </w:rPr>
              <w:t xml:space="preserve">Evaporative media or direct fogging on inlet air stream reduces effective inlet temperature by 10–20°F in low-humidity environments (Permian, DJ Basin). Not effective in high-humidity Gulf Coast deployments (Haynesville).</w:t>
            </w:r>
          </w:p>
        </w:tc>
      </w:tr>
      <w:tr>
        <w:tc>
          <w:tcPr>
            <w:tcW w:type="dxa" w:w="2600"/>
            <w:tcBorders>
              <w:top w:val="single" w:color="DDDDDD" w:sz="1"/>
              <w:left w:val="single" w:color="5C3A1A"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5C3A1A"/>
                <w:sz w:val="20"/>
                <w:szCs w:val="20"/>
              </w:rPr>
              <w:t xml:space="preserve">Ambient threshold</w:t>
            </w:r>
          </w:p>
        </w:tc>
        <w:tc>
          <w:tcPr>
            <w:tcW w:type="dxa" w:w="67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4A4A4A"/>
                <w:sz w:val="20"/>
                <w:szCs w:val="20"/>
              </w:rPr>
              <w:t xml:space="preserve">Above 105°F ambient: expect 5–15% hash rate reduction from thermal throttling on most modern ASIC models. Above 115°F: sustained operation may trigger ASIC shutdown protocols. Engineering mitigation required before deployment.</w:t>
            </w:r>
          </w:p>
        </w:tc>
      </w:tr>
      <w:tr>
        <w:tc>
          <w:tcPr>
            <w:tcW w:type="dxa" w:w="2600"/>
            <w:tcBorders>
              <w:top w:val="single" w:color="DDDDDD" w:sz="1"/>
              <w:left w:val="single" w:color="5C3A1A"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5C3A1A"/>
                <w:sz w:val="20"/>
                <w:szCs w:val="20"/>
              </w:rPr>
              <w:t xml:space="preserve">Container siting</w:t>
            </w:r>
          </w:p>
        </w:tc>
        <w:tc>
          <w:tcPr>
            <w:tcW w:type="dxa" w:w="6760"/>
            <w:tcBorders>
              <w:top w:val="single" w:color="DDDDDD" w:sz="1"/>
              <w:left w:val="single" w:color="DDDDDD" w:sz="1"/>
              <w:bottom w:val="single" w:color="DDDDDD" w:sz="1"/>
              <w:right w:val="single" w:color="DDDDDD" w:sz="1"/>
            </w:tcBorders>
            <w:shd w:fill="FAFAFA" w:val="clear"/>
            <w:tcMar>
              <w:top w:type="dxa" w:w="110"/>
              <w:left w:type="dxa" w:w="160"/>
              <w:bottom w:type="dxa" w:w="110"/>
              <w:right w:type="dxa" w:w="160"/>
            </w:tcMar>
          </w:tcPr>
          <w:p>
            <w:r>
              <w:rPr>
                <w:rFonts w:ascii="Arial" w:cs="Arial" w:eastAsia="Arial" w:hAnsi="Arial"/>
                <w:color w:val="4A4A4A"/>
                <w:sz w:val="20"/>
                <w:szCs w:val="20"/>
              </w:rPr>
              <w:t xml:space="preserve">Align container long axis perpendicular to prevailing wind direction to maximize passive airflow assist. Avoid placement on south-facing slope or adjacent to dark metal pad equipment that radiates heat.</w:t>
            </w:r>
          </w:p>
        </w:tc>
      </w:tr>
    </w:tbl>
    <w:p>
      <w:pPr>
        <w:spacing w:before="120" w:after="80"/>
      </w:pPr>
      <w:r>
        <w:t xml:space="preserve"/>
      </w:r>
    </w:p>
    <w:p>
      <w:pPr>
        <w:pStyle w:val="Heading3"/>
        <w:spacing w:before="240" w:after="100"/>
      </w:pPr>
      <w:r>
        <w:rPr>
          <w:rFonts w:ascii="Arial" w:cs="Arial" w:eastAsia="Arial" w:hAnsi="Arial"/>
          <w:b/>
          <w:bCs/>
          <w:color w:val="5C3A1A"/>
          <w:sz w:val="24"/>
          <w:szCs w:val="24"/>
        </w:rPr>
        <w:t xml:space="preserve">Cold Climate Thermal Management (Bakken, DJ Basin, Pinedale)</w:t>
      </w:r>
    </w:p>
    <w:p>
      <w:pPr>
        <w:spacing w:before="100" w:after="140"/>
      </w:pPr>
      <w:r>
        <w:rPr>
          <w:rFonts w:ascii="Arial" w:cs="Arial" w:eastAsia="Arial" w:hAnsi="Arial"/>
          <w:color w:val="4A4A4A"/>
          <w:sz w:val="22"/>
          <w:szCs w:val="22"/>
        </w:rPr>
        <w:t xml:space="preserve">In northern basins, the thermal challenge reverses: ASIC miners must be protected from cold starts and from thermal cycling—the repeated expansion and contraction of solder joints as temperature swings between −40°F nights and 70°F days. Thermal cycling is the primary long-term reliability risk in cold-weather deployments and is more damaging to ASIC longevity than sustained cold.</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5C3A1A"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5C3A1A"/>
                <w:sz w:val="20"/>
                <w:szCs w:val="20"/>
              </w:rPr>
              <w:t xml:space="preserve">Cold-start protocol</w:t>
            </w:r>
          </w:p>
        </w:tc>
        <w:tc>
          <w:tcPr>
            <w:tcW w:type="dxa" w:w="67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4A4A4A"/>
                <w:sz w:val="20"/>
                <w:szCs w:val="20"/>
              </w:rPr>
              <w:t xml:space="preserve">Container must be prewarmed to above 32°F before ASIC startup. Electric duct heaters on container inlet air stream. Do not power on ASICs until interior ambient exceeds 40°F.</w:t>
            </w:r>
          </w:p>
        </w:tc>
      </w:tr>
      <w:tr>
        <w:tc>
          <w:tcPr>
            <w:tcW w:type="dxa" w:w="2600"/>
            <w:tcBorders>
              <w:top w:val="single" w:color="DDDDDD" w:sz="1"/>
              <w:left w:val="single" w:color="5C3A1A"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5C3A1A"/>
                <w:sz w:val="20"/>
                <w:szCs w:val="20"/>
              </w:rPr>
              <w:t xml:space="preserve">Minimum operating temperature</w:t>
            </w:r>
          </w:p>
        </w:tc>
        <w:tc>
          <w:tcPr>
            <w:tcW w:type="dxa" w:w="6760"/>
            <w:tcBorders>
              <w:top w:val="single" w:color="DDDDDD" w:sz="1"/>
              <w:left w:val="single" w:color="DDDDDD" w:sz="1"/>
              <w:bottom w:val="single" w:color="DDDDDD" w:sz="1"/>
              <w:right w:val="single" w:color="DDDDDD" w:sz="1"/>
            </w:tcBorders>
            <w:shd w:fill="FAFAFA" w:val="clear"/>
            <w:tcMar>
              <w:top w:type="dxa" w:w="110"/>
              <w:left w:type="dxa" w:w="160"/>
              <w:bottom w:type="dxa" w:w="110"/>
              <w:right w:type="dxa" w:w="160"/>
            </w:tcMar>
          </w:tcPr>
          <w:p>
            <w:r>
              <w:rPr>
                <w:rFonts w:ascii="Arial" w:cs="Arial" w:eastAsia="Arial" w:hAnsi="Arial"/>
                <w:color w:val="4A4A4A"/>
                <w:sz w:val="20"/>
                <w:szCs w:val="20"/>
              </w:rPr>
              <w:t xml:space="preserve">ASIC manufacturer specifications: typically 5°C (41°F) inlet air minimum. Container insulation and inlet heating must maintain above this threshold at all expected ambient conditions.</w:t>
            </w:r>
          </w:p>
        </w:tc>
      </w:tr>
      <w:tr>
        <w:tc>
          <w:tcPr>
            <w:tcW w:type="dxa" w:w="2600"/>
            <w:tcBorders>
              <w:top w:val="single" w:color="DDDDDD" w:sz="1"/>
              <w:left w:val="single" w:color="5C3A1A"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5C3A1A"/>
                <w:sz w:val="20"/>
                <w:szCs w:val="20"/>
              </w:rPr>
              <w:t xml:space="preserve">Thermal cycling mitigation</w:t>
            </w:r>
          </w:p>
        </w:tc>
        <w:tc>
          <w:tcPr>
            <w:tcW w:type="dxa" w:w="67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4A4A4A"/>
                <w:sz w:val="20"/>
                <w:szCs w:val="20"/>
              </w:rPr>
              <w:t xml:space="preserve">Maintain consistent container interior temperature through overnight setpoint heating even when hash rate is reduced. Avoiding 30°C daily temperature swings is more important for longevity than maintaining peak temperature.</w:t>
            </w:r>
          </w:p>
        </w:tc>
      </w:tr>
      <w:tr>
        <w:tc>
          <w:tcPr>
            <w:tcW w:type="dxa" w:w="2600"/>
            <w:tcBorders>
              <w:top w:val="single" w:color="DDDDDD" w:sz="1"/>
              <w:left w:val="single" w:color="5C3A1A"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5C3A1A"/>
                <w:sz w:val="20"/>
                <w:szCs w:val="20"/>
              </w:rPr>
              <w:t xml:space="preserve">Humidity and condensation</w:t>
            </w:r>
          </w:p>
        </w:tc>
        <w:tc>
          <w:tcPr>
            <w:tcW w:type="dxa" w:w="6760"/>
            <w:tcBorders>
              <w:top w:val="single" w:color="DDDDDD" w:sz="1"/>
              <w:left w:val="single" w:color="DDDDDD" w:sz="1"/>
              <w:bottom w:val="single" w:color="DDDDDD" w:sz="1"/>
              <w:right w:val="single" w:color="DDDDDD" w:sz="1"/>
            </w:tcBorders>
            <w:shd w:fill="FAFAFA" w:val="clear"/>
            <w:tcMar>
              <w:top w:type="dxa" w:w="110"/>
              <w:left w:type="dxa" w:w="160"/>
              <w:bottom w:type="dxa" w:w="110"/>
              <w:right w:type="dxa" w:w="160"/>
            </w:tcMar>
          </w:tcPr>
          <w:p>
            <w:r>
              <w:rPr>
                <w:rFonts w:ascii="Arial" w:cs="Arial" w:eastAsia="Arial" w:hAnsi="Arial"/>
                <w:color w:val="4A4A4A"/>
                <w:sz w:val="20"/>
                <w:szCs w:val="20"/>
              </w:rPr>
              <w:t xml:space="preserve">Condensation on ASIC boards during warm-up from cold soak is a board failure risk. Container air must be dehumidified or heated uniformly to prevent condensation during warm-up cycles.</w:t>
            </w:r>
          </w:p>
        </w:tc>
      </w:tr>
    </w:tbl>
    <w:p>
      <w:pPr>
        <w:spacing w:before="20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A4A4A" w:val="clear"/>
            <w:tcMar>
              <w:top w:type="dxa" w:w="0"/>
              <w:left w:type="dxa" w:w="0"/>
              <w:bottom w:type="dxa" w:w="0"/>
              <w:right w:type="dxa" w:w="0"/>
            </w:tcMar>
          </w:tcPr>
          <w:p>
            <w:r>
              <w:t xml:space="preserve"/>
            </w:r>
          </w:p>
        </w:tc>
        <w:tc>
          <w:tcPr>
            <w:tcW w:type="dxa" w:w="9080"/>
            <w:tcBorders>
              <w:top w:val="none" w:color="FFFFFF" w:sz="0"/>
              <w:left w:val="none" w:color="FFFFFF" w:sz="0"/>
              <w:bottom w:val="single" w:color="E0E0E0" w:sz="2"/>
              <w:right w:val="none" w:color="FFFFFF" w:sz="0"/>
            </w:tcBorders>
            <w:shd w:fill="F5F5F5" w:val="clear"/>
            <w:tcMar>
              <w:top w:type="dxa" w:w="150"/>
              <w:left w:type="dxa" w:w="220"/>
              <w:bottom w:type="dxa" w:w="150"/>
              <w:right w:type="dxa" w:w="220"/>
            </w:tcMar>
          </w:tcPr>
          <w:p>
            <w:pPr>
              <w:spacing w:before="0" w:after="40"/>
            </w:pPr>
            <w:r>
              <w:rPr>
                <w:rFonts w:ascii="Arial" w:cs="Arial" w:eastAsia="Arial" w:hAnsi="Arial"/>
                <w:b/>
                <w:bCs/>
                <w:caps/>
                <w:color w:val="1A4A4A"/>
                <w:sz w:val="17"/>
                <w:szCs w:val="17"/>
              </w:rPr>
              <w:t xml:space="preserve">SYSTEM COMPONENT 5</w:t>
            </w:r>
          </w:p>
          <w:p>
            <w:pPr>
              <w:spacing w:before="0" w:after="50"/>
            </w:pPr>
            <w:r>
              <w:rPr>
                <w:rFonts w:ascii="Arial" w:cs="Arial" w:eastAsia="Arial" w:hAnsi="Arial"/>
                <w:b/>
                <w:bCs/>
                <w:color w:val="1A1A1A"/>
                <w:sz w:val="28"/>
                <w:szCs w:val="28"/>
              </w:rPr>
              <w:t xml:space="preserve">Data Connectivity</w:t>
            </w:r>
          </w:p>
          <w:p>
            <w:pPr>
              <w:spacing w:before="0" w:after="0"/>
            </w:pPr>
            <w:r>
              <w:rPr>
                <w:rFonts w:ascii="Arial" w:cs="Arial" w:eastAsia="Arial" w:hAnsi="Arial"/>
                <w:color w:val="4A4A4A"/>
                <w:sz w:val="20"/>
                <w:szCs w:val="20"/>
              </w:rPr>
              <w:t xml:space="preserve">Starlink satellite · Pool latency tolerance · Obstruction mapping · Redundancy</w:t>
            </w:r>
          </w:p>
        </w:tc>
      </w:tr>
    </w:tbl>
    <w:p>
      <w:pPr>
        <w:spacing w:before="160" w:after="80"/>
      </w:pPr>
      <w:r>
        <w:t xml:space="preserve"/>
      </w:r>
    </w:p>
    <w:p>
      <w:pPr>
        <w:spacing w:before="100" w:after="140"/>
      </w:pPr>
      <w:r>
        <w:rPr>
          <w:rFonts w:ascii="Arial" w:cs="Arial" w:eastAsia="Arial" w:hAnsi="Arial"/>
          <w:color w:val="4A4A4A"/>
          <w:sz w:val="22"/>
          <w:szCs w:val="22"/>
        </w:rPr>
        <w:t xml:space="preserve">ASIC miners require continuous internet connectivity to receive work from the mining pool and submit completed work (shares) in return. Without pool connectivity, miners idle—no shares submitted, no revenue earned. At remote O&amp;G pads without terrestrial internet infrastructure, Starlink satellite internet is the standard solution. Understanding its requirements and limitations is necessary for reliable deployment planning.</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1A4A4A"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1A4A4A"/>
                <w:sz w:val="20"/>
                <w:szCs w:val="20"/>
              </w:rPr>
              <w:t xml:space="preserve">Starlink performance spec</w:t>
            </w:r>
          </w:p>
        </w:tc>
        <w:tc>
          <w:tcPr>
            <w:tcW w:type="dxa" w:w="67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4A4A4A"/>
                <w:sz w:val="20"/>
                <w:szCs w:val="20"/>
              </w:rPr>
              <w:t xml:space="preserve">Typical throughput: 50–200 Mbps download, 10–20 Mbps upload. Latency: 25–60 ms. A 300-unit ASIC fleet requires approximately 5–10 Mbps upload sustained. Well within Starlink’s capacity.</w:t>
            </w:r>
          </w:p>
        </w:tc>
      </w:tr>
      <w:tr>
        <w:tc>
          <w:tcPr>
            <w:tcW w:type="dxa" w:w="2600"/>
            <w:tcBorders>
              <w:top w:val="single" w:color="DDDDDD" w:sz="1"/>
              <w:left w:val="single" w:color="1A4A4A"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1A4A4A"/>
                <w:sz w:val="20"/>
                <w:szCs w:val="20"/>
              </w:rPr>
              <w:t xml:space="preserve">Pool latency tolerance</w:t>
            </w:r>
          </w:p>
        </w:tc>
        <w:tc>
          <w:tcPr>
            <w:tcW w:type="dxa" w:w="6760"/>
            <w:tcBorders>
              <w:top w:val="single" w:color="DDDDDD" w:sz="1"/>
              <w:left w:val="single" w:color="DDDDDD" w:sz="1"/>
              <w:bottom w:val="single" w:color="DDDDDD" w:sz="1"/>
              <w:right w:val="single" w:color="DDDDDD" w:sz="1"/>
            </w:tcBorders>
            <w:shd w:fill="FAFAFA" w:val="clear"/>
            <w:tcMar>
              <w:top w:type="dxa" w:w="110"/>
              <w:left w:type="dxa" w:w="160"/>
              <w:bottom w:type="dxa" w:w="110"/>
              <w:right w:type="dxa" w:w="160"/>
            </w:tcMar>
          </w:tcPr>
          <w:p>
            <w:r>
              <w:rPr>
                <w:rFonts w:ascii="Arial" w:cs="Arial" w:eastAsia="Arial" w:hAnsi="Arial"/>
                <w:color w:val="4A4A4A"/>
                <w:sz w:val="20"/>
                <w:szCs w:val="20"/>
              </w:rPr>
              <w:t xml:space="preserve">Modern mining pool protocols (Stratum V2) accept share submission with latency up to ~500 ms without meaningful revenue impact. Starlink’s 25–60 ms latency is well within tolerance. Latency is not a material constraint for field deployments.</w:t>
            </w:r>
          </w:p>
        </w:tc>
      </w:tr>
      <w:tr>
        <w:tc>
          <w:tcPr>
            <w:tcW w:type="dxa" w:w="2600"/>
            <w:tcBorders>
              <w:top w:val="single" w:color="DDDDDD" w:sz="1"/>
              <w:left w:val="single" w:color="1A4A4A"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1A4A4A"/>
                <w:sz w:val="20"/>
                <w:szCs w:val="20"/>
              </w:rPr>
              <w:t xml:space="preserve">Obstruction requirements</w:t>
            </w:r>
          </w:p>
        </w:tc>
        <w:tc>
          <w:tcPr>
            <w:tcW w:type="dxa" w:w="67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4A4A4A"/>
                <w:sz w:val="20"/>
                <w:szCs w:val="20"/>
              </w:rPr>
              <w:t xml:space="preserve">Starlink dish requires unobstructed view of the northern sky (approximately 100° elevation arc in the northern hemisphere). Obstruction from derricks, tank batteries, or topography must be assessed before ordering equipment. Use the Starlink app obstruction map tool at the pad’s GPS coordinates before deployment planning is finalized.</w:t>
            </w:r>
          </w:p>
        </w:tc>
      </w:tr>
      <w:tr>
        <w:tc>
          <w:tcPr>
            <w:tcW w:type="dxa" w:w="2600"/>
            <w:tcBorders>
              <w:top w:val="single" w:color="DDDDDD" w:sz="1"/>
              <w:left w:val="single" w:color="1A4A4A"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1A4A4A"/>
                <w:sz w:val="20"/>
                <w:szCs w:val="20"/>
              </w:rPr>
              <w:t xml:space="preserve">Starlink availability by region</w:t>
            </w:r>
          </w:p>
        </w:tc>
        <w:tc>
          <w:tcPr>
            <w:tcW w:type="dxa" w:w="6760"/>
            <w:tcBorders>
              <w:top w:val="single" w:color="DDDDDD" w:sz="1"/>
              <w:left w:val="single" w:color="DDDDDD" w:sz="1"/>
              <w:bottom w:val="single" w:color="DDDDDD" w:sz="1"/>
              <w:right w:val="single" w:color="DDDDDD" w:sz="1"/>
            </w:tcBorders>
            <w:shd w:fill="FAFAFA" w:val="clear"/>
            <w:tcMar>
              <w:top w:type="dxa" w:w="110"/>
              <w:left w:type="dxa" w:w="160"/>
              <w:bottom w:type="dxa" w:w="110"/>
              <w:right w:type="dxa" w:w="160"/>
            </w:tcMar>
          </w:tcPr>
          <w:p>
            <w:r>
              <w:rPr>
                <w:rFonts w:ascii="Arial" w:cs="Arial" w:eastAsia="Arial" w:hAnsi="Arial"/>
                <w:color w:val="4A4A4A"/>
                <w:sz w:val="20"/>
                <w:szCs w:val="20"/>
              </w:rPr>
              <w:t xml:space="preserve">Starlink is available across all major U.S. O&amp;G basins as of 2026. Maritime or polar restrictions do not apply to continental U.S. deployments. Verify availability at specific coordinates for international or remote Alaska deployments.</w:t>
            </w:r>
          </w:p>
        </w:tc>
      </w:tr>
      <w:tr>
        <w:tc>
          <w:tcPr>
            <w:tcW w:type="dxa" w:w="2600"/>
            <w:tcBorders>
              <w:top w:val="single" w:color="DDDDDD" w:sz="1"/>
              <w:left w:val="single" w:color="1A4A4A"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1A4A4A"/>
                <w:sz w:val="20"/>
                <w:szCs w:val="20"/>
              </w:rPr>
              <w:t xml:space="preserve">Connectivity redundancy</w:t>
            </w:r>
          </w:p>
        </w:tc>
        <w:tc>
          <w:tcPr>
            <w:tcW w:type="dxa" w:w="67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4A4A4A"/>
                <w:sz w:val="20"/>
                <w:szCs w:val="20"/>
              </w:rPr>
              <w:t xml:space="preserve">A single Starlink dish is adequate for most deployments. For high-revenue sites (400+ kW) where connectivity downtime cost exceeds $500/day, dual Starlink dishes with automatic failover are available. LTE backup modem as tertiary option where signal is available.</w:t>
            </w:r>
          </w:p>
        </w:tc>
      </w:tr>
      <w:tr>
        <w:tc>
          <w:tcPr>
            <w:tcW w:type="dxa" w:w="2600"/>
            <w:tcBorders>
              <w:top w:val="single" w:color="DDDDDD" w:sz="1"/>
              <w:left w:val="single" w:color="1A4A4A"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1A4A4A"/>
                <w:sz w:val="20"/>
                <w:szCs w:val="20"/>
              </w:rPr>
              <w:t xml:space="preserve">Power for connectivity</w:t>
            </w:r>
          </w:p>
        </w:tc>
        <w:tc>
          <w:tcPr>
            <w:tcW w:type="dxa" w:w="6760"/>
            <w:tcBorders>
              <w:top w:val="single" w:color="DDDDDD" w:sz="1"/>
              <w:left w:val="single" w:color="DDDDDD" w:sz="1"/>
              <w:bottom w:val="single" w:color="DDDDDD" w:sz="1"/>
              <w:right w:val="single" w:color="DDDDDD" w:sz="1"/>
            </w:tcBorders>
            <w:shd w:fill="FAFAFA" w:val="clear"/>
            <w:tcMar>
              <w:top w:type="dxa" w:w="110"/>
              <w:left w:type="dxa" w:w="160"/>
              <w:bottom w:type="dxa" w:w="110"/>
              <w:right w:type="dxa" w:w="160"/>
            </w:tcMar>
          </w:tcPr>
          <w:p>
            <w:r>
              <w:rPr>
                <w:rFonts w:ascii="Arial" w:cs="Arial" w:eastAsia="Arial" w:hAnsi="Arial"/>
                <w:color w:val="4A4A4A"/>
                <w:sz w:val="20"/>
                <w:szCs w:val="20"/>
              </w:rPr>
              <w:t xml:space="preserve">Starlink Gen3 dish: ~100W operating power. UPS (uninterruptible power supply) on the connectivity circuit ensures connectivity equipment remains online during genset restart cycles. Critical to prevent pool disconnection during planned maintenance windows.</w:t>
            </w:r>
          </w:p>
        </w:tc>
      </w:tr>
    </w:tbl>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4A" w:sz="4"/>
              <w:left w:val="single" w:color="DDDDDD" w:sz="1"/>
              <w:bottom w:val="single" w:color="DDDDDD" w:sz="1"/>
              <w:right w:val="single" w:color="DDDDDD" w:sz="1"/>
            </w:tcBorders>
            <w:shd w:fill="EEF5F5" w:val="clear"/>
            <w:tcMar>
              <w:top w:type="dxa" w:w="120"/>
              <w:left w:type="dxa" w:w="180"/>
              <w:bottom w:type="dxa" w:w="120"/>
              <w:right w:type="dxa" w:w="180"/>
            </w:tcMar>
          </w:tcPr>
          <w:p>
            <w:r>
              <w:rPr>
                <w:rFonts w:ascii="Arial" w:cs="Arial" w:eastAsia="Arial" w:hAnsi="Arial"/>
                <w:b/>
                <w:bCs/>
                <w:color w:val="1A4A4A"/>
                <w:sz w:val="20"/>
                <w:szCs w:val="20"/>
              </w:rPr>
              <w:t xml:space="preserve">SITE QUALIFICATION STEP:  </w:t>
            </w:r>
            <w:r>
              <w:rPr>
                <w:rFonts w:ascii="Arial" w:cs="Arial" w:eastAsia="Arial" w:hAnsi="Arial"/>
                <w:color w:val="4A4A4A"/>
                <w:sz w:val="20"/>
                <w:szCs w:val="20"/>
              </w:rPr>
              <w:t xml:space="preserve">Obstruction mapping at the specific pad GPS coordinates is a non-negotiable pre-deployment step—not something to verify after equipment is ordered. Derrick shadows, tank battery placement, and local topography have disqualified otherwise viable sites. Run the Starlink obstruction check before any other deployment planning on a new pad.</w:t>
            </w:r>
          </w:p>
        </w:tc>
      </w:tr>
    </w:tbl>
    <w:p>
      <w:pPr>
        <w:spacing w:before="20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C2C5C" w:val="clear"/>
            <w:tcMar>
              <w:top w:type="dxa" w:w="0"/>
              <w:left w:type="dxa" w:w="0"/>
              <w:bottom w:type="dxa" w:w="0"/>
              <w:right w:type="dxa" w:w="0"/>
            </w:tcMar>
          </w:tcPr>
          <w:p>
            <w:r>
              <w:t xml:space="preserve"/>
            </w:r>
          </w:p>
        </w:tc>
        <w:tc>
          <w:tcPr>
            <w:tcW w:type="dxa" w:w="9080"/>
            <w:tcBorders>
              <w:top w:val="none" w:color="FFFFFF" w:sz="0"/>
              <w:left w:val="none" w:color="FFFFFF" w:sz="0"/>
              <w:bottom w:val="single" w:color="E0E0E0" w:sz="2"/>
              <w:right w:val="none" w:color="FFFFFF" w:sz="0"/>
            </w:tcBorders>
            <w:shd w:fill="F5F5F5" w:val="clear"/>
            <w:tcMar>
              <w:top w:type="dxa" w:w="150"/>
              <w:left w:type="dxa" w:w="220"/>
              <w:bottom w:type="dxa" w:w="150"/>
              <w:right w:type="dxa" w:w="220"/>
            </w:tcMar>
          </w:tcPr>
          <w:p>
            <w:pPr>
              <w:spacing w:before="0" w:after="40"/>
            </w:pPr>
            <w:r>
              <w:rPr>
                <w:rFonts w:ascii="Arial" w:cs="Arial" w:eastAsia="Arial" w:hAnsi="Arial"/>
                <w:b/>
                <w:bCs/>
                <w:caps/>
                <w:color w:val="2C2C5C"/>
                <w:sz w:val="17"/>
                <w:szCs w:val="17"/>
              </w:rPr>
              <w:t xml:space="preserve">SYSTEM COMPONENT 6</w:t>
            </w:r>
          </w:p>
          <w:p>
            <w:pPr>
              <w:spacing w:before="0" w:after="50"/>
            </w:pPr>
            <w:r>
              <w:rPr>
                <w:rFonts w:ascii="Arial" w:cs="Arial" w:eastAsia="Arial" w:hAnsi="Arial"/>
                <w:b/>
                <w:bCs/>
                <w:color w:val="1A1A1A"/>
                <w:sz w:val="28"/>
                <w:szCs w:val="28"/>
              </w:rPr>
              <w:t xml:space="preserve">Monitoring and Remote Management</w:t>
            </w:r>
          </w:p>
          <w:p>
            <w:pPr>
              <w:spacing w:before="0" w:after="0"/>
            </w:pPr>
            <w:r>
              <w:rPr>
                <w:rFonts w:ascii="Arial" w:cs="Arial" w:eastAsia="Arial" w:hAnsi="Arial"/>
                <w:color w:val="4A4A4A"/>
                <w:sz w:val="20"/>
                <w:szCs w:val="20"/>
              </w:rPr>
              <w:t xml:space="preserve">Real-time telemetry · Alert escalation · Remote restart · Performance dashboards</w:t>
            </w:r>
          </w:p>
        </w:tc>
      </w:tr>
    </w:tbl>
    <w:p>
      <w:pPr>
        <w:spacing w:before="160" w:after="80"/>
      </w:pPr>
      <w:r>
        <w:t xml:space="preserve"/>
      </w:r>
    </w:p>
    <w:p>
      <w:pPr>
        <w:spacing w:before="100" w:after="140"/>
      </w:pPr>
      <w:r>
        <w:rPr>
          <w:rFonts w:ascii="Arial" w:cs="Arial" w:eastAsia="Arial" w:hAnsi="Arial"/>
          <w:color w:val="4A4A4A"/>
          <w:sz w:val="22"/>
          <w:szCs w:val="22"/>
        </w:rPr>
        <w:t xml:space="preserve">Remote monitoring is the operational backbone of a field deployment. Every hour of undetected downtime is an hour of foregone revenue that cannot be recovered. The monitoring system must detect fault conditions, alert operations staff, and—where possible—enable remote resolution without a site visit. At 200 kW of deployed capacity, one hour of undetected downtime represents approximately $8–15 in foregone revenue. A 24-hour undetected outage: $200–350. Monitoring is not overhead—it is yield management.</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2C2C5C"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2C2C5C"/>
                <w:sz w:val="20"/>
                <w:szCs w:val="20"/>
              </w:rPr>
              <w:t xml:space="preserve">Generator telemetry</w:t>
            </w:r>
          </w:p>
        </w:tc>
        <w:tc>
          <w:tcPr>
            <w:tcW w:type="dxa" w:w="67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4A4A4A"/>
                <w:sz w:val="20"/>
                <w:szCs w:val="20"/>
              </w:rPr>
              <w:t xml:space="preserve">Continuous monitoring: output voltage, frequency, load (kW and kVA), coolant temperature, oil pressure, exhaust temperature, fuel flow rate, and runtime hours. Alert thresholds on all parameters. Generator control module (GCM) with remote TCP/IP access.</w:t>
            </w:r>
          </w:p>
        </w:tc>
      </w:tr>
      <w:tr>
        <w:tc>
          <w:tcPr>
            <w:tcW w:type="dxa" w:w="2600"/>
            <w:tcBorders>
              <w:top w:val="single" w:color="DDDDDD" w:sz="1"/>
              <w:left w:val="single" w:color="2C2C5C"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2C2C5C"/>
                <w:sz w:val="20"/>
                <w:szCs w:val="20"/>
              </w:rPr>
              <w:t xml:space="preserve">ASIC fleet monitoring</w:t>
            </w:r>
          </w:p>
        </w:tc>
        <w:tc>
          <w:tcPr>
            <w:tcW w:type="dxa" w:w="6760"/>
            <w:tcBorders>
              <w:top w:val="single" w:color="DDDDDD" w:sz="1"/>
              <w:left w:val="single" w:color="DDDDDD" w:sz="1"/>
              <w:bottom w:val="single" w:color="DDDDDD" w:sz="1"/>
              <w:right w:val="single" w:color="DDDDDD" w:sz="1"/>
            </w:tcBorders>
            <w:shd w:fill="FAFAFA" w:val="clear"/>
            <w:tcMar>
              <w:top w:type="dxa" w:w="110"/>
              <w:left w:type="dxa" w:w="160"/>
              <w:bottom w:type="dxa" w:w="110"/>
              <w:right w:type="dxa" w:w="160"/>
            </w:tcMar>
          </w:tcPr>
          <w:p>
            <w:r>
              <w:rPr>
                <w:rFonts w:ascii="Arial" w:cs="Arial" w:eastAsia="Arial" w:hAnsi="Arial"/>
                <w:color w:val="4A4A4A"/>
                <w:sz w:val="20"/>
                <w:szCs w:val="20"/>
              </w:rPr>
              <w:t xml:space="preserve">Mining management software provides per-unit hash rate, chip temperature, fan speed, and share submission rate. Fleet-level view with individual unit drill-down. Alert on units with hash rate below threshold or chip temperature above setpoint.</w:t>
            </w:r>
          </w:p>
        </w:tc>
      </w:tr>
      <w:tr>
        <w:tc>
          <w:tcPr>
            <w:tcW w:type="dxa" w:w="2600"/>
            <w:tcBorders>
              <w:top w:val="single" w:color="DDDDDD" w:sz="1"/>
              <w:left w:val="single" w:color="2C2C5C"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2C2C5C"/>
                <w:sz w:val="20"/>
                <w:szCs w:val="20"/>
              </w:rPr>
              <w:t xml:space="preserve">Container environmental</w:t>
            </w:r>
          </w:p>
        </w:tc>
        <w:tc>
          <w:tcPr>
            <w:tcW w:type="dxa" w:w="67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4A4A4A"/>
                <w:sz w:val="20"/>
                <w:szCs w:val="20"/>
              </w:rPr>
              <w:t xml:space="preserve">Temperature and humidity sensors at container inlet and outlet. Differential temperature tracking identifies cooling efficiency degradation. High inlet temperature alert triggers before thermal throttling affects hash rate.</w:t>
            </w:r>
          </w:p>
        </w:tc>
      </w:tr>
      <w:tr>
        <w:tc>
          <w:tcPr>
            <w:tcW w:type="dxa" w:w="2600"/>
            <w:tcBorders>
              <w:top w:val="single" w:color="DDDDDD" w:sz="1"/>
              <w:left w:val="single" w:color="2C2C5C"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2C2C5C"/>
                <w:sz w:val="20"/>
                <w:szCs w:val="20"/>
              </w:rPr>
              <w:t xml:space="preserve">Power metering</w:t>
            </w:r>
          </w:p>
        </w:tc>
        <w:tc>
          <w:tcPr>
            <w:tcW w:type="dxa" w:w="6760"/>
            <w:tcBorders>
              <w:top w:val="single" w:color="DDDDDD" w:sz="1"/>
              <w:left w:val="single" w:color="DDDDDD" w:sz="1"/>
              <w:bottom w:val="single" w:color="DDDDDD" w:sz="1"/>
              <w:right w:val="single" w:color="DDDDDD" w:sz="1"/>
            </w:tcBorders>
            <w:shd w:fill="FAFAFA" w:val="clear"/>
            <w:tcMar>
              <w:top w:type="dxa" w:w="110"/>
              <w:left w:type="dxa" w:w="160"/>
              <w:bottom w:type="dxa" w:w="110"/>
              <w:right w:type="dxa" w:w="160"/>
            </w:tcMar>
          </w:tcPr>
          <w:p>
            <w:r>
              <w:rPr>
                <w:rFonts w:ascii="Arial" w:cs="Arial" w:eastAsia="Arial" w:hAnsi="Arial"/>
                <w:color w:val="4A4A4A"/>
                <w:sz w:val="20"/>
                <w:szCs w:val="20"/>
              </w:rPr>
              <w:t xml:space="preserve">Revenue-grade power meter at the container feed. Tracks kWh consumed per container and total site. Required for hosting billing and operator reporting. Data logging at 15-minute intervals minimum.</w:t>
            </w:r>
          </w:p>
        </w:tc>
      </w:tr>
      <w:tr>
        <w:tc>
          <w:tcPr>
            <w:tcW w:type="dxa" w:w="2600"/>
            <w:tcBorders>
              <w:top w:val="single" w:color="DDDDDD" w:sz="1"/>
              <w:left w:val="single" w:color="2C2C5C"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2C2C5C"/>
                <w:sz w:val="20"/>
                <w:szCs w:val="20"/>
              </w:rPr>
              <w:t xml:space="preserve">Alert escalation protocol</w:t>
            </w:r>
          </w:p>
        </w:tc>
        <w:tc>
          <w:tcPr>
            <w:tcW w:type="dxa" w:w="67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4A4A4A"/>
                <w:sz w:val="20"/>
                <w:szCs w:val="20"/>
              </w:rPr>
              <w:t xml:space="preserve">Tier 1 (automated): parameter exceedance triggers SMS and email alert to on-call technician. Tier 2 (30-minute response): if unresolved, escalates to field supervisor. Tier 3 (2-hour): unresolved Tier 2 triggers site visit dispatch.</w:t>
            </w:r>
          </w:p>
        </w:tc>
      </w:tr>
      <w:tr>
        <w:tc>
          <w:tcPr>
            <w:tcW w:type="dxa" w:w="2600"/>
            <w:tcBorders>
              <w:top w:val="single" w:color="DDDDDD" w:sz="1"/>
              <w:left w:val="single" w:color="2C2C5C"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2C2C5C"/>
                <w:sz w:val="20"/>
                <w:szCs w:val="20"/>
              </w:rPr>
              <w:t xml:space="preserve">Remote restart capability</w:t>
            </w:r>
          </w:p>
        </w:tc>
        <w:tc>
          <w:tcPr>
            <w:tcW w:type="dxa" w:w="6760"/>
            <w:tcBorders>
              <w:top w:val="single" w:color="DDDDDD" w:sz="1"/>
              <w:left w:val="single" w:color="DDDDDD" w:sz="1"/>
              <w:bottom w:val="single" w:color="DDDDDD" w:sz="1"/>
              <w:right w:val="single" w:color="DDDDDD" w:sz="1"/>
            </w:tcBorders>
            <w:shd w:fill="FAFAFA" w:val="clear"/>
            <w:tcMar>
              <w:top w:type="dxa" w:w="110"/>
              <w:left w:type="dxa" w:w="160"/>
              <w:bottom w:type="dxa" w:w="110"/>
              <w:right w:type="dxa" w:w="160"/>
            </w:tcMar>
          </w:tcPr>
          <w:p>
            <w:r>
              <w:rPr>
                <w:rFonts w:ascii="Arial" w:cs="Arial" w:eastAsia="Arial" w:hAnsi="Arial"/>
                <w:color w:val="4A4A4A"/>
                <w:sz w:val="20"/>
                <w:szCs w:val="20"/>
              </w:rPr>
              <w:t xml:space="preserve">Generator controller with remote start/stop via TCP/IP. ASIC fleet management software supports remote reboot of individual units or entire containers. Resolves the majority of connectivity and miner lockup issues without a site visit.</w:t>
            </w:r>
          </w:p>
        </w:tc>
      </w:tr>
    </w:tbl>
    <w:p>
      <w:pPr>
        <w:spacing w:before="20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3A1A1A" w:val="clear"/>
            <w:tcMar>
              <w:top w:type="dxa" w:w="0"/>
              <w:left w:type="dxa" w:w="0"/>
              <w:bottom w:type="dxa" w:w="0"/>
              <w:right w:type="dxa" w:w="0"/>
            </w:tcMar>
          </w:tcPr>
          <w:p>
            <w:r>
              <w:t xml:space="preserve"/>
            </w:r>
          </w:p>
        </w:tc>
        <w:tc>
          <w:tcPr>
            <w:tcW w:type="dxa" w:w="9080"/>
            <w:tcBorders>
              <w:top w:val="none" w:color="FFFFFF" w:sz="0"/>
              <w:left w:val="none" w:color="FFFFFF" w:sz="0"/>
              <w:bottom w:val="single" w:color="E0E0E0" w:sz="2"/>
              <w:right w:val="none" w:color="FFFFFF" w:sz="0"/>
            </w:tcBorders>
            <w:shd w:fill="F5F5F5" w:val="clear"/>
            <w:tcMar>
              <w:top w:type="dxa" w:w="150"/>
              <w:left w:type="dxa" w:w="220"/>
              <w:bottom w:type="dxa" w:w="150"/>
              <w:right w:type="dxa" w:w="220"/>
            </w:tcMar>
          </w:tcPr>
          <w:p>
            <w:pPr>
              <w:spacing w:before="0" w:after="40"/>
            </w:pPr>
            <w:r>
              <w:rPr>
                <w:rFonts w:ascii="Arial" w:cs="Arial" w:eastAsia="Arial" w:hAnsi="Arial"/>
                <w:b/>
                <w:bCs/>
                <w:caps/>
                <w:color w:val="3A1A1A"/>
                <w:sz w:val="17"/>
                <w:szCs w:val="17"/>
              </w:rPr>
              <w:t xml:space="preserve">SYSTEM COMPONENT 7</w:t>
            </w:r>
          </w:p>
          <w:p>
            <w:pPr>
              <w:spacing w:before="0" w:after="50"/>
            </w:pPr>
            <w:r>
              <w:rPr>
                <w:rFonts w:ascii="Arial" w:cs="Arial" w:eastAsia="Arial" w:hAnsi="Arial"/>
                <w:b/>
                <w:bCs/>
                <w:color w:val="1A1A1A"/>
                <w:sz w:val="28"/>
                <w:szCs w:val="28"/>
              </w:rPr>
              <w:t xml:space="preserve">Service Access Design</w:t>
            </w:r>
          </w:p>
          <w:p>
            <w:pPr>
              <w:spacing w:before="0" w:after="0"/>
            </w:pPr>
            <w:r>
              <w:rPr>
                <w:rFonts w:ascii="Arial" w:cs="Arial" w:eastAsia="Arial" w:hAnsi="Arial"/>
                <w:color w:val="4A4A4A"/>
                <w:sz w:val="20"/>
                <w:szCs w:val="20"/>
              </w:rPr>
              <w:t xml:space="preserve">Road access · Scheduled maintenance · Unplanned response · Spare parts staging</w:t>
            </w:r>
          </w:p>
        </w:tc>
      </w:tr>
    </w:tbl>
    <w:p>
      <w:pPr>
        <w:spacing w:before="160" w:after="80"/>
      </w:pPr>
      <w:r>
        <w:t xml:space="preserve"/>
      </w:r>
    </w:p>
    <w:p>
      <w:pPr>
        <w:spacing w:before="100" w:after="140"/>
      </w:pPr>
      <w:r>
        <w:rPr>
          <w:rFonts w:ascii="Arial" w:cs="Arial" w:eastAsia="Arial" w:hAnsi="Arial"/>
          <w:color w:val="4A4A4A"/>
          <w:sz w:val="22"/>
          <w:szCs w:val="22"/>
        </w:rPr>
        <w:t xml:space="preserve">Service access design determines the practical uptime ceiling of a field deployment. A well-specified system with excellent monitoring will still underperform if a technician cannot physically reach the pad within a reasonable response window. Service access is an engineering constraint, not an operational afterthought.</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3A1A1A"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3A1A1A"/>
                <w:sz w:val="20"/>
                <w:szCs w:val="20"/>
              </w:rPr>
              <w:t xml:space="preserve">Road access standard</w:t>
            </w:r>
          </w:p>
        </w:tc>
        <w:tc>
          <w:tcPr>
            <w:tcW w:type="dxa" w:w="67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4A4A4A"/>
                <w:sz w:val="20"/>
                <w:szCs w:val="20"/>
              </w:rPr>
              <w:t xml:space="preserve">All-weather access road passable by a 3–4-ton service vehicle year-round. Gravel or caliche surfacing minimum. Low-water crossings and seasonal restrictions must be documented before deployment finalization.</w:t>
            </w:r>
          </w:p>
        </w:tc>
      </w:tr>
      <w:tr>
        <w:tc>
          <w:tcPr>
            <w:tcW w:type="dxa" w:w="2600"/>
            <w:tcBorders>
              <w:top w:val="single" w:color="DDDDDD" w:sz="1"/>
              <w:left w:val="single" w:color="3A1A1A"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3A1A1A"/>
                <w:sz w:val="20"/>
                <w:szCs w:val="20"/>
              </w:rPr>
              <w:t xml:space="preserve">Seasonal restrictions (Bakken)</w:t>
            </w:r>
          </w:p>
        </w:tc>
        <w:tc>
          <w:tcPr>
            <w:tcW w:type="dxa" w:w="6760"/>
            <w:tcBorders>
              <w:top w:val="single" w:color="DDDDDD" w:sz="1"/>
              <w:left w:val="single" w:color="DDDDDD" w:sz="1"/>
              <w:bottom w:val="single" w:color="DDDDDD" w:sz="1"/>
              <w:right w:val="single" w:color="DDDDDD" w:sz="1"/>
            </w:tcBorders>
            <w:shd w:fill="FAFAFA" w:val="clear"/>
            <w:tcMar>
              <w:top w:type="dxa" w:w="110"/>
              <w:left w:type="dxa" w:w="160"/>
              <w:bottom w:type="dxa" w:w="110"/>
              <w:right w:type="dxa" w:w="160"/>
            </w:tcMar>
          </w:tcPr>
          <w:p>
            <w:r>
              <w:rPr>
                <w:rFonts w:ascii="Arial" w:cs="Arial" w:eastAsia="Arial" w:hAnsi="Arial"/>
                <w:color w:val="4A4A4A"/>
                <w:sz w:val="20"/>
                <w:szCs w:val="20"/>
              </w:rPr>
              <w:t xml:space="preserve">Spring road restrictions in North Dakota (March–May) prohibit heavy vehicle access on county roads during frost-thaw cycles. Service logistics must be pre-planned: stock consumables before restriction season, defer non-critical maintenance until restrictions lift.</w:t>
            </w:r>
          </w:p>
        </w:tc>
      </w:tr>
      <w:tr>
        <w:tc>
          <w:tcPr>
            <w:tcW w:type="dxa" w:w="2600"/>
            <w:tcBorders>
              <w:top w:val="single" w:color="DDDDDD" w:sz="1"/>
              <w:left w:val="single" w:color="3A1A1A"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3A1A1A"/>
                <w:sz w:val="20"/>
                <w:szCs w:val="20"/>
              </w:rPr>
              <w:t xml:space="preserve">Pad space for service</w:t>
            </w:r>
          </w:p>
        </w:tc>
        <w:tc>
          <w:tcPr>
            <w:tcW w:type="dxa" w:w="67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4A4A4A"/>
                <w:sz w:val="20"/>
                <w:szCs w:val="20"/>
              </w:rPr>
              <w:t xml:space="preserve">Minimum 20-ft clear access on all four sides of generator and container footprint. Crane pad or forklift access lane required for ASIC container removal and ASIC unit replacement. Do not place containers against fence lines or tank battery equipment.</w:t>
            </w:r>
          </w:p>
        </w:tc>
      </w:tr>
      <w:tr>
        <w:tc>
          <w:tcPr>
            <w:tcW w:type="dxa" w:w="2600"/>
            <w:tcBorders>
              <w:top w:val="single" w:color="DDDDDD" w:sz="1"/>
              <w:left w:val="single" w:color="3A1A1A"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3A1A1A"/>
                <w:sz w:val="20"/>
                <w:szCs w:val="20"/>
              </w:rPr>
              <w:t xml:space="preserve">Scheduled maintenance intervals</w:t>
            </w:r>
          </w:p>
        </w:tc>
        <w:tc>
          <w:tcPr>
            <w:tcW w:type="dxa" w:w="6760"/>
            <w:tcBorders>
              <w:top w:val="single" w:color="DDDDDD" w:sz="1"/>
              <w:left w:val="single" w:color="DDDDDD" w:sz="1"/>
              <w:bottom w:val="single" w:color="DDDDDD" w:sz="1"/>
              <w:right w:val="single" w:color="DDDDDD" w:sz="1"/>
            </w:tcBorders>
            <w:shd w:fill="FAFAFA" w:val="clear"/>
            <w:tcMar>
              <w:top w:type="dxa" w:w="110"/>
              <w:left w:type="dxa" w:w="160"/>
              <w:bottom w:type="dxa" w:w="110"/>
              <w:right w:type="dxa" w:w="160"/>
            </w:tcMar>
          </w:tcPr>
          <w:p>
            <w:r>
              <w:rPr>
                <w:rFonts w:ascii="Arial" w:cs="Arial" w:eastAsia="Arial" w:hAnsi="Arial"/>
                <w:color w:val="4A4A4A"/>
                <w:sz w:val="20"/>
                <w:szCs w:val="20"/>
              </w:rPr>
              <w:t xml:space="preserve">Generator: oil and filter change every 500–750 operating hours (approximately 3–4 weeks at continuous operation). ASIC fan inspection: every 60 days in dusty field conditions. Full ASIC board inspection: every 6 months.</w:t>
            </w:r>
          </w:p>
        </w:tc>
      </w:tr>
      <w:tr>
        <w:tc>
          <w:tcPr>
            <w:tcW w:type="dxa" w:w="2600"/>
            <w:tcBorders>
              <w:top w:val="single" w:color="DDDDDD" w:sz="1"/>
              <w:left w:val="single" w:color="3A1A1A"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3A1A1A"/>
                <w:sz w:val="20"/>
                <w:szCs w:val="20"/>
              </w:rPr>
              <w:t xml:space="preserve">Spare parts staging</w:t>
            </w:r>
          </w:p>
        </w:tc>
        <w:tc>
          <w:tcPr>
            <w:tcW w:type="dxa" w:w="67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4A4A4A"/>
                <w:sz w:val="20"/>
                <w:szCs w:val="20"/>
              </w:rPr>
              <w:t xml:space="preserve">Critical spare parts staged at regional service hub: generator air filters, oil filters, V-belts, fuel regulators, and ASIC fan units. Parts staged within 4-hour drive of deployment cluster. Eliminates 1–3 day parts-procurement delay on unplanned failures.</w:t>
            </w:r>
          </w:p>
        </w:tc>
      </w:tr>
      <w:tr>
        <w:tc>
          <w:tcPr>
            <w:tcW w:type="dxa" w:w="2600"/>
            <w:tcBorders>
              <w:top w:val="single" w:color="DDDDDD" w:sz="1"/>
              <w:left w:val="single" w:color="3A1A1A" w:sz="5"/>
              <w:bottom w:val="single" w:color="DDDDDD" w:sz="1"/>
              <w:right w:val="single" w:color="DDDDDD" w:sz="1"/>
            </w:tcBorders>
            <w:shd w:fill="F0F0F0" w:val="clear"/>
            <w:tcMar>
              <w:top w:type="dxa" w:w="110"/>
              <w:left w:type="dxa" w:w="160"/>
              <w:bottom w:type="dxa" w:w="110"/>
              <w:right w:type="dxa" w:w="160"/>
            </w:tcMar>
          </w:tcPr>
          <w:p>
            <w:r>
              <w:rPr>
                <w:rFonts w:ascii="Arial" w:cs="Arial" w:eastAsia="Arial" w:hAnsi="Arial"/>
                <w:b/>
                <w:bCs/>
                <w:color w:val="3A1A1A"/>
                <w:sz w:val="20"/>
                <w:szCs w:val="20"/>
              </w:rPr>
              <w:t xml:space="preserve">Emergency response plan</w:t>
            </w:r>
          </w:p>
        </w:tc>
        <w:tc>
          <w:tcPr>
            <w:tcW w:type="dxa" w:w="6760"/>
            <w:tcBorders>
              <w:top w:val="single" w:color="DDDDDD" w:sz="1"/>
              <w:left w:val="single" w:color="DDDDDD" w:sz="1"/>
              <w:bottom w:val="single" w:color="DDDDDD" w:sz="1"/>
              <w:right w:val="single" w:color="DDDDDD" w:sz="1"/>
            </w:tcBorders>
            <w:shd w:fill="FAFAFA" w:val="clear"/>
            <w:tcMar>
              <w:top w:type="dxa" w:w="110"/>
              <w:left w:type="dxa" w:w="160"/>
              <w:bottom w:type="dxa" w:w="110"/>
              <w:right w:type="dxa" w:w="160"/>
            </w:tcMar>
          </w:tcPr>
          <w:p>
            <w:r>
              <w:rPr>
                <w:rFonts w:ascii="Arial" w:cs="Arial" w:eastAsia="Arial" w:hAnsi="Arial"/>
                <w:color w:val="4A4A4A"/>
                <w:sz w:val="20"/>
                <w:szCs w:val="20"/>
              </w:rPr>
              <w:t xml:space="preserve">Site-specific emergency response plan documents pad location, GPS coordinates, nearest hospital and fire station, operator emergency contact, and hazardous materials present (H2S risk level, fuel storage). Required for all deployments above 100 kW.</w:t>
            </w:r>
          </w:p>
        </w:tc>
      </w:tr>
    </w:tbl>
    <w:p>
      <w:pPr>
        <w:spacing w:before="200" w:after="120"/>
      </w:pPr>
      <w:r>
        <w:t xml:space="preserve"/>
      </w:r>
    </w:p>
    <w:p>
      <w:pPr>
        <w:pStyle w:val="Heading2"/>
        <w:pBdr>
          <w:bottom w:val="single" w:color="E8500A" w:sz="4" w:space="4"/>
        </w:pBdr>
        <w:spacing w:before="360" w:after="120"/>
      </w:pPr>
      <w:r>
        <w:rPr>
          <w:rFonts w:ascii="Arial" w:cs="Arial" w:eastAsia="Arial" w:hAnsi="Arial"/>
          <w:b/>
          <w:bCs/>
          <w:color w:val="1A1A1A"/>
          <w:sz w:val="28"/>
          <w:szCs w:val="28"/>
        </w:rPr>
        <w:t xml:space="preserve">System Integration and Commissioning Sequence</w:t>
      </w:r>
    </w:p>
    <w:p>
      <w:pPr>
        <w:spacing w:before="100" w:after="140"/>
      </w:pPr>
      <w:r>
        <w:rPr>
          <w:rFonts w:ascii="Arial" w:cs="Arial" w:eastAsia="Arial" w:hAnsi="Arial"/>
          <w:color w:val="4A4A4A"/>
          <w:sz w:val="22"/>
          <w:szCs w:val="22"/>
        </w:rPr>
        <w:t xml:space="preserve">The seven components must be installed and commissioned in sequence. Out-of-sequence commissioning—energizing ASICs before power quality is verified, or connecting mining software before connectivity is confirmed—is the primary cause of commissioning-stage equipment damage and extended startup delays.</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6080"/>
      </w:tblGrid>
      <w:tr>
        <w:trPr>
          <w:tblHeader/>
        </w:trPr>
        <w:tc>
          <w:tcPr>
            <w:tcW w:type="dxa" w:w="48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Step</w:t>
            </w:r>
          </w:p>
        </w:tc>
        <w:tc>
          <w:tcPr>
            <w:tcW w:type="dxa" w:w="28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Task</w:t>
            </w:r>
          </w:p>
        </w:tc>
        <w:tc>
          <w:tcPr>
            <w:tcW w:type="dxa" w:w="608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Acceptance Criterion</w:t>
            </w:r>
          </w:p>
        </w:tc>
      </w:tr>
      <w:tr>
        <w:tc>
          <w:tcPr>
            <w:tcW w:type="dxa" w:w="4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1</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Gas conditioning installation</w:t>
            </w:r>
          </w:p>
        </w:tc>
        <w:tc>
          <w:tcPr>
            <w:tcW w:type="dxa" w:w="60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Pressure confirmed at genset inlet: 2–7 in. W.C. at max flow. H2S level confirmed below treatment threshold. No leaks on regulator train.</w:t>
            </w:r>
          </w:p>
        </w:tc>
      </w:tr>
      <w:tr>
        <w:tc>
          <w:tcPr>
            <w:tcW w:type="dxa" w:w="4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2</w:t>
            </w:r>
          </w:p>
        </w:tc>
        <w:tc>
          <w:tcPr>
            <w:tcW w:type="dxa" w:w="2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Grounding system installation</w:t>
            </w:r>
          </w:p>
        </w:tc>
        <w:tc>
          <w:tcPr>
            <w:tcW w:type="dxa" w:w="60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Ground resistance measured: below 25 ohms. EGC continuity confirmed from all equipment to grounding electrode. Document measurements.</w:t>
            </w:r>
          </w:p>
        </w:tc>
      </w:tr>
      <w:tr>
        <w:tc>
          <w:tcPr>
            <w:tcW w:type="dxa" w:w="4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3</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Genset commissioning (no load)</w:t>
            </w:r>
          </w:p>
        </w:tc>
        <w:tc>
          <w:tcPr>
            <w:tcW w:type="dxa" w:w="60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Generator starts, reaches rated voltage and frequency. Voltage regulation within ±2%. Governor stable at 60 Hz ±0.5 Hz. No fault codes.</w:t>
            </w:r>
          </w:p>
        </w:tc>
      </w:tr>
      <w:tr>
        <w:tc>
          <w:tcPr>
            <w:tcW w:type="dxa" w:w="4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4</w:t>
            </w:r>
          </w:p>
        </w:tc>
        <w:tc>
          <w:tcPr>
            <w:tcW w:type="dxa" w:w="2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Power metering and switchgear</w:t>
            </w:r>
          </w:p>
        </w:tc>
        <w:tc>
          <w:tcPr>
            <w:tcW w:type="dxa" w:w="60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Revenue meter energized and logging. All protective devices tested. Single-line diagram as-built matches installed configuration.</w:t>
            </w:r>
          </w:p>
        </w:tc>
      </w:tr>
      <w:tr>
        <w:tc>
          <w:tcPr>
            <w:tcW w:type="dxa" w:w="4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5</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Connectivity commissioning</w:t>
            </w:r>
          </w:p>
        </w:tc>
        <w:tc>
          <w:tcPr>
            <w:tcW w:type="dxa" w:w="60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Starlink dish aligned and tracking. Ping test to pool server: latency below 200 ms. Throughput test: above 10 Mbps upload. UPS confirmed on connectivity circuit.</w:t>
            </w:r>
          </w:p>
        </w:tc>
      </w:tr>
      <w:tr>
        <w:tc>
          <w:tcPr>
            <w:tcW w:type="dxa" w:w="4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6</w:t>
            </w:r>
          </w:p>
        </w:tc>
        <w:tc>
          <w:tcPr>
            <w:tcW w:type="dxa" w:w="2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Container energization (no miners)</w:t>
            </w:r>
          </w:p>
        </w:tc>
        <w:tc>
          <w:tcPr>
            <w:tcW w:type="dxa" w:w="60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Container power distribution energized. Thermal management confirmed operational. Temperature differential across container below 5°C at ambient.</w:t>
            </w:r>
          </w:p>
        </w:tc>
      </w:tr>
      <w:tr>
        <w:tc>
          <w:tcPr>
            <w:tcW w:type="dxa" w:w="4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7</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ASIC startup and pool connection</w:t>
            </w:r>
          </w:p>
        </w:tc>
        <w:tc>
          <w:tcPr>
            <w:tcW w:type="dxa" w:w="60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Miners start in sequence. All units connecting to pool. Hash rate within 3% of rated specification per unit. Revenue-grade meter confirming load. Monitoring dashboard live.</w:t>
            </w:r>
          </w:p>
        </w:tc>
      </w:tr>
    </w:tbl>
    <w:p>
      <w:pPr>
        <w:spacing w:before="16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8"/>
              <w:left w:val="single" w:color="E8500A" w:sz="8"/>
              <w:bottom w:val="single" w:color="DDDDDD" w:sz="1"/>
              <w:right w:val="single" w:color="DDDDDD" w:sz="1"/>
            </w:tcBorders>
            <w:shd w:fill="FFF6F2" w:val="clear"/>
            <w:tcMar>
              <w:top w:type="dxa" w:w="160"/>
              <w:left w:type="dxa" w:w="200"/>
              <w:bottom w:type="dxa" w:w="160"/>
              <w:right w:type="dxa" w:w="200"/>
            </w:tcMar>
          </w:tcPr>
          <w:p>
            <w:pPr>
              <w:spacing w:before="0" w:after="80"/>
            </w:pPr>
            <w:r>
              <w:rPr>
                <w:rFonts w:ascii="Arial" w:cs="Arial" w:eastAsia="Arial" w:hAnsi="Arial"/>
                <w:b/>
                <w:bCs/>
                <w:color w:val="E8500A"/>
                <w:sz w:val="22"/>
                <w:szCs w:val="22"/>
              </w:rPr>
              <w:t xml:space="preserve">THE STANDARD MCF.DIGITAL COMMISSIONING BENCHMARK</w:t>
            </w:r>
          </w:p>
          <w:p>
            <w:pPr>
              <w:spacing w:before="0" w:after="0"/>
            </w:pPr>
            <w:r>
              <w:rPr>
                <w:rFonts w:ascii="Arial" w:cs="Arial" w:eastAsia="Arial" w:hAnsi="Arial"/>
                <w:color w:val="4A4A4A"/>
                <w:sz w:val="22"/>
                <w:szCs w:val="22"/>
              </w:rPr>
              <w:t xml:space="preserve">A properly commissioned on-lease gas-to-hash system reaches full hash rate within 72 hours of first gas-in. If a system is not at full hash rate within 5 business days of commissioning start, there is a specification or installation problem—not a normal startup delay. Any operator who characterizes a multi-week ramp-up as “normal” has either a design problem or an execution problem. Ask for the commissioning acceptance criteria in writing before deployment begins.</w:t>
            </w:r>
          </w:p>
        </w:tc>
      </w:tr>
    </w:tbl>
    <w:p>
      <w:pPr>
        <w:spacing w:before="20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16"/>
              <w:left w:val="none" w:color="FFFFFF" w:sz="0"/>
              <w:bottom w:val="single" w:color="E8500A" w:sz="16"/>
              <w:right w:val="none" w:color="FFFFFF" w:sz="0"/>
            </w:tcBorders>
            <w:shd w:fill="1A1A1A" w:val="clear"/>
            <w:tcMar>
              <w:top w:type="dxa" w:w="280"/>
              <w:left w:type="dxa" w:w="360"/>
              <w:bottom w:type="dxa" w:w="280"/>
              <w:right w:type="dxa" w:w="360"/>
            </w:tcMar>
          </w:tcPr>
          <w:p>
            <w:pPr>
              <w:spacing w:before="0" w:after="80"/>
              <w:jc w:val="center"/>
            </w:pPr>
            <w:r>
              <w:rPr>
                <w:rFonts w:ascii="Arial" w:cs="Arial" w:eastAsia="Arial" w:hAnsi="Arial"/>
                <w:b/>
                <w:bCs/>
                <w:color w:val="FFFFFF"/>
                <w:sz w:val="28"/>
                <w:szCs w:val="28"/>
              </w:rPr>
              <w:t xml:space="preserve">Run a site-specific technical evaluation.</w:t>
            </w:r>
          </w:p>
          <w:p>
            <w:pPr>
              <w:spacing w:before="0" w:after="120"/>
              <w:jc w:val="center"/>
            </w:pPr>
            <w:r>
              <w:rPr>
                <w:rFonts w:ascii="Arial" w:cs="Arial" w:eastAsia="Arial" w:hAnsi="Arial"/>
                <w:color w:val="CCCCCC"/>
                <w:sz w:val="22"/>
                <w:szCs w:val="22"/>
              </w:rPr>
              <w:t xml:space="preserve">Enter your pad’s gas analysis, elevation, and ambient temperature range. Get a derate-adjusted capacity estimate, genset model recommendation, and system layout summary for your specific site.</w:t>
            </w:r>
          </w:p>
          <w:p>
            <w:pPr>
              <w:spacing w:before="0" w:after="0"/>
              <w:jc w:val="center"/>
            </w:pPr>
            <w:r>
              <w:rPr>
                <w:rFonts w:ascii="Arial" w:cs="Arial" w:eastAsia="Arial" w:hAnsi="Arial"/>
                <w:b/>
                <w:bCs/>
                <w:color w:val="E8500A"/>
                <w:sz w:val="26"/>
                <w:szCs w:val="26"/>
              </w:rPr>
              <w:t xml:space="preserve">tools.mcf.digital</w:t>
            </w:r>
            <w:r>
              <w:rPr>
                <w:rFonts w:ascii="Arial" w:cs="Arial" w:eastAsia="Arial" w:hAnsi="Arial"/>
                <w:color w:val="555555"/>
                <w:sz w:val="24"/>
                <w:szCs w:val="24"/>
              </w:rPr>
              <w:t xml:space="preserve">   ·   </w:t>
            </w:r>
            <w:r>
              <w:rPr>
                <w:rFonts w:ascii="Arial" w:cs="Arial" w:eastAsia="Arial" w:hAnsi="Arial"/>
                <w:b/>
                <w:bCs/>
                <w:color w:val="E8500A"/>
                <w:sz w:val="24"/>
                <w:szCs w:val="24"/>
              </w:rPr>
              <w:t xml:space="preserve">Book a 15-minute technical review</w:t>
            </w:r>
          </w:p>
        </w:tc>
      </w:tr>
    </w:tbl>
    <w:p>
      <w:pPr>
        <w:spacing w:before="240" w:after="120"/>
      </w:pPr>
      <w:r>
        <w:t xml:space="preserve"/>
      </w:r>
    </w:p>
    <w:p>
      <w:pPr>
        <w:pStyle w:val="Heading2"/>
        <w:pBdr>
          <w:bottom w:val="single" w:color="E8500A" w:sz="4" w:space="4"/>
        </w:pBdr>
        <w:spacing w:before="360" w:after="120"/>
      </w:pPr>
      <w:r>
        <w:rPr>
          <w:rFonts w:ascii="Arial" w:cs="Arial" w:eastAsia="Arial" w:hAnsi="Arial"/>
          <w:b/>
          <w:bCs/>
          <w:color w:val="1A1A1A"/>
          <w:sz w:val="28"/>
          <w:szCs w:val="28"/>
        </w:rPr>
        <w:t xml:space="preserve">Related Resources</w:t>
      </w:r>
    </w:p>
    <w:p>
      <w:pPr>
        <w:spacing w:before="100" w:after="140"/>
      </w:pPr>
      <w:r>
        <w:rPr>
          <w:rFonts w:ascii="Arial" w:cs="Arial" w:eastAsia="Arial" w:hAnsi="Arial"/>
          <w:color w:val="4A4A4A"/>
          <w:sz w:val="22"/>
          <w:szCs w:val="22"/>
        </w:rPr>
        <w:t xml:space="preserve">Technical reference and supporting content:</w:t>
      </w:r>
    </w:p>
    <w:p>
      <w:pPr>
        <w:spacing w:before="60" w:after="4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What Is a Genset Derate? — </w:t>
      </w:r>
      <w:r>
        <w:rPr>
          <w:rFonts w:ascii="Arial" w:cs="Arial" w:eastAsia="Arial" w:hAnsi="Arial"/>
          <w:color w:val="4A4A4A"/>
          <w:sz w:val="22"/>
          <w:szCs w:val="22"/>
        </w:rPr>
        <w:t xml:space="preserve">mcf.digital/glossary/what-is-genset-derate</w:t>
      </w:r>
    </w:p>
    <w:p>
      <w:pPr>
        <w:pStyle w:val="ListParagraph"/>
        <w:numPr>
          <w:ilvl w:val="0"/>
          <w:numId w:val="2"/>
        </w:numPr>
        <w:spacing w:before="60" w:after="60"/>
      </w:pPr>
      <w:r>
        <w:rPr>
          <w:rFonts w:ascii="Arial" w:cs="Arial" w:eastAsia="Arial" w:hAnsi="Arial"/>
          <w:b/>
          <w:bCs/>
          <w:color w:val="1A1A1A"/>
          <w:sz w:val="22"/>
          <w:szCs w:val="22"/>
        </w:rPr>
        <w:t xml:space="preserve">What Is a Methane Number? Gas Quality and Bitcoin Mining Compatibility — </w:t>
      </w:r>
      <w:r>
        <w:rPr>
          <w:rFonts w:ascii="Arial" w:cs="Arial" w:eastAsia="Arial" w:hAnsi="Arial"/>
          <w:color w:val="4A4A4A"/>
          <w:sz w:val="22"/>
          <w:szCs w:val="22"/>
        </w:rPr>
        <w:t xml:space="preserve">mcf.digital/glossary/what-is-methane-number</w:t>
      </w:r>
    </w:p>
    <w:p>
      <w:pPr>
        <w:pStyle w:val="ListParagraph"/>
        <w:numPr>
          <w:ilvl w:val="0"/>
          <w:numId w:val="2"/>
        </w:numPr>
        <w:spacing w:before="60" w:after="60"/>
      </w:pPr>
      <w:r>
        <w:rPr>
          <w:rFonts w:ascii="Arial" w:cs="Arial" w:eastAsia="Arial" w:hAnsi="Arial"/>
          <w:b/>
          <w:bCs/>
          <w:color w:val="1A1A1A"/>
          <w:sz w:val="22"/>
          <w:szCs w:val="22"/>
        </w:rPr>
        <w:t xml:space="preserve">What Is Gas-to-Hash? — </w:t>
      </w:r>
      <w:r>
        <w:rPr>
          <w:rFonts w:ascii="Arial" w:cs="Arial" w:eastAsia="Arial" w:hAnsi="Arial"/>
          <w:color w:val="4A4A4A"/>
          <w:sz w:val="22"/>
          <w:szCs w:val="22"/>
        </w:rPr>
        <w:t xml:space="preserve">mcf.digital/glossary/gas-to-hash</w:t>
      </w:r>
    </w:p>
    <w:p>
      <w:pPr>
        <w:pStyle w:val="ListParagraph"/>
        <w:numPr>
          <w:ilvl w:val="0"/>
          <w:numId w:val="2"/>
        </w:numPr>
        <w:spacing w:before="60" w:after="60"/>
      </w:pPr>
      <w:r>
        <w:rPr>
          <w:rFonts w:ascii="Arial" w:cs="Arial" w:eastAsia="Arial" w:hAnsi="Arial"/>
          <w:b/>
          <w:bCs/>
          <w:color w:val="1A1A1A"/>
          <w:sz w:val="22"/>
          <w:szCs w:val="22"/>
        </w:rPr>
        <w:t xml:space="preserve">Stranded Gas Bitcoin Mining: When It Pencils and When It Doesn’t — </w:t>
      </w:r>
      <w:r>
        <w:rPr>
          <w:rFonts w:ascii="Arial" w:cs="Arial" w:eastAsia="Arial" w:hAnsi="Arial"/>
          <w:color w:val="4A4A4A"/>
          <w:sz w:val="22"/>
          <w:szCs w:val="22"/>
        </w:rPr>
        <w:t xml:space="preserve">mcf.digital/operator-guides/stranded-gas-bitcoin-mining</w:t>
      </w:r>
    </w:p>
    <w:p>
      <w:pPr>
        <w:pStyle w:val="ListParagraph"/>
        <w:numPr>
          <w:ilvl w:val="0"/>
          <w:numId w:val="2"/>
        </w:numPr>
        <w:spacing w:before="60" w:after="60"/>
      </w:pPr>
      <w:r>
        <w:rPr>
          <w:rFonts w:ascii="Arial" w:cs="Arial" w:eastAsia="Arial" w:hAnsi="Arial"/>
          <w:b/>
          <w:bCs/>
          <w:color w:val="1A1A1A"/>
          <w:sz w:val="22"/>
          <w:szCs w:val="22"/>
        </w:rPr>
        <w:t xml:space="preserve">The Operator’s Due Diligence Checklist for a Gas-to-Hash Deployment — </w:t>
      </w:r>
      <w:r>
        <w:rPr>
          <w:rFonts w:ascii="Arial" w:cs="Arial" w:eastAsia="Arial" w:hAnsi="Arial"/>
          <w:color w:val="4A4A4A"/>
          <w:sz w:val="22"/>
          <w:szCs w:val="22"/>
        </w:rPr>
        <w:t xml:space="preserve">mcf.digital/operator-guides/due-diligence-checklist</w:t>
      </w:r>
    </w:p>
    <w:p>
      <w:pPr>
        <w:pStyle w:val="ListParagraph"/>
        <w:numPr>
          <w:ilvl w:val="0"/>
          <w:numId w:val="2"/>
        </w:numPr>
        <w:spacing w:before="60" w:after="60"/>
      </w:pPr>
      <w:r>
        <w:rPr>
          <w:rFonts w:ascii="Arial" w:cs="Arial" w:eastAsia="Arial" w:hAnsi="Arial"/>
          <w:b/>
          <w:bCs/>
          <w:color w:val="1A1A1A"/>
          <w:sz w:val="22"/>
          <w:szCs w:val="22"/>
        </w:rPr>
        <w:t xml:space="preserve">Commodity Risk, Uptime Risk, and Site Risk: The Three Risk Categories — </w:t>
      </w:r>
      <w:r>
        <w:rPr>
          <w:rFonts w:ascii="Arial" w:cs="Arial" w:eastAsia="Arial" w:hAnsi="Arial"/>
          <w:color w:val="4A4A4A"/>
          <w:sz w:val="22"/>
          <w:szCs w:val="22"/>
        </w:rPr>
        <w:t xml:space="preserve">mcf.digital/operator-guides/three-risk-categories</w:t>
      </w:r>
    </w:p>
    <w:p>
      <w:pPr>
        <w:pStyle w:val="ListParagraph"/>
        <w:numPr>
          <w:ilvl w:val="0"/>
          <w:numId w:val="2"/>
        </w:numPr>
        <w:spacing w:before="60" w:after="60"/>
      </w:pPr>
      <w:r>
        <w:rPr>
          <w:rFonts w:ascii="Arial" w:cs="Arial" w:eastAsia="Arial" w:hAnsi="Arial"/>
          <w:b/>
          <w:bCs/>
          <w:color w:val="1A1A1A"/>
          <w:sz w:val="22"/>
          <w:szCs w:val="22"/>
        </w:rPr>
        <w:t xml:space="preserve">The Complete Guide to Flare Gas Bitcoin Mining — </w:t>
      </w:r>
      <w:r>
        <w:rPr>
          <w:rFonts w:ascii="Arial" w:cs="Arial" w:eastAsia="Arial" w:hAnsi="Arial"/>
          <w:color w:val="4A4A4A"/>
          <w:sz w:val="22"/>
          <w:szCs w:val="22"/>
        </w:rPr>
        <w:t xml:space="preserve">mcf.digital/guides/complete-guide-flare-gas-bitcoin-mining</w:t>
      </w:r>
    </w:p>
    <w:p>
      <w:pPr>
        <w:spacing w:before="200" w:after="100"/>
      </w:pPr>
      <w:r>
        <w:t xml:space="preserve"/>
      </w:r>
    </w:p>
    <w:p>
      <w:pPr>
        <w:pBdr>
          <w:top w:val="single" w:color="DDDDDD" w:sz="4" w:space="4"/>
        </w:pBdr>
        <w:spacing w:before="0" w:after="0"/>
      </w:pPr>
      <w:r>
        <w:rPr>
          <w:sz w:val="20"/>
          <w:szCs w:val="20"/>
        </w:rPr>
        <w:t xml:space="preserve"/>
      </w:r>
    </w:p>
    <w:p>
      <w:pPr>
        <w:spacing w:before="120" w:after="0"/>
      </w:pPr>
      <w:r>
        <w:rPr>
          <w:rFonts w:ascii="Arial" w:cs="Arial" w:eastAsia="Arial" w:hAnsi="Arial"/>
          <w:b/>
          <w:bCs/>
          <w:color w:val="1A1A1A"/>
          <w:sz w:val="20"/>
          <w:szCs w:val="20"/>
        </w:rPr>
        <w:t xml:space="preserve">MCF.digital</w:t>
      </w:r>
      <w:r>
        <w:rPr>
          <w:rFonts w:ascii="Arial" w:cs="Arial" w:eastAsia="Arial" w:hAnsi="Arial"/>
          <w:color w:val="999999"/>
          <w:sz w:val="18"/>
          <w:szCs w:val="18"/>
        </w:rPr>
        <w:t xml:space="preserve">  ·  On-Lease Bitcoin Mining  ·  Flare Gas Monetization  ·  Gas-to-Hash Operator</w:t>
      </w:r>
    </w:p>
    <w:p>
      <w:pPr>
        <w:spacing w:before="60" w:after="0"/>
      </w:pPr>
      <w:r>
        <w:rPr>
          <w:rFonts w:ascii="Arial" w:cs="Arial" w:eastAsia="Arial" w:hAnsi="Arial"/>
          <w:color w:val="BBBBBB"/>
          <w:sz w:val="16"/>
          <w:szCs w:val="16"/>
        </w:rPr>
        <w:t xml:space="preserve">Audience: Production Engineers, Operations Teams, Operators  ·  Category: Pillar Guide  ·  mcf.digital/guides/how-on-lease-power-compute-systems-work</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00A" w:sz="4" w:space="2"/>
      </w:pBdr>
      <w:tabs>
        <w:tab w:val="right" w:pos="9360"/>
      </w:tabs>
      <w:spacing w:before="120" w:after="0"/>
    </w:pPr>
    <w:r>
      <w:rPr>
        <w:rFonts w:ascii="Arial" w:cs="Arial" w:eastAsia="Arial" w:hAnsi="Arial"/>
        <w:color w:val="999999"/>
        <w:sz w:val="18"/>
        <w:szCs w:val="18"/>
      </w:rPr>
      <w:t xml:space="preserve">mcf.digital</w:t>
    </w:r>
    <w:r>
      <w:rPr>
        <w:rFonts w:ascii="Arial" w:cs="Arial" w:eastAsia="Arial" w:hAnsi="Arial"/>
        <w:color w:val="BBBBBB"/>
        <w:sz w:val="18"/>
        <w:szCs w:val="18"/>
      </w:rPr>
      <w:t xml:space="preserve">	mcf.digital/guides/how-on-lease-power-compute-systems-work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0A" w:sz="6" w:space="2"/>
      </w:pBdr>
      <w:spacing w:before="0" w:after="160"/>
    </w:pPr>
    <w:r>
      <w:rPr>
        <w:rFonts w:ascii="Arial" w:cs="Arial" w:eastAsia="Arial" w:hAnsi="Arial"/>
        <w:b/>
        <w:bCs/>
        <w:color w:val="E8500A"/>
        <w:sz w:val="22"/>
        <w:szCs w:val="22"/>
      </w:rPr>
      <w:t xml:space="preserve">MCF</w:t>
    </w:r>
    <w:r>
      <w:rPr>
        <w:rFonts w:ascii="Arial" w:cs="Arial" w:eastAsia="Arial" w:hAnsi="Arial"/>
        <w:b/>
        <w:bCs/>
        <w:color w:val="1A1A1A"/>
        <w:sz w:val="22"/>
        <w:szCs w:val="22"/>
      </w:rPr>
      <w:t xml:space="preserve">.DIGITAL</w:t>
    </w:r>
    <w:r>
      <w:rPr>
        <w:rFonts w:ascii="Arial" w:cs="Arial" w:eastAsia="Arial" w:hAnsi="Arial"/>
        <w:color w:val="999999"/>
        <w:sz w:val="18"/>
        <w:szCs w:val="18"/>
      </w:rPr>
      <w:t xml:space="preserve">   PILLAR GUIDE  |  How On-Lease Power and Compute Systems Work: A Technical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340" w:after="120"/>
      <w:outlineLvl w:val="1"/>
    </w:pPr>
    <w:rPr>
      <w:rFonts w:ascii="Arial" w:cs="Arial" w:eastAsia="Arial" w:hAnsi="Arial"/>
      <w:b/>
      <w:bCs/>
      <w:color w:val="1A1A1A"/>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E850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2026-02-26T22:49:34.447Z</dcterms:created>
  <dcterms:modified xsi:type="dcterms:W3CDTF">2026-02-26T22:49:34.447Z</dcterms:modified>
</cp:coreProperties>
</file>

<file path=docProps/custom.xml><?xml version="1.0" encoding="utf-8"?>
<Properties xmlns="http://schemas.openxmlformats.org/officeDocument/2006/custom-properties" xmlns:vt="http://schemas.openxmlformats.org/officeDocument/2006/docPropsVTypes"/>
</file>