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 + MINERS</w:t>
      </w:r>
    </w:p>
    <w:p>
      <w:pPr>
        <w:spacing w:before="40" w:after="60"/>
      </w:pPr>
      <w:r>
        <w:rPr>
          <w:rFonts w:ascii="Arial" w:cs="Arial" w:eastAsia="Arial" w:hAnsi="Arial"/>
          <w:b/>
          <w:bCs/>
          <w:color w:val="1A1A1A"/>
          <w:sz w:val="52"/>
          <w:szCs w:val="52"/>
        </w:rPr>
        <w:t xml:space="preserve">Why Most Flare Gas</w:t>
      </w:r>
    </w:p>
    <w:p>
      <w:pPr>
        <w:spacing w:before="0" w:after="80"/>
      </w:pPr>
      <w:r>
        <w:rPr>
          <w:rFonts w:ascii="Arial" w:cs="Arial" w:eastAsia="Arial" w:hAnsi="Arial"/>
          <w:b/>
          <w:bCs/>
          <w:color w:val="E8500A"/>
          <w:sz w:val="52"/>
          <w:szCs w:val="52"/>
        </w:rPr>
        <w:t xml:space="preserve">Bitcoin Mining Deals Fail</w:t>
      </w:r>
    </w:p>
    <w:p>
      <w:pPr>
        <w:spacing w:before="0" w:after="60"/>
      </w:pPr>
      <w:r>
        <w:rPr>
          <w:rFonts w:ascii="Arial" w:cs="Arial" w:eastAsia="Arial" w:hAnsi="Arial"/>
          <w:b/>
          <w:bCs/>
          <w:color w:val="1A1A1A"/>
          <w:sz w:val="36"/>
          <w:szCs w:val="36"/>
        </w:rPr>
        <w:t xml:space="preserve">(And How to Avoid It)</w:t>
      </w:r>
    </w:p>
    <w:p>
      <w:pPr>
        <w:spacing w:before="6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CCCCCC"/>
          <w:sz w:val="19"/>
          <w:szCs w:val="19"/>
        </w:rPr>
        <w:t xml:space="preserve">   ·   </w:t>
      </w:r>
      <w:r>
        <w:rPr>
          <w:rFonts w:ascii="Arial" w:cs="Arial" w:eastAsia="Arial" w:hAnsi="Arial"/>
          <w:color w:val="AAAAAA"/>
          <w:sz w:val="19"/>
          <w:szCs w:val="19"/>
        </w:rPr>
        <w:t xml:space="preserve">mcf.digital/articles/why-flare-gas-bitcoin-mining-deals-fail</w:t>
      </w:r>
    </w:p>
    <w:p>
      <w:pPr>
        <w:spacing w:before="200" w:after="0"/>
      </w:pPr>
      <w:r>
        <w:t xml:space="preserve"/>
      </w:r>
    </w:p>
    <w:p>
      <w:pPr>
        <w:spacing w:before="0" w:after="200"/>
      </w:pPr>
      <w:r>
        <w:rPr>
          <w:rFonts w:ascii="Arial" w:cs="Arial" w:eastAsia="Arial" w:hAnsi="Arial"/>
          <w:i/>
          <w:iCs/>
          <w:color w:val="4A4A4A"/>
          <w:sz w:val="25"/>
          <w:szCs w:val="25"/>
        </w:rPr>
        <w:t xml:space="preserve">We’ve seen enough failed gas-to-hash deployments to know they don’t fail for mysterious reasons. They fail for the same four reasons, over and over, across different basins, different operators, and different miners. This is an honest account of what those failures look like—and what it takes to avoid them.</w:t>
      </w:r>
    </w:p>
    <w:p>
      <w:pPr>
        <w:spacing w:before="100" w:after="160"/>
      </w:pPr>
      <w:r>
        <w:rPr>
          <w:rFonts w:ascii="Arial" w:cs="Arial" w:eastAsia="Arial" w:hAnsi="Arial"/>
          <w:color w:val="4A4A4A"/>
          <w:sz w:val="22"/>
          <w:szCs w:val="22"/>
        </w:rPr>
        <w:t xml:space="preserve">The gas-to-hash industry has a credibility problem. Not because the underlying technology doesn’t work—it does. But because a wave of operators entered the space without the engineering discipline or operational depth to execute reliably. The operators who got burned remember it. So do the miners. And the stories spread.</w:t>
      </w:r>
    </w:p>
    <w:p>
      <w:pPr>
        <w:spacing w:before="100" w:after="160"/>
      </w:pPr>
      <w:r>
        <w:rPr>
          <w:rFonts w:ascii="Arial" w:cs="Arial" w:eastAsia="Arial" w:hAnsi="Arial"/>
          <w:color w:val="4A4A4A"/>
          <w:sz w:val="22"/>
          <w:szCs w:val="22"/>
        </w:rPr>
        <w:t xml:space="preserve">We’re not going to tell you gas-to-hash is easy. It isn’t. But it is predictable—which means the failures are preventable, if you know what to look for.</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“The failures aren’t mysterious. They happen for the same four reasons, every time.”</w:t>
            </w:r>
          </w:p>
        </w:tc>
      </w:tr>
    </w:tbl>
    <w:p>
      <w:pPr>
        <w:spacing w:before="160" w:after="80"/>
      </w:pPr>
      <w:r>
        <w:t xml:space="preserve"/>
      </w:r>
    </w:p>
    <w:p>
      <w:pPr>
        <w:spacing w:before="300" w:after="80"/>
      </w:pPr>
      <w:r>
        <w:rPr>
          <w:rFonts w:ascii="Arial" w:cs="Arial" w:eastAsia="Arial" w:hAnsi="Arial"/>
          <w:b/>
          <w:bCs/>
          <w:caps/>
          <w:color w:val="C62828"/>
          <w:sz w:val="18"/>
          <w:szCs w:val="18"/>
        </w:rPr>
        <w:t xml:space="preserve">FAILURE MODE 1   </w:t>
      </w:r>
      <w:r>
        <w:rPr>
          <w:rFonts w:ascii="Arial" w:cs="Arial" w:eastAsia="Arial" w:hAnsi="Arial"/>
          <w:b/>
          <w:bCs/>
          <w:color w:val="1A1A1A"/>
          <w:sz w:val="24"/>
          <w:szCs w:val="24"/>
        </w:rPr>
        <w:t xml:space="preserve">The Genset Was Sized Against Nameplate, Not Derated Output</w:t>
      </w:r>
    </w:p>
    <w:p>
      <w:pPr>
        <w:pBdr>
          <w:bottom w:val="single" w:color="DDBBBB" w:sz="3" w:space="2"/>
        </w:pBdr>
        <w:spacing w:before="0" w:after="120"/>
      </w:pPr>
      <w:r>
        <w:t xml:space="preserve"/>
      </w:r>
    </w:p>
    <w:p>
      <w:pPr>
        <w:spacing w:before="100" w:after="160"/>
      </w:pPr>
      <w:r>
        <w:rPr>
          <w:rFonts w:ascii="Arial" w:cs="Arial" w:eastAsia="Arial" w:hAnsi="Arial"/>
          <w:color w:val="4A4A4A"/>
          <w:sz w:val="22"/>
          <w:szCs w:val="22"/>
        </w:rPr>
        <w:t xml:space="preserve">This is the most common—and most avoidable—failure in gas-to-hash deployments. An operator gets a proposal showing a 500 kW generator and revenue projections based on 500 kW of mining capacity. The generator arrives. It’s installed at a pad sitting at 4,800 feet elevation in the DJ Basin. The ambient temperature in July hits 92°F. The effective output is 385 kW, not 500. Revenue projections were built on a number that was never achievable at that site.</w:t>
      </w:r>
    </w:p>
    <w:p>
      <w:pPr>
        <w:spacing w:before="100" w:after="160"/>
      </w:pPr>
      <w:r>
        <w:rPr>
          <w:rFonts w:ascii="Arial" w:cs="Arial" w:eastAsia="Arial" w:hAnsi="Arial"/>
          <w:color w:val="4A4A4A"/>
          <w:sz w:val="22"/>
          <w:szCs w:val="22"/>
        </w:rPr>
        <w:t xml:space="preserve">Altitude derate reduces gas genset output by approximately 3–4% per 1,000 feet above sea level. Temperature derate adds another 0.5–1% per 10°F above 77°F. Both factors compound. A genset that “pencils” at nameplate and fails at derated output is not a bad genset—it’s a badly specified deployment. The error happened on paper, before any equipment was ordered.</w:t>
      </w:r>
    </w:p>
    <w:p>
      <w:pPr>
        <w:spacing w:before="100" w:after="160"/>
      </w:pPr>
      <w:r>
        <w:rPr>
          <w:rFonts w:ascii="Arial" w:cs="Arial" w:eastAsia="Arial" w:hAnsi="Arial"/>
          <w:color w:val="4A4A4A"/>
          <w:sz w:val="22"/>
          <w:szCs w:val="22"/>
        </w:rPr>
        <w:t xml:space="preserve">We’ve also seen the reverse: an operator who applied derate but used average annual temperature instead of peak summer. The system hits its projections for eight months of the year and runs 12–18% below projections during the Permian summer. Nobody told the operator in advance.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8"/>
              <w:bottom w:val="none" w:color="FFFFFF" w:sz="0"/>
              <w:right w:val="none" w:color="FFFFFF" w:sz="0"/>
            </w:tcBorders>
            <w:shd w:fill="EAF5EA" w:val="clear"/>
            <w:tcMar>
              <w:top w:type="dxa" w:w="120"/>
              <w:left w:type="dxa" w:w="200"/>
              <w:bottom w:type="dxa" w:w="120"/>
              <w:right w:type="dxa" w:w="200"/>
            </w:tcMar>
          </w:tcPr>
          <w:p>
            <w:r>
              <w:rPr>
                <w:rFonts w:ascii="Arial" w:cs="Arial" w:eastAsia="Arial" w:hAnsi="Arial"/>
                <w:b/>
                <w:bCs/>
                <w:color w:val="2E7D32"/>
                <w:sz w:val="21"/>
                <w:szCs w:val="21"/>
              </w:rPr>
              <w:t xml:space="preserve">What we do instead:  </w:t>
            </w:r>
            <w:r>
              <w:rPr>
                <w:rFonts w:ascii="Arial" w:cs="Arial" w:eastAsia="Arial" w:hAnsi="Arial"/>
                <w:color w:val="4A4A4A"/>
                <w:sz w:val="21"/>
                <w:szCs w:val="21"/>
              </w:rPr>
              <w:t xml:space="preserve">Every MCF.digital proposal uses derate-adjusted capacity as the basis for all revenue projections. Altitude is confirmed from GPS coordinates. Temperature derate is applied using peak summer conditions for the specific basin, not annual averages. The proposal shows effective kW, not nameplate kW. If those numbers don’t match what you’ve been told elsewhere, ask why.</w:t>
            </w:r>
          </w:p>
        </w:tc>
      </w:tr>
    </w:tbl>
    <w:p>
      <w:pPr>
        <w:spacing w:before="200" w:after="80"/>
      </w:pPr>
      <w:r>
        <w:t xml:space="preserve"/>
      </w:r>
    </w:p>
    <w:p>
      <w:pPr>
        <w:spacing w:before="300" w:after="80"/>
      </w:pPr>
      <w:r>
        <w:rPr>
          <w:rFonts w:ascii="Arial" w:cs="Arial" w:eastAsia="Arial" w:hAnsi="Arial"/>
          <w:b/>
          <w:bCs/>
          <w:caps/>
          <w:color w:val="C62828"/>
          <w:sz w:val="18"/>
          <w:szCs w:val="18"/>
        </w:rPr>
        <w:t xml:space="preserve">FAILURE MODE 2   </w:t>
      </w:r>
      <w:r>
        <w:rPr>
          <w:rFonts w:ascii="Arial" w:cs="Arial" w:eastAsia="Arial" w:hAnsi="Arial"/>
          <w:b/>
          <w:bCs/>
          <w:color w:val="1A1A1A"/>
          <w:sz w:val="24"/>
          <w:szCs w:val="24"/>
        </w:rPr>
        <w:t xml:space="preserve">The Gas Analysis Was Stale, Assumed, or Never Done</w:t>
      </w:r>
    </w:p>
    <w:p>
      <w:pPr>
        <w:pBdr>
          <w:bottom w:val="single" w:color="DDBBBB" w:sz="3" w:space="2"/>
        </w:pBdr>
        <w:spacing w:before="0" w:after="120"/>
      </w:pPr>
      <w:r>
        <w:t xml:space="preserve"/>
      </w:r>
    </w:p>
    <w:p>
      <w:pPr>
        <w:spacing w:before="100" w:after="160"/>
      </w:pPr>
      <w:r>
        <w:rPr>
          <w:rFonts w:ascii="Arial" w:cs="Arial" w:eastAsia="Arial" w:hAnsi="Arial"/>
          <w:color w:val="4A4A4A"/>
          <w:sz w:val="22"/>
          <w:szCs w:val="22"/>
        </w:rPr>
        <w:t xml:space="preserve">Gas quality determines genset compatibility. Methane number, BTU content, H2S concentration, and CO2 levels are not constants—they vary across formations, change as wells age, and differ meaningfully between adjacent pads in the same basin. A gas analysis done three years ago, or an analysis from a nearby well assumed to apply to this one, is not a gas analysis. It’s a guess.</w:t>
      </w:r>
    </w:p>
    <w:p>
      <w:pPr>
        <w:spacing w:before="100" w:after="160"/>
      </w:pPr>
      <w:r>
        <w:rPr>
          <w:rFonts w:ascii="Arial" w:cs="Arial" w:eastAsia="Arial" w:hAnsi="Arial"/>
          <w:color w:val="4A4A4A"/>
          <w:sz w:val="22"/>
          <w:szCs w:val="22"/>
        </w:rPr>
        <w:t xml:space="preserve">The consequences of a wrong assumption are equipment-level. A genset operating on gas below its rated methane number suffers piston knock. Run it long enough on bad fuel and you’re looking at valve seat damage, piston crown failure, or rod bearing damage. None of that is covered under warranty when the root cause is fuel quality the operator didn’t disclose. We’ve seen “turnkey” deals where the miner’s contractor skipped the gas analysis entirely because the operator said the gas “looked fine.” Those deployments failed within 60–90 days.</w:t>
      </w:r>
    </w:p>
    <w:p>
      <w:pPr>
        <w:spacing w:before="100" w:after="160"/>
      </w:pPr>
      <w:r>
        <w:rPr>
          <w:rFonts w:ascii="Arial" w:cs="Arial" w:eastAsia="Arial" w:hAnsi="Arial"/>
          <w:color w:val="4A4A4A"/>
          <w:sz w:val="22"/>
          <w:szCs w:val="22"/>
        </w:rPr>
        <w:t xml:space="preserve">H2S is the other gas quality failure mode. At concentrations above 100 ppm, standard genset lubricants break down rapidly—leading to accelerated engine wear and failed seals. Above 500 ppm, without active sweetening, equipment damage is a matter of when, not if. H2S concentrations are not always disclosed voluntarily. They need to be measured.</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8"/>
              <w:bottom w:val="none" w:color="FFFFFF" w:sz="0"/>
              <w:right w:val="none" w:color="FFFFFF" w:sz="0"/>
            </w:tcBorders>
            <w:shd w:fill="EAF5EA" w:val="clear"/>
            <w:tcMar>
              <w:top w:type="dxa" w:w="120"/>
              <w:left w:type="dxa" w:w="200"/>
              <w:bottom w:type="dxa" w:w="120"/>
              <w:right w:type="dxa" w:w="200"/>
            </w:tcMar>
          </w:tcPr>
          <w:p>
            <w:r>
              <w:rPr>
                <w:rFonts w:ascii="Arial" w:cs="Arial" w:eastAsia="Arial" w:hAnsi="Arial"/>
                <w:b/>
                <w:bCs/>
                <w:color w:val="2E7D32"/>
                <w:sz w:val="21"/>
                <w:szCs w:val="21"/>
              </w:rPr>
              <w:t xml:space="preserve">What we do instead:  </w:t>
            </w:r>
            <w:r>
              <w:rPr>
                <w:rFonts w:ascii="Arial" w:cs="Arial" w:eastAsia="Arial" w:hAnsi="Arial"/>
                <w:color w:val="4A4A4A"/>
                <w:sz w:val="21"/>
                <w:szCs w:val="21"/>
              </w:rPr>
              <w:t xml:space="preserve">Gas analysis within 90 days is a non-negotiable prerequisite for any MCF.digital deployment proposal. Full compositional analysis: BTU, methane percentage, C2+ breakdown, H2S, CO2, nitrogen. We specify the genset against that analysis. If the analysis reveals a methane number or H2S level that changes the equipment spec or the economics, we tell you before you’ve committed to anything.</w:t>
            </w:r>
          </w:p>
        </w:tc>
      </w:tr>
    </w:tbl>
    <w:p>
      <w:pPr>
        <w:spacing w:before="200" w:after="80"/>
      </w:pPr>
      <w:r>
        <w:t xml:space="preserve"/>
      </w:r>
    </w:p>
    <w:p>
      <w:pPr>
        <w:spacing w:before="300" w:after="80"/>
      </w:pPr>
      <w:r>
        <w:rPr>
          <w:rFonts w:ascii="Arial" w:cs="Arial" w:eastAsia="Arial" w:hAnsi="Arial"/>
          <w:b/>
          <w:bCs/>
          <w:caps/>
          <w:color w:val="C62828"/>
          <w:sz w:val="18"/>
          <w:szCs w:val="18"/>
        </w:rPr>
        <w:t xml:space="preserve">FAILURE MODE 3   </w:t>
      </w:r>
      <w:r>
        <w:rPr>
          <w:rFonts w:ascii="Arial" w:cs="Arial" w:eastAsia="Arial" w:hAnsi="Arial"/>
          <w:b/>
          <w:bCs/>
          <w:color w:val="1A1A1A"/>
          <w:sz w:val="24"/>
          <w:szCs w:val="24"/>
        </w:rPr>
        <w:t xml:space="preserve">The Operator Walked Away from the Lease</w:t>
      </w:r>
    </w:p>
    <w:p>
      <w:pPr>
        <w:pBdr>
          <w:bottom w:val="single" w:color="DDBBBB" w:sz="3" w:space="2"/>
        </w:pBdr>
        <w:spacing w:before="0" w:after="120"/>
      </w:pPr>
      <w:r>
        <w:t xml:space="preserve"/>
      </w:r>
    </w:p>
    <w:p>
      <w:pPr>
        <w:spacing w:before="100" w:after="160"/>
      </w:pPr>
      <w:r>
        <w:rPr>
          <w:rFonts w:ascii="Arial" w:cs="Arial" w:eastAsia="Arial" w:hAnsi="Arial"/>
          <w:color w:val="4A4A4A"/>
          <w:sz w:val="22"/>
          <w:szCs w:val="22"/>
        </w:rPr>
        <w:t xml:space="preserve">This one is less talked about because it reflects poorly on operators, not miners. But it happens. An operator signs a gas-to-hash deployment agreement, the miner installs $400,000 worth of equipment, and then the operator sells the acreage, terminates the lease, or simply stops cooperating with site access within 12–18 months. The miner’s equipment is stranded. The exit provisions in the original agreement—if there were any—don’t contemplate the specific situation. Lawyers get involved. Nobody wins.</w:t>
      </w:r>
    </w:p>
    <w:p>
      <w:pPr>
        <w:spacing w:before="100" w:after="160"/>
      </w:pPr>
      <w:r>
        <w:rPr>
          <w:rFonts w:ascii="Arial" w:cs="Arial" w:eastAsia="Arial" w:hAnsi="Arial"/>
          <w:color w:val="4A4A4A"/>
          <w:sz w:val="22"/>
          <w:szCs w:val="22"/>
        </w:rPr>
        <w:t xml:space="preserve">The specific failure modes we’ve seen: operators who deployed on month-to-month leases they didn’t own outright; operators who were in financial distress and needed the deployment cash flow to make lease payments; operators who signed agreements without their CFO’s awareness, discovered a problem, and exited under the first available pretext. These are not hypotheticals.</w:t>
      </w:r>
    </w:p>
    <w:p>
      <w:pPr>
        <w:spacing w:before="100" w:after="160"/>
      </w:pPr>
      <w:r>
        <w:rPr>
          <w:rFonts w:ascii="Arial" w:cs="Arial" w:eastAsia="Arial" w:hAnsi="Arial"/>
          <w:color w:val="4A4A4A"/>
          <w:sz w:val="22"/>
          <w:szCs w:val="22"/>
        </w:rPr>
        <w:t xml:space="preserve">From a miner’s perspective, the operator is the single most concentrated counterparty risk in the deployment. You can spec the genset correctly, run great gas analysis, and execute a flawless installation—and still lose your return if the operator is unreliable or the lease situation is unstable.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8"/>
              <w:bottom w:val="none" w:color="FFFFFF" w:sz="0"/>
              <w:right w:val="none" w:color="FFFFFF" w:sz="0"/>
            </w:tcBorders>
            <w:shd w:fill="EAF5EA" w:val="clear"/>
            <w:tcMar>
              <w:top w:type="dxa" w:w="120"/>
              <w:left w:type="dxa" w:w="200"/>
              <w:bottom w:type="dxa" w:w="120"/>
              <w:right w:type="dxa" w:w="200"/>
            </w:tcMar>
          </w:tcPr>
          <w:p>
            <w:r>
              <w:rPr>
                <w:rFonts w:ascii="Arial" w:cs="Arial" w:eastAsia="Arial" w:hAnsi="Arial"/>
                <w:b/>
                <w:bCs/>
                <w:color w:val="2E7D32"/>
                <w:sz w:val="21"/>
                <w:szCs w:val="21"/>
              </w:rPr>
              <w:t xml:space="preserve">What we do instead:  </w:t>
            </w:r>
            <w:r>
              <w:rPr>
                <w:rFonts w:ascii="Arial" w:cs="Arial" w:eastAsia="Arial" w:hAnsi="Arial"/>
                <w:color w:val="4A4A4A"/>
                <w:sz w:val="21"/>
                <w:szCs w:val="21"/>
              </w:rPr>
              <w:t xml:space="preserve">Before any MCF.digital deployment, we verify the surface lease term, confirm the operator’s ownership or contractual rights to the pad, and require documentation of the lease expiration and any extension options. Deployment terms are matched to confirmed lease remaining—we don’t deploy on a 24-month agreement for a pad with 14 months of confirmed lease. We also structure the deployment agreement with explicit curtailment notice periods, equipment removal timelines, and compensation terms—so that if a site does need to be wound down, there’s a defined process rather than a dispute.</w:t>
            </w:r>
          </w:p>
        </w:tc>
      </w:tr>
    </w:tbl>
    <w:p>
      <w:pPr>
        <w:spacing w:before="200" w:after="80"/>
      </w:pPr>
      <w:r>
        <w:t xml:space="preserve"/>
      </w:r>
    </w:p>
    <w:p>
      <w:pPr>
        <w:spacing w:before="300" w:after="80"/>
      </w:pPr>
      <w:r>
        <w:rPr>
          <w:rFonts w:ascii="Arial" w:cs="Arial" w:eastAsia="Arial" w:hAnsi="Arial"/>
          <w:b/>
          <w:bCs/>
          <w:caps/>
          <w:color w:val="C62828"/>
          <w:sz w:val="18"/>
          <w:szCs w:val="18"/>
        </w:rPr>
        <w:t xml:space="preserve">FAILURE MODE 4   </w:t>
      </w:r>
      <w:r>
        <w:rPr>
          <w:rFonts w:ascii="Arial" w:cs="Arial" w:eastAsia="Arial" w:hAnsi="Arial"/>
          <w:b/>
          <w:bCs/>
          <w:color w:val="1A1A1A"/>
          <w:sz w:val="24"/>
          <w:szCs w:val="24"/>
        </w:rPr>
        <w:t xml:space="preserve">The Miner Promised a Timeline They Couldn’t Keep</w:t>
      </w:r>
    </w:p>
    <w:p>
      <w:pPr>
        <w:pBdr>
          <w:bottom w:val="single" w:color="DDBBBB" w:sz="3" w:space="2"/>
        </w:pBdr>
        <w:spacing w:before="0" w:after="120"/>
      </w:pPr>
      <w:r>
        <w:t xml:space="preserve"/>
      </w:r>
    </w:p>
    <w:p>
      <w:pPr>
        <w:spacing w:before="100" w:after="160"/>
      </w:pPr>
      <w:r>
        <w:rPr>
          <w:rFonts w:ascii="Arial" w:cs="Arial" w:eastAsia="Arial" w:hAnsi="Arial"/>
          <w:color w:val="4A4A4A"/>
          <w:sz w:val="22"/>
          <w:szCs w:val="22"/>
        </w:rPr>
        <w:t xml:space="preserve">On the other side of the table: miners—or companies presenting themselves as miners—who promise 4–6 week deployment timelines, collect advance payments or favorable deal terms on the basis of that promise, and then deliver in 16–20 weeks. Or don’t deliver at all.</w:t>
      </w:r>
    </w:p>
    <w:p>
      <w:pPr>
        <w:spacing w:before="100" w:after="160"/>
      </w:pPr>
      <w:r>
        <w:rPr>
          <w:rFonts w:ascii="Arial" w:cs="Arial" w:eastAsia="Arial" w:hAnsi="Arial"/>
          <w:color w:val="4A4A4A"/>
          <w:sz w:val="22"/>
          <w:szCs w:val="22"/>
        </w:rPr>
        <w:t xml:space="preserve">The timeline failure usually has one of three root causes. The first is equipment: the miner didn’t have ASICs or generators in inventory and was banking on a supply chain that didn’t cooperate. The second is permitting: air quality permits in states like Colorado take 4–8 weeks and cannot be rushed. A miner who promises a “30-day turnkey” in Colorado hasn’t accounted for the APEN process. The third is just a sales problem: the timeline was a sales tool, not a commitment backed by execution planning.</w:t>
      </w:r>
    </w:p>
    <w:p>
      <w:pPr>
        <w:spacing w:before="100" w:after="160"/>
      </w:pPr>
      <w:r>
        <w:rPr>
          <w:rFonts w:ascii="Arial" w:cs="Arial" w:eastAsia="Arial" w:hAnsi="Arial"/>
          <w:color w:val="4A4A4A"/>
          <w:sz w:val="22"/>
          <w:szCs w:val="22"/>
        </w:rPr>
        <w:t xml:space="preserve">For operators, a delayed deployment has real costs. If you’re under a flaring compliance deadline—an NDIC variance expiring, an EPA methane fee accumulating—every week of delay has a dollar value. The miner who promised eight weeks and delivered twenty didn’t just inconvenience you. They cost you money.</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8"/>
              <w:bottom w:val="none" w:color="FFFFFF" w:sz="0"/>
              <w:right w:val="none" w:color="FFFFFF" w:sz="0"/>
            </w:tcBorders>
            <w:shd w:fill="EAF5EA" w:val="clear"/>
            <w:tcMar>
              <w:top w:type="dxa" w:w="120"/>
              <w:left w:type="dxa" w:w="200"/>
              <w:bottom w:type="dxa" w:w="120"/>
              <w:right w:type="dxa" w:w="200"/>
            </w:tcMar>
          </w:tcPr>
          <w:p>
            <w:r>
              <w:rPr>
                <w:rFonts w:ascii="Arial" w:cs="Arial" w:eastAsia="Arial" w:hAnsi="Arial"/>
                <w:b/>
                <w:bCs/>
                <w:color w:val="2E7D32"/>
                <w:sz w:val="21"/>
                <w:szCs w:val="21"/>
              </w:rPr>
              <w:t xml:space="preserve">What we do instead:  </w:t>
            </w:r>
            <w:r>
              <w:rPr>
                <w:rFonts w:ascii="Arial" w:cs="Arial" w:eastAsia="Arial" w:hAnsi="Arial"/>
                <w:color w:val="4A4A4A"/>
                <w:sz w:val="21"/>
                <w:szCs w:val="21"/>
              </w:rPr>
              <w:t xml:space="preserve">MCF.digital publishes a deployment timeline that accounts for permit lead time by state, equipment procurement from current inventory, site preparation, and commissioning. We don’t quote a timeline we can’t support with a procurement schedule. If a permit creates a bottleneck, we tell you in the proposal—not after you’ve signed. And we start permits in parallel with site evaluation, not sequentially after a deal is signed.</w:t>
            </w:r>
          </w:p>
        </w:tc>
      </w:tr>
    </w:tbl>
    <w:p>
      <w:pPr>
        <w:spacing w:before="180" w:after="100"/>
      </w:pPr>
      <w:r>
        <w:t xml:space="preserve"/>
      </w:r>
    </w:p>
    <w:p>
      <w:pPr>
        <w:pStyle w:val="Heading2"/>
        <w:pBdr>
          <w:bottom w:val="single" w:color="E8500A" w:sz="4" w:space="4"/>
        </w:pBdr>
        <w:spacing w:before="340" w:after="100"/>
      </w:pPr>
      <w:r>
        <w:rPr>
          <w:rFonts w:ascii="Arial" w:cs="Arial" w:eastAsia="Arial" w:hAnsi="Arial"/>
          <w:b/>
          <w:bCs/>
          <w:color w:val="1A1A1A"/>
          <w:sz w:val="26"/>
          <w:szCs w:val="26"/>
        </w:rPr>
        <w:t xml:space="preserve">What This Means for Operators Evaluating a Deal</w:t>
      </w:r>
    </w:p>
    <w:p>
      <w:pPr>
        <w:spacing w:before="100" w:after="160"/>
      </w:pPr>
      <w:r>
        <w:rPr>
          <w:rFonts w:ascii="Arial" w:cs="Arial" w:eastAsia="Arial" w:hAnsi="Arial"/>
          <w:color w:val="4A4A4A"/>
          <w:sz w:val="22"/>
          <w:szCs w:val="22"/>
        </w:rPr>
        <w:t xml:space="preserve">These four failure modes have a common thread: they were all knowable in advance. Derate calculations are arithmetic. Gas analysis is a laboratory service that costs a few hundred dollars. Lease documentation is a standard due diligence step. Deployment timelines are verifiable against permit lead times and equipment inventory.</w:t>
      </w:r>
    </w:p>
    <w:p>
      <w:pPr>
        <w:spacing w:before="100" w:after="160"/>
      </w:pPr>
      <w:r>
        <w:rPr>
          <w:rFonts w:ascii="Arial" w:cs="Arial" w:eastAsia="Arial" w:hAnsi="Arial"/>
          <w:color w:val="4A4A4A"/>
          <w:sz w:val="22"/>
          <w:szCs w:val="22"/>
        </w:rPr>
        <w:t xml:space="preserve">None of these failures require hindsight to prevent. They require an operator who asks the right questions and a miner who answers them honestly—in writing, before any money changes hands.</w:t>
      </w:r>
    </w:p>
    <w:p>
      <w:pPr>
        <w:spacing w:before="100" w:after="160"/>
      </w:pPr>
      <w:r>
        <w:rPr>
          <w:rFonts w:ascii="Arial" w:cs="Arial" w:eastAsia="Arial" w:hAnsi="Arial"/>
          <w:color w:val="4A4A4A"/>
          <w:sz w:val="22"/>
          <w:szCs w:val="22"/>
        </w:rPr>
        <w:t xml:space="preserve">When you’re evaluating a gas-to-hash proposal, ask for the derated capacity figure. Ask for the gas analysis the proposal is based on and when it was taken. Ask to see the permit pathway and the deployment timeline broken down by step. Ask for references from operators on currently operating pads—not completed deployments, pads that are running right now.</w:t>
      </w:r>
    </w:p>
    <w:p>
      <w:pPr>
        <w:spacing w:before="100" w:after="160"/>
      </w:pPr>
      <w:r>
        <w:rPr>
          <w:rFonts w:ascii="Arial" w:cs="Arial" w:eastAsia="Arial" w:hAnsi="Arial"/>
          <w:b/>
          <w:bCs/>
          <w:color w:val="1A1A1A"/>
          <w:sz w:val="22"/>
          <w:szCs w:val="22"/>
        </w:rPr>
        <w:t xml:space="preserve">If the answers are vague, or if the proposal doesn’t address these questions at all, that’s your answer.</w:t>
      </w:r>
    </w:p>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6"/>
                <w:szCs w:val="26"/>
              </w:rPr>
              <w:t xml:space="preserve">Evaluate a deployment the right way.</w:t>
            </w:r>
          </w:p>
          <w:p>
            <w:pPr>
              <w:spacing w:before="0" w:after="100"/>
              <w:jc w:val="center"/>
            </w:pPr>
            <w:r>
              <w:rPr>
                <w:rFonts w:ascii="Arial" w:cs="Arial" w:eastAsia="Arial" w:hAnsi="Arial"/>
                <w:color w:val="BBBBBB"/>
                <w:sz w:val="21"/>
                <w:szCs w:val="21"/>
              </w:rPr>
              <w:t xml:space="preserve">Run your gas volume, site conditions, and risk profile through our site calculator. Book a fit call and we’ll walk through every failure mode above—applied to your specific pad.</w:t>
            </w:r>
          </w:p>
          <w:p>
            <w:pPr>
              <w:spacing w:before="0" w:after="0"/>
              <w:jc w:val="center"/>
            </w:pPr>
            <w:r>
              <w:rPr>
                <w:rFonts w:ascii="Arial" w:cs="Arial" w:eastAsia="Arial" w:hAnsi="Arial"/>
                <w:b/>
                <w:bCs/>
                <w:color w:val="E8500A"/>
                <w:sz w:val="24"/>
                <w:szCs w:val="24"/>
              </w:rPr>
              <w:t xml:space="preserve">tools.mcf.digital</w:t>
            </w:r>
            <w:r>
              <w:rPr>
                <w:rFonts w:ascii="Arial" w:cs="Arial" w:eastAsia="Arial" w:hAnsi="Arial"/>
                <w:color w:val="E8500A"/>
                <w:sz w:val="22"/>
                <w:szCs w:val="22"/>
              </w:rPr>
              <w:t xml:space="preserve">   ·   Book a 15-minute fit call</w:t>
            </w:r>
          </w:p>
        </w:tc>
      </w:tr>
    </w:tbl>
    <w:p>
      <w:pPr>
        <w:spacing w:before="200" w:after="10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The Operator’s Due Diligence Checklist for a Gas-to-Hash Deployment — mcf.digital/operator-guides/due-diligence-checklist</w:t>
      </w:r>
    </w:p>
    <w:p>
      <w:pPr>
        <w:pStyle w:val="ListParagraph"/>
        <w:numPr>
          <w:ilvl w:val="0"/>
          <w:numId w:val="2"/>
        </w:numPr>
        <w:spacing w:before="40" w:after="40"/>
      </w:pPr>
      <w:r>
        <w:rPr>
          <w:rFonts w:ascii="Arial" w:cs="Arial" w:eastAsia="Arial" w:hAnsi="Arial"/>
          <w:color w:val="666666"/>
          <w:sz w:val="20"/>
          <w:szCs w:val="20"/>
        </w:rPr>
        <w:t xml:space="preserve">What Is a Genset Derate? — mcf.digital/glossary/what-is-genset-derate</w:t>
      </w:r>
    </w:p>
    <w:p>
      <w:pPr>
        <w:pStyle w:val="ListParagraph"/>
        <w:numPr>
          <w:ilvl w:val="0"/>
          <w:numId w:val="2"/>
        </w:numPr>
        <w:spacing w:before="40" w:after="40"/>
      </w:pPr>
      <w:r>
        <w:rPr>
          <w:rFonts w:ascii="Arial" w:cs="Arial" w:eastAsia="Arial" w:hAnsi="Arial"/>
          <w:color w:val="666666"/>
          <w:sz w:val="20"/>
          <w:szCs w:val="20"/>
        </w:rPr>
        <w:t xml:space="preserve">What Is a Methane Number? — mcf.digital/glossary/what-is-methane-number</w:t>
      </w:r>
    </w:p>
    <w:p>
      <w:pPr>
        <w:pStyle w:val="ListParagraph"/>
        <w:numPr>
          <w:ilvl w:val="0"/>
          <w:numId w:val="2"/>
        </w:numPr>
        <w:spacing w:before="40" w:after="40"/>
      </w:pPr>
      <w:r>
        <w:rPr>
          <w:rFonts w:ascii="Arial" w:cs="Arial" w:eastAsia="Arial" w:hAnsi="Arial"/>
          <w:color w:val="666666"/>
          <w:sz w:val="20"/>
          <w:szCs w:val="20"/>
        </w:rPr>
        <w:t xml:space="preserve">Commodity Risk, Uptime Risk, and Site Risk — mcf.digital/operator-guides/three-risk-categories</w:t>
      </w:r>
    </w:p>
    <w:p>
      <w:pPr>
        <w:spacing w:before="12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Miners  ·  Category: Thought Leadership  ·  mcf.digital/articles/why-flare-gas-bitcoin-mining-deals-fail</w:t>
      </w:r>
    </w:p>
    <w:sectPr>
      <w:headerReference w:type="default" r:id="rId6"/>
      <w:footerReference w:type="default" r:id="rId7"/>
      <w:pgSz w:w="12240" w:h="15840" w:orient="portrait"/>
      <w:pgMar w:top="1080" w:right="1800" w:bottom="108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64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mcf.digital/articles/why-flare-gas-bitcoin-mining-deals-fail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Why Most Flare Gas Bitcoin Mining Deals Fail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2026-02-26T23:36:54.568Z</dcterms:created>
  <dcterms:modified xsi:type="dcterms:W3CDTF">2026-02-26T23:36:54.570Z</dcterms:modified>
</cp:coreProperties>
</file>

<file path=docProps/custom.xml><?xml version="1.0" encoding="utf-8"?>
<Properties xmlns="http://schemas.openxmlformats.org/officeDocument/2006/custom-properties" xmlns:vt="http://schemas.openxmlformats.org/officeDocument/2006/docPropsVTypes"/>
</file>