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caps/>
          <w:color w:val="AAAAAA"/>
          <w:sz w:val="17"/>
          <w:szCs w:val="17"/>
        </w:rPr>
        <w:t xml:space="preserve">THOUGHT LEADERSHIP  //  OPERATORS</w:t>
      </w:r>
    </w:p>
    <w:p>
      <w:pPr>
        <w:spacing w:before="40" w:after="80"/>
      </w:pPr>
      <w:r>
        <w:rPr>
          <w:rFonts w:ascii="Arial" w:cs="Arial" w:eastAsia="Arial" w:hAnsi="Arial"/>
          <w:b/>
          <w:bCs/>
          <w:color w:val="1A1A1A"/>
          <w:sz w:val="56"/>
          <w:szCs w:val="56"/>
        </w:rPr>
        <w:t xml:space="preserve">Should You</w:t>
      </w:r>
    </w:p>
    <w:p>
      <w:pPr>
        <w:spacing w:before="0" w:after="80"/>
      </w:pPr>
      <w:r>
        <w:rPr>
          <w:rFonts w:ascii="Arial" w:cs="Arial" w:eastAsia="Arial" w:hAnsi="Arial"/>
          <w:b/>
          <w:bCs/>
          <w:color w:val="E8500A"/>
          <w:sz w:val="56"/>
          <w:szCs w:val="56"/>
        </w:rPr>
        <w:t xml:space="preserve">Bypass Midstream?</w:t>
      </w:r>
    </w:p>
    <w:p>
      <w:pPr>
        <w:spacing w:before="40" w:after="0"/>
      </w:pPr>
      <w:r>
        <w:t xml:space="preserve"/>
      </w:r>
    </w:p>
    <w:p>
      <w:pPr>
        <w:pBdr>
          <w:bottom w:val="single" w:color="E0E0E0" w:sz="2" w:space="8"/>
        </w:pBdr>
        <w:spacing w:before="0" w:after="0"/>
      </w:pPr>
      <w:r>
        <w:rPr>
          <w:rFonts w:ascii="Arial" w:cs="Arial" w:eastAsia="Arial" w:hAnsi="Arial"/>
          <w:b/>
          <w:bCs/>
          <w:color w:val="E8500A"/>
          <w:sz w:val="19"/>
          <w:szCs w:val="19"/>
        </w:rPr>
        <w:t xml:space="preserve">By MCF.digital Operations Team</w:t>
      </w:r>
      <w:r>
        <w:rPr>
          <w:rFonts w:ascii="Arial" w:cs="Arial" w:eastAsia="Arial" w:hAnsi="Arial"/>
          <w:color w:val="AAAAAA"/>
          <w:sz w:val="19"/>
          <w:szCs w:val="19"/>
        </w:rPr>
        <w:t xml:space="preserve">   ·   mcf.digital/articles/should-you-bypass-midstream</w:t>
      </w:r>
    </w:p>
    <w:p>
      <w:pPr>
        <w:spacing w:before="200" w:after="0"/>
      </w:pPr>
      <w:r>
        <w:t xml:space="preserve"/>
      </w:r>
    </w:p>
    <w:p>
      <w:pPr>
        <w:spacing w:before="0" w:after="220"/>
      </w:pPr>
      <w:r>
        <w:rPr>
          <w:rFonts w:ascii="Arial" w:cs="Arial" w:eastAsia="Arial" w:hAnsi="Arial"/>
          <w:i/>
          <w:iCs/>
          <w:color w:val="4A4A4A"/>
          <w:sz w:val="25"/>
          <w:szCs w:val="25"/>
        </w:rPr>
        <w:t xml:space="preserve">That’s the actual question. Not “how do I improve my netback,” not “what are the alternatives to midstream”—just: should I be looking at this at all? The answer depends on your specific situation, not on a general argument about midstream economics. Here’s how to know which side of the line you’re on.</w:t>
      </w:r>
    </w:p>
    <w:p>
      <w:pPr>
        <w:spacing w:before="100" w:after="160"/>
      </w:pPr>
      <w:r>
        <w:rPr>
          <w:rFonts w:ascii="Arial" w:cs="Arial" w:eastAsia="Arial" w:hAnsi="Arial"/>
          <w:color w:val="4A4A4A"/>
          <w:sz w:val="22"/>
          <w:szCs w:val="22"/>
        </w:rPr>
        <w:t xml:space="preserve">This is not a piece about why midstream contracts compress margins. We’ve covered that. This is the decision piece: the three situations where bypassing midstream for specific volumes makes economic sense, and the two where it doesn’t. Five scenarios. Yours is probably one of them.</w:t>
      </w:r>
    </w:p>
    <w:p>
      <w:pPr>
        <w:spacing w:before="120" w:after="80"/>
      </w:pPr>
      <w:r>
        <w:t xml:space="preserve"/>
      </w:r>
    </w:p>
    <w:p>
      <w:pPr>
        <w:spacing w:before="0" w:after="100"/>
      </w:pPr>
      <w:r>
        <w:rPr>
          <w:rFonts w:ascii="Arial" w:cs="Arial" w:eastAsia="Arial" w:hAnsi="Arial"/>
          <w:b/>
          <w:bCs/>
          <w:color w:val="2E7D32"/>
          <w:sz w:val="30"/>
          <w:szCs w:val="30"/>
        </w:rPr>
        <w:t xml:space="preserve">✓  Three Scenarios Where </w:t>
      </w:r>
      <w:r>
        <w:rPr>
          <w:rFonts w:ascii="Arial" w:cs="Arial" w:eastAsia="Arial" w:hAnsi="Arial"/>
          <w:b/>
          <w:bCs/>
          <w:color w:val="1A1A1A"/>
          <w:sz w:val="30"/>
          <w:szCs w:val="30"/>
        </w:rPr>
        <w:t xml:space="preserve">Bypassing Makes Sense</w:t>
      </w:r>
    </w:p>
    <w:p>
      <w:pPr>
        <w:spacing w:before="4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2E7D32" w:val="clear"/>
            <w:tcMar>
              <w:top w:type="dxa" w:w="80"/>
              <w:left w:type="dxa" w:w="180"/>
              <w:bottom w:type="dxa" w:w="80"/>
              <w:right w:type="dxa" w:w="180"/>
            </w:tcMar>
          </w:tcPr>
          <w:p>
            <w:r>
              <w:rPr>
                <w:rFonts w:ascii="Arial" w:cs="Arial" w:eastAsia="Arial" w:hAnsi="Arial"/>
                <w:b/>
                <w:bCs/>
                <w:color w:val="FFFFFF"/>
                <w:sz w:val="19"/>
                <w:szCs w:val="19"/>
              </w:rPr>
              <w:t xml:space="preserve">✓  YES  —  SCENARIO 1</w:t>
            </w:r>
          </w:p>
        </w:tc>
      </w:tr>
      <w:tr>
        <w:tc>
          <w:tcPr>
            <w:tcW w:type="dxa" w:w="8640"/>
            <w:tcBorders>
              <w:top w:val="single" w:color="DDDDDD" w:sz="1"/>
              <w:left w:val="single" w:color="DDDDDD" w:sz="1"/>
              <w:bottom w:val="single" w:color="DDDDDD" w:sz="1"/>
              <w:right w:val="single" w:color="DDDDDD" w:sz="1"/>
            </w:tcBorders>
            <w:shd w:fill="EAF5EA" w:val="clear"/>
            <w:tcMar>
              <w:top w:type="dxa" w:w="140"/>
              <w:left w:type="dxa" w:w="200"/>
              <w:bottom w:type="dxa" w:w="140"/>
              <w:right w:type="dxa" w:w="200"/>
            </w:tcMar>
          </w:tcPr>
          <w:p>
            <w:pPr>
              <w:spacing w:before="0" w:after="80"/>
            </w:pPr>
            <w:r>
              <w:rPr>
                <w:rFonts w:ascii="Arial" w:cs="Arial" w:eastAsia="Arial" w:hAnsi="Arial"/>
                <w:b/>
                <w:bCs/>
                <w:color w:val="1A1A1A"/>
                <w:sz w:val="22"/>
                <w:szCs w:val="22"/>
              </w:rPr>
              <w:t xml:space="preserve">Your Gas Volumes Are Below Your MVC Threshold</w:t>
            </w:r>
          </w:p>
          <w:p>
            <w:pPr>
              <w:spacing w:before="0" w:after="0"/>
            </w:pPr>
            <w:r>
              <w:rPr>
                <w:rFonts w:ascii="Arial" w:cs="Arial" w:eastAsia="Arial" w:hAnsi="Arial"/>
                <w:color w:val="4A4A4A"/>
                <w:sz w:val="20"/>
                <w:szCs w:val="20"/>
              </w:rPr>
              <w:t xml:space="preserve">Minimum volume commitments are the contract term that punishes operators most when production declines. If your well is producing below your MVC, you’re paying deficiency charges on gas you didn’t produce and selling the gas you did produce into a fee structure designed for higher volumes. The economics of that position get worse, not better, as the well declines.
For the volumes below your MVC — or on pads where you have no MVC obligation because you’re not yet committed — the midstream contract is charging you full fees on volumes that don’t justify those fees. An on-lease carve-out for those specific volumes sidesteps the problem entirely. You’re not breaking the contract. You’re not delivering volumes the contract was designed to handle.</w:t>
            </w:r>
          </w:p>
        </w:tc>
      </w:tr>
    </w:tbl>
    <w:p>
      <w:pPr>
        <w:spacing w:before="8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2E7D32" w:val="clear"/>
            <w:tcMar>
              <w:top w:type="dxa" w:w="80"/>
              <w:left w:type="dxa" w:w="180"/>
              <w:bottom w:type="dxa" w:w="80"/>
              <w:right w:type="dxa" w:w="180"/>
            </w:tcMar>
          </w:tcPr>
          <w:p>
            <w:r>
              <w:rPr>
                <w:rFonts w:ascii="Arial" w:cs="Arial" w:eastAsia="Arial" w:hAnsi="Arial"/>
                <w:b/>
                <w:bCs/>
                <w:color w:val="FFFFFF"/>
                <w:sz w:val="19"/>
                <w:szCs w:val="19"/>
              </w:rPr>
              <w:t xml:space="preserve">✓  YES  —  SCENARIO 2</w:t>
            </w:r>
          </w:p>
        </w:tc>
      </w:tr>
      <w:tr>
        <w:tc>
          <w:tcPr>
            <w:tcW w:type="dxa" w:w="8640"/>
            <w:tcBorders>
              <w:top w:val="single" w:color="DDDDDD" w:sz="1"/>
              <w:left w:val="single" w:color="DDDDDD" w:sz="1"/>
              <w:bottom w:val="single" w:color="DDDDDD" w:sz="1"/>
              <w:right w:val="single" w:color="DDDDDD" w:sz="1"/>
            </w:tcBorders>
            <w:shd w:fill="EAF5EA" w:val="clear"/>
            <w:tcMar>
              <w:top w:type="dxa" w:w="140"/>
              <w:left w:type="dxa" w:w="200"/>
              <w:bottom w:type="dxa" w:w="140"/>
              <w:right w:type="dxa" w:w="200"/>
            </w:tcMar>
          </w:tcPr>
          <w:p>
            <w:pPr>
              <w:spacing w:before="0" w:after="80"/>
            </w:pPr>
            <w:r>
              <w:rPr>
                <w:rFonts w:ascii="Arial" w:cs="Arial" w:eastAsia="Arial" w:hAnsi="Arial"/>
                <w:b/>
                <w:bCs/>
                <w:color w:val="1A1A1A"/>
                <w:sz w:val="22"/>
                <w:szCs w:val="22"/>
              </w:rPr>
              <w:t xml:space="preserve">Your Wellhead Netback Is Below Breakeven on Those Volumes</w:t>
            </w:r>
          </w:p>
          <w:p>
            <w:pPr>
              <w:spacing w:before="0" w:after="0"/>
            </w:pPr>
            <w:r>
              <w:rPr>
                <w:rFonts w:ascii="Arial" w:cs="Arial" w:eastAsia="Arial" w:hAnsi="Arial"/>
                <w:color w:val="4A4A4A"/>
                <w:sz w:val="20"/>
                <w:szCs w:val="20"/>
              </w:rPr>
              <w:t xml:space="preserve">Calculate your actual take-home after all midstream deductions on your lowest-netback gas. Gathering fee, compression charge, processing deduction, pipeline tariff, fuel deduction, shrinkage. If that number is below your lifting cost per Mcf — or close enough that a 10% move in Henry Hub puts you underwater — you are currently producing gas at a loss or at de minimis margin.
Gas at a negative or near-zero netback has a clear alternative threshold: any positive revenue from on-lease deployment exceeds the current outcome. You don’t need on-lease to pencil at a strong hashprice. You need it to pencil at any hashprice, because the current alternative is zero or negative. That’s a low bar to clear.</w:t>
            </w:r>
          </w:p>
        </w:tc>
      </w:tr>
    </w:tbl>
    <w:p>
      <w:pPr>
        <w:spacing w:before="8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2E7D32" w:val="clear"/>
            <w:tcMar>
              <w:top w:type="dxa" w:w="80"/>
              <w:left w:type="dxa" w:w="180"/>
              <w:bottom w:type="dxa" w:w="80"/>
              <w:right w:type="dxa" w:w="180"/>
            </w:tcMar>
          </w:tcPr>
          <w:p>
            <w:r>
              <w:rPr>
                <w:rFonts w:ascii="Arial" w:cs="Arial" w:eastAsia="Arial" w:hAnsi="Arial"/>
                <w:b/>
                <w:bCs/>
                <w:color w:val="FFFFFF"/>
                <w:sz w:val="19"/>
                <w:szCs w:val="19"/>
              </w:rPr>
              <w:t xml:space="preserve">✓  YES  —  SCENARIO 3</w:t>
            </w:r>
          </w:p>
        </w:tc>
      </w:tr>
      <w:tr>
        <w:tc>
          <w:tcPr>
            <w:tcW w:type="dxa" w:w="8640"/>
            <w:tcBorders>
              <w:top w:val="single" w:color="DDDDDD" w:sz="1"/>
              <w:left w:val="single" w:color="DDDDDD" w:sz="1"/>
              <w:bottom w:val="single" w:color="DDDDDD" w:sz="1"/>
              <w:right w:val="single" w:color="DDDDDD" w:sz="1"/>
            </w:tcBorders>
            <w:shd w:fill="EAF5EA" w:val="clear"/>
            <w:tcMar>
              <w:top w:type="dxa" w:w="140"/>
              <w:left w:type="dxa" w:w="200"/>
              <w:bottom w:type="dxa" w:w="140"/>
              <w:right w:type="dxa" w:w="200"/>
            </w:tcMar>
          </w:tcPr>
          <w:p>
            <w:pPr>
              <w:spacing w:before="0" w:after="80"/>
            </w:pPr>
            <w:r>
              <w:rPr>
                <w:rFonts w:ascii="Arial" w:cs="Arial" w:eastAsia="Arial" w:hAnsi="Arial"/>
                <w:b/>
                <w:bCs/>
                <w:color w:val="1A1A1A"/>
                <w:sz w:val="22"/>
                <w:szCs w:val="22"/>
              </w:rPr>
              <w:t xml:space="preserve">You’re Evaluating a New Pad with No Legacy Contract Obligation</w:t>
            </w:r>
          </w:p>
          <w:p>
            <w:pPr>
              <w:spacing w:before="0" w:after="0"/>
            </w:pPr>
            <w:r>
              <w:rPr>
                <w:rFonts w:ascii="Arial" w:cs="Arial" w:eastAsia="Arial" w:hAnsi="Arial"/>
                <w:color w:val="4A4A4A"/>
                <w:sz w:val="20"/>
                <w:szCs w:val="20"/>
              </w:rPr>
              <w:t xml:space="preserve">New pad development is the cleanest opportunity in the gas-to-hash space, because there is no existing midstream relationship to navigate. You haven’t signed a gathering agreement. You haven’t committed to a pipeline. The decision is open.
For pads producing below 300 Mcfd, where the pipeline connection cost and MVC obligation would compress margins from day one, on-lease deployment may be the better first choice — not as a temporary measure while you wait for pipeline access, but as the primary monetization strategy. Several Permian and Bakken operators have avoided gathering commitments entirely on smaller pads by treating on-lease deployment as the default, not the exception.</w:t>
            </w:r>
          </w:p>
        </w:tc>
      </w:tr>
    </w:tbl>
    <w:p>
      <w:pPr>
        <w:spacing w:before="160" w:after="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FFF6F2" w:val="clear"/>
            <w:tcMar>
              <w:top w:type="dxa" w:w="200"/>
              <w:left w:type="dxa" w:w="280"/>
              <w:bottom w:type="dxa" w:w="200"/>
              <w:right w:type="dxa" w:w="280"/>
            </w:tcMar>
          </w:tcPr>
          <w:p>
            <w:pPr>
              <w:jc w:val="center"/>
            </w:pPr>
            <w:r>
              <w:rPr>
                <w:rFonts w:ascii="Arial" w:cs="Arial" w:eastAsia="Arial" w:hAnsi="Arial"/>
                <w:b/>
                <w:bCs/>
                <w:i/>
                <w:iCs/>
                <w:color w:val="1A1A1A"/>
                <w:sz w:val="26"/>
                <w:szCs w:val="26"/>
              </w:rPr>
              <w:t xml:space="preserve">“For gas at zero or negative netback, the question isn’t whether on-lease pencils. It’s whether it pencils enough.”</w:t>
            </w:r>
          </w:p>
        </w:tc>
      </w:tr>
    </w:tbl>
    <w:p>
      <w:pPr>
        <w:spacing w:before="160" w:after="80"/>
      </w:pPr>
      <w:r>
        <w:t xml:space="preserve"/>
      </w:r>
    </w:p>
    <w:p>
      <w:pPr>
        <w:spacing w:before="0" w:after="100"/>
      </w:pPr>
      <w:r>
        <w:rPr>
          <w:rFonts w:ascii="Arial" w:cs="Arial" w:eastAsia="Arial" w:hAnsi="Arial"/>
          <w:b/>
          <w:bCs/>
          <w:color w:val="C62828"/>
          <w:sz w:val="30"/>
          <w:szCs w:val="30"/>
        </w:rPr>
        <w:t xml:space="preserve">✕  Two Scenarios Where </w:t>
      </w:r>
      <w:r>
        <w:rPr>
          <w:rFonts w:ascii="Arial" w:cs="Arial" w:eastAsia="Arial" w:hAnsi="Arial"/>
          <w:b/>
          <w:bCs/>
          <w:color w:val="1A1A1A"/>
          <w:sz w:val="30"/>
          <w:szCs w:val="30"/>
        </w:rPr>
        <w:t xml:space="preserve">Bypassing Doesn’t</w:t>
      </w:r>
    </w:p>
    <w:p>
      <w:pPr>
        <w:spacing w:before="4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B71C1C" w:val="clear"/>
            <w:tcMar>
              <w:top w:type="dxa" w:w="80"/>
              <w:left w:type="dxa" w:w="180"/>
              <w:bottom w:type="dxa" w:w="80"/>
              <w:right w:type="dxa" w:w="180"/>
            </w:tcMar>
          </w:tcPr>
          <w:p>
            <w:r>
              <w:rPr>
                <w:rFonts w:ascii="Arial" w:cs="Arial" w:eastAsia="Arial" w:hAnsi="Arial"/>
                <w:b/>
                <w:bCs/>
                <w:color w:val="FFFFFF"/>
                <w:sz w:val="19"/>
                <w:szCs w:val="19"/>
              </w:rPr>
              <w:t xml:space="preserve">✕  NO  —  SCENARIO 4</w:t>
            </w:r>
          </w:p>
        </w:tc>
      </w:tr>
      <w:tr>
        <w:tc>
          <w:tcPr>
            <w:tcW w:type="dxa" w:w="8640"/>
            <w:tcBorders>
              <w:top w:val="single" w:color="DDDDDD" w:sz="1"/>
              <w:left w:val="single" w:color="DDDDDD" w:sz="1"/>
              <w:bottom w:val="single" w:color="DDDDDD" w:sz="1"/>
              <w:right w:val="single" w:color="DDDDDD" w:sz="1"/>
            </w:tcBorders>
            <w:shd w:fill="FDECEA" w:val="clear"/>
            <w:tcMar>
              <w:top w:type="dxa" w:w="140"/>
              <w:left w:type="dxa" w:w="200"/>
              <w:bottom w:type="dxa" w:w="140"/>
              <w:right w:type="dxa" w:w="200"/>
            </w:tcMar>
          </w:tcPr>
          <w:p>
            <w:pPr>
              <w:spacing w:before="0" w:after="80"/>
            </w:pPr>
            <w:r>
              <w:rPr>
                <w:rFonts w:ascii="Arial" w:cs="Arial" w:eastAsia="Arial" w:hAnsi="Arial"/>
                <w:b/>
                <w:bCs/>
                <w:color w:val="1A1A1A"/>
                <w:sz w:val="22"/>
                <w:szCs w:val="22"/>
              </w:rPr>
              <w:t xml:space="preserve">You Have a Long-Term Contract with No Carve-Out Provisions</w:t>
            </w:r>
          </w:p>
          <w:p>
            <w:pPr>
              <w:spacing w:before="0" w:after="0"/>
            </w:pPr>
            <w:r>
              <w:rPr>
                <w:rFonts w:ascii="Arial" w:cs="Arial" w:eastAsia="Arial" w:hAnsi="Arial"/>
                <w:color w:val="4A4A4A"/>
                <w:sz w:val="20"/>
                <w:szCs w:val="20"/>
              </w:rPr>
              <w:t xml:space="preserve">This is the most common disqualifier. If your gathering agreement commits all gas from the designated acreage to the midstream system — with no carve-out for on-site use, power generation, or alternative fuel use — diverting gas to an on-lease generator is a contract breach. The consequences range from deficiency payments to termination of the gathering agreement and loss of pipeline access for your remaining volumes.
Before assuming your contract blocks an on-lease carve-out, have it reviewed. Many gathering agreements were written before on-lease mining was a consideration and contain power generation carve-outs or on-site use provisions that permit exactly this. But if the contract is explicit and there is no carve-out, the answer is no — at least until the contract expires or is renegotiated.</w:t>
            </w:r>
          </w:p>
        </w:tc>
      </w:tr>
    </w:tbl>
    <w:p>
      <w:pPr>
        <w:spacing w:before="8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B71C1C" w:val="clear"/>
            <w:tcMar>
              <w:top w:type="dxa" w:w="80"/>
              <w:left w:type="dxa" w:w="180"/>
              <w:bottom w:type="dxa" w:w="80"/>
              <w:right w:type="dxa" w:w="180"/>
            </w:tcMar>
          </w:tcPr>
          <w:p>
            <w:r>
              <w:rPr>
                <w:rFonts w:ascii="Arial" w:cs="Arial" w:eastAsia="Arial" w:hAnsi="Arial"/>
                <w:b/>
                <w:bCs/>
                <w:color w:val="FFFFFF"/>
                <w:sz w:val="19"/>
                <w:szCs w:val="19"/>
              </w:rPr>
              <w:t xml:space="preserve">✕  NO  —  SCENARIO 5</w:t>
            </w:r>
          </w:p>
        </w:tc>
      </w:tr>
      <w:tr>
        <w:tc>
          <w:tcPr>
            <w:tcW w:type="dxa" w:w="8640"/>
            <w:tcBorders>
              <w:top w:val="single" w:color="DDDDDD" w:sz="1"/>
              <w:left w:val="single" w:color="DDDDDD" w:sz="1"/>
              <w:bottom w:val="single" w:color="DDDDDD" w:sz="1"/>
              <w:right w:val="single" w:color="DDDDDD" w:sz="1"/>
            </w:tcBorders>
            <w:shd w:fill="FDECEA" w:val="clear"/>
            <w:tcMar>
              <w:top w:type="dxa" w:w="140"/>
              <w:left w:type="dxa" w:w="200"/>
              <w:bottom w:type="dxa" w:w="140"/>
              <w:right w:type="dxa" w:w="200"/>
            </w:tcMar>
          </w:tcPr>
          <w:p>
            <w:pPr>
              <w:spacing w:before="0" w:after="80"/>
            </w:pPr>
            <w:r>
              <w:rPr>
                <w:rFonts w:ascii="Arial" w:cs="Arial" w:eastAsia="Arial" w:hAnsi="Arial"/>
                <w:b/>
                <w:bCs/>
                <w:color w:val="1A1A1A"/>
                <w:sz w:val="22"/>
                <w:szCs w:val="22"/>
              </w:rPr>
              <w:t xml:space="preserve">Your Gas Stream Is Too Small to Support a Standalone Genset</w:t>
            </w:r>
          </w:p>
          <w:p>
            <w:pPr>
              <w:spacing w:before="0" w:after="0"/>
            </w:pPr>
            <w:r>
              <w:rPr>
                <w:rFonts w:ascii="Arial" w:cs="Arial" w:eastAsia="Arial" w:hAnsi="Arial"/>
                <w:color w:val="4A4A4A"/>
                <w:sz w:val="20"/>
                <w:szCs w:val="20"/>
              </w:rPr>
              <w:t xml:space="preserve">On-lease gas-to-hash deployment has a minimum viable gas volume. Below approximately 75–100 Mcfd of consistent wellhead production, the economics of a dedicated generator and container installation don’t work. The fixed costs of the system — generator, containers, operations — are spread across too little revenue to generate a reasonable return.
If your volumes are below that threshold, the on-lease model isn’t the right fit for that specific pad. Options to consider: whether volumes from adjacent pads can be aggregated to reach viable scale, whether the pad is a candidate for a future deployment as production declines elsewhere in your acreage, or whether the gas should simply be flared or reinjected until other options become available. We would rather tell you this early than design a deployment that underperforms.</w:t>
            </w:r>
          </w:p>
        </w:tc>
      </w:tr>
    </w:tbl>
    <w:p>
      <w:pPr>
        <w:spacing w:before="160" w:after="10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The One-Page Decision Framework</w:t>
      </w:r>
    </w:p>
    <w:p>
      <w:pPr>
        <w:spacing w:before="100" w:after="160"/>
      </w:pPr>
      <w:r>
        <w:rPr>
          <w:rFonts w:ascii="Arial" w:cs="Arial" w:eastAsia="Arial" w:hAnsi="Arial"/>
          <w:color w:val="4A4A4A"/>
          <w:sz w:val="22"/>
          <w:szCs w:val="22"/>
        </w:rPr>
        <w:t xml:space="preserve">If your situation fits one of the five scenarios above, you have your initial answer. If you want to run the specific numbers—your actual gas volume, your actual netback, your actual contract terms—the following is the decision table that determines whether the detailed analysis is worth commissioning.</w:t>
      </w:r>
    </w:p>
    <w:p>
      <w:pPr>
        <w:spacing w:before="8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440"/>
        <w:gridCol w:w="3200"/>
      </w:tblGrid>
      <w:tr>
        <w:trPr>
          <w:tblHeader/>
        </w:trPr>
        <w:tc>
          <w:tcPr>
            <w:tcW w:type="dxa" w:w="544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Your situation</w:t>
            </w:r>
          </w:p>
        </w:tc>
        <w:tc>
          <w:tcPr>
            <w:tcW w:type="dxa" w:w="32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Worth exploring?</w:t>
            </w:r>
          </w:p>
        </w:tc>
      </w:tr>
      <w:tr>
        <w:tc>
          <w:tcPr>
            <w:tcW w:type="dxa" w:w="544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color w:val="1A1A1A"/>
                <w:sz w:val="20"/>
                <w:szCs w:val="20"/>
              </w:rPr>
              <w:t xml:space="preserve">Gas currently flared at $0 netback</w:t>
            </w:r>
          </w:p>
        </w:tc>
        <w:tc>
          <w:tcPr>
            <w:tcW w:type="dxa" w:w="3200"/>
            <w:tcBorders>
              <w:top w:val="single" w:color="DDDDDD" w:sz="1"/>
              <w:left w:val="single" w:color="DDDDDD" w:sz="1"/>
              <w:bottom w:val="single" w:color="DDDDDD" w:sz="1"/>
              <w:right w:val="single" w:color="DDDDDD" w:sz="1"/>
            </w:tcBorders>
            <w:shd w:fill="EAF5EA" w:val="clear"/>
            <w:tcMar>
              <w:top w:type="dxa" w:w="110"/>
              <w:left w:type="dxa" w:w="160"/>
              <w:bottom w:type="dxa" w:w="110"/>
              <w:right w:type="dxa" w:w="160"/>
            </w:tcMar>
          </w:tcPr>
          <w:p>
            <w:pPr>
              <w:jc w:val="center"/>
            </w:pPr>
            <w:r>
              <w:rPr>
                <w:rFonts w:ascii="Arial" w:cs="Arial" w:eastAsia="Arial" w:hAnsi="Arial"/>
                <w:b/>
                <w:bCs/>
                <w:color w:val="2E7D32"/>
                <w:sz w:val="20"/>
                <w:szCs w:val="20"/>
              </w:rPr>
              <w:t xml:space="preserve">✓  Yes — any on-lease revenue beats current</w:t>
            </w:r>
          </w:p>
        </w:tc>
      </w:tr>
      <w:tr>
        <w:tc>
          <w:tcPr>
            <w:tcW w:type="dxa" w:w="544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color w:val="1A1A1A"/>
                <w:sz w:val="20"/>
                <w:szCs w:val="20"/>
              </w:rPr>
              <w:t xml:space="preserve">Pipeline netback below $0.75 / MMBtu after all deductions</w:t>
            </w:r>
          </w:p>
        </w:tc>
        <w:tc>
          <w:tcPr>
            <w:tcW w:type="dxa" w:w="3200"/>
            <w:tcBorders>
              <w:top w:val="single" w:color="DDDDDD" w:sz="1"/>
              <w:left w:val="single" w:color="DDDDDD" w:sz="1"/>
              <w:bottom w:val="single" w:color="DDDDDD" w:sz="1"/>
              <w:right w:val="single" w:color="DDDDDD" w:sz="1"/>
            </w:tcBorders>
            <w:shd w:fill="EAF5EA" w:val="clear"/>
            <w:tcMar>
              <w:top w:type="dxa" w:w="110"/>
              <w:left w:type="dxa" w:w="160"/>
              <w:bottom w:type="dxa" w:w="110"/>
              <w:right w:type="dxa" w:w="160"/>
            </w:tcMar>
          </w:tcPr>
          <w:p>
            <w:pPr>
              <w:jc w:val="center"/>
            </w:pPr>
            <w:r>
              <w:rPr>
                <w:rFonts w:ascii="Arial" w:cs="Arial" w:eastAsia="Arial" w:hAnsi="Arial"/>
                <w:b/>
                <w:bCs/>
                <w:color w:val="2E7D32"/>
                <w:sz w:val="20"/>
                <w:szCs w:val="20"/>
              </w:rPr>
              <w:t xml:space="preserve">✓  Yes — run the pro forma</w:t>
            </w:r>
          </w:p>
        </w:tc>
      </w:tr>
      <w:tr>
        <w:tc>
          <w:tcPr>
            <w:tcW w:type="dxa" w:w="544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color w:val="1A1A1A"/>
                <w:sz w:val="20"/>
                <w:szCs w:val="20"/>
              </w:rPr>
              <w:t xml:space="preserve">Volumes below your MVC, paying deficiency charges</w:t>
            </w:r>
          </w:p>
        </w:tc>
        <w:tc>
          <w:tcPr>
            <w:tcW w:type="dxa" w:w="3200"/>
            <w:tcBorders>
              <w:top w:val="single" w:color="DDDDDD" w:sz="1"/>
              <w:left w:val="single" w:color="DDDDDD" w:sz="1"/>
              <w:bottom w:val="single" w:color="DDDDDD" w:sz="1"/>
              <w:right w:val="single" w:color="DDDDDD" w:sz="1"/>
            </w:tcBorders>
            <w:shd w:fill="EAF5EA" w:val="clear"/>
            <w:tcMar>
              <w:top w:type="dxa" w:w="110"/>
              <w:left w:type="dxa" w:w="160"/>
              <w:bottom w:type="dxa" w:w="110"/>
              <w:right w:type="dxa" w:w="160"/>
            </w:tcMar>
          </w:tcPr>
          <w:p>
            <w:pPr>
              <w:jc w:val="center"/>
            </w:pPr>
            <w:r>
              <w:rPr>
                <w:rFonts w:ascii="Arial" w:cs="Arial" w:eastAsia="Arial" w:hAnsi="Arial"/>
                <w:b/>
                <w:bCs/>
                <w:color w:val="2E7D32"/>
                <w:sz w:val="20"/>
                <w:szCs w:val="20"/>
              </w:rPr>
              <w:t xml:space="preserve">✓  Yes — carve-out candidates</w:t>
            </w:r>
          </w:p>
        </w:tc>
      </w:tr>
      <w:tr>
        <w:tc>
          <w:tcPr>
            <w:tcW w:type="dxa" w:w="544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color w:val="1A1A1A"/>
                <w:sz w:val="20"/>
                <w:szCs w:val="20"/>
              </w:rPr>
              <w:t xml:space="preserve">New pad with no gathering commitment yet signed</w:t>
            </w:r>
          </w:p>
        </w:tc>
        <w:tc>
          <w:tcPr>
            <w:tcW w:type="dxa" w:w="3200"/>
            <w:tcBorders>
              <w:top w:val="single" w:color="DDDDDD" w:sz="1"/>
              <w:left w:val="single" w:color="DDDDDD" w:sz="1"/>
              <w:bottom w:val="single" w:color="DDDDDD" w:sz="1"/>
              <w:right w:val="single" w:color="DDDDDD" w:sz="1"/>
            </w:tcBorders>
            <w:shd w:fill="EAF5EA" w:val="clear"/>
            <w:tcMar>
              <w:top w:type="dxa" w:w="110"/>
              <w:left w:type="dxa" w:w="160"/>
              <w:bottom w:type="dxa" w:w="110"/>
              <w:right w:type="dxa" w:w="160"/>
            </w:tcMar>
          </w:tcPr>
          <w:p>
            <w:pPr>
              <w:jc w:val="center"/>
            </w:pPr>
            <w:r>
              <w:rPr>
                <w:rFonts w:ascii="Arial" w:cs="Arial" w:eastAsia="Arial" w:hAnsi="Arial"/>
                <w:b/>
                <w:bCs/>
                <w:color w:val="2E7D32"/>
                <w:sz w:val="20"/>
                <w:szCs w:val="20"/>
              </w:rPr>
              <w:t xml:space="preserve">✓  Yes — evaluate before committing</w:t>
            </w:r>
          </w:p>
        </w:tc>
      </w:tr>
      <w:tr>
        <w:tc>
          <w:tcPr>
            <w:tcW w:type="dxa" w:w="544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color w:val="1A1A1A"/>
                <w:sz w:val="20"/>
                <w:szCs w:val="20"/>
              </w:rPr>
              <w:t xml:space="preserve">Gas volumes below 75–100 Mcfd consistently</w:t>
            </w:r>
          </w:p>
        </w:tc>
        <w:tc>
          <w:tcPr>
            <w:tcW w:type="dxa" w:w="3200"/>
            <w:tcBorders>
              <w:top w:val="single" w:color="DDDDDD" w:sz="1"/>
              <w:left w:val="single" w:color="DDDDDD" w:sz="1"/>
              <w:bottom w:val="single" w:color="DDDDDD" w:sz="1"/>
              <w:right w:val="single" w:color="DDDDDD" w:sz="1"/>
            </w:tcBorders>
            <w:shd w:fill="FDECEA" w:val="clear"/>
            <w:tcMar>
              <w:top w:type="dxa" w:w="110"/>
              <w:left w:type="dxa" w:w="160"/>
              <w:bottom w:type="dxa" w:w="110"/>
              <w:right w:type="dxa" w:w="160"/>
            </w:tcMar>
          </w:tcPr>
          <w:p>
            <w:pPr>
              <w:jc w:val="center"/>
            </w:pPr>
            <w:r>
              <w:rPr>
                <w:rFonts w:ascii="Arial" w:cs="Arial" w:eastAsia="Arial" w:hAnsi="Arial"/>
                <w:b/>
                <w:bCs/>
                <w:color w:val="C62828"/>
                <w:sz w:val="20"/>
                <w:szCs w:val="20"/>
              </w:rPr>
              <w:t xml:space="preserve">✕  No — below minimum viable threshold</w:t>
            </w:r>
          </w:p>
        </w:tc>
      </w:tr>
      <w:tr>
        <w:tc>
          <w:tcPr>
            <w:tcW w:type="dxa" w:w="544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color w:val="1A1A1A"/>
                <w:sz w:val="20"/>
                <w:szCs w:val="20"/>
              </w:rPr>
              <w:t xml:space="preserve">Existing contract with no on-site use or carve-out provision</w:t>
            </w:r>
          </w:p>
        </w:tc>
        <w:tc>
          <w:tcPr>
            <w:tcW w:type="dxa" w:w="3200"/>
            <w:tcBorders>
              <w:top w:val="single" w:color="DDDDDD" w:sz="1"/>
              <w:left w:val="single" w:color="DDDDDD" w:sz="1"/>
              <w:bottom w:val="single" w:color="DDDDDD" w:sz="1"/>
              <w:right w:val="single" w:color="DDDDDD" w:sz="1"/>
            </w:tcBorders>
            <w:shd w:fill="FDECEA" w:val="clear"/>
            <w:tcMar>
              <w:top w:type="dxa" w:w="110"/>
              <w:left w:type="dxa" w:w="160"/>
              <w:bottom w:type="dxa" w:w="110"/>
              <w:right w:type="dxa" w:w="160"/>
            </w:tcMar>
          </w:tcPr>
          <w:p>
            <w:pPr>
              <w:jc w:val="center"/>
            </w:pPr>
            <w:r>
              <w:rPr>
                <w:rFonts w:ascii="Arial" w:cs="Arial" w:eastAsia="Arial" w:hAnsi="Arial"/>
                <w:b/>
                <w:bCs/>
                <w:color w:val="C62828"/>
                <w:sz w:val="20"/>
                <w:szCs w:val="20"/>
              </w:rPr>
              <w:t xml:space="preserve">✕  No (yet) — review contract, revisit at expiry</w:t>
            </w:r>
          </w:p>
        </w:tc>
      </w:tr>
      <w:tr>
        <w:tc>
          <w:tcPr>
            <w:tcW w:type="dxa" w:w="5440"/>
            <w:tcBorders>
              <w:top w:val="single" w:color="DDDDDD" w:sz="1"/>
              <w:left w:val="single" w:color="DDDDDD" w:sz="1"/>
              <w:bottom w:val="single" w:color="DDDDDD" w:sz="1"/>
              <w:right w:val="single" w:color="DDDDDD" w:sz="1"/>
            </w:tcBorders>
            <w:shd w:fill="F5F5F5" w:val="clear"/>
            <w:tcMar>
              <w:top w:type="dxa" w:w="110"/>
              <w:left w:type="dxa" w:w="160"/>
              <w:bottom w:type="dxa" w:w="110"/>
              <w:right w:type="dxa" w:w="160"/>
            </w:tcMar>
          </w:tcPr>
          <w:p>
            <w:r>
              <w:rPr>
                <w:rFonts w:ascii="Arial" w:cs="Arial" w:eastAsia="Arial" w:hAnsi="Arial"/>
                <w:color w:val="1A1A1A"/>
                <w:sz w:val="20"/>
                <w:szCs w:val="20"/>
              </w:rPr>
              <w:t xml:space="preserve">Netback above $1.50 / MMBtu and contract current</w:t>
            </w:r>
          </w:p>
        </w:tc>
        <w:tc>
          <w:tcPr>
            <w:tcW w:type="dxa" w:w="3200"/>
            <w:tcBorders>
              <w:top w:val="single" w:color="DDDDDD" w:sz="1"/>
              <w:left w:val="single" w:color="DDDDDD" w:sz="1"/>
              <w:bottom w:val="single" w:color="DDDDDD" w:sz="1"/>
              <w:right w:val="single" w:color="DDDDDD" w:sz="1"/>
            </w:tcBorders>
            <w:shd w:fill="FEF9E7" w:val="clear"/>
            <w:tcMar>
              <w:top w:type="dxa" w:w="110"/>
              <w:left w:type="dxa" w:w="160"/>
              <w:bottom w:type="dxa" w:w="110"/>
              <w:right w:type="dxa" w:w="160"/>
            </w:tcMar>
          </w:tcPr>
          <w:p>
            <w:pPr>
              <w:jc w:val="center"/>
            </w:pPr>
            <w:r>
              <w:rPr>
                <w:rFonts w:ascii="Arial" w:cs="Arial" w:eastAsia="Arial" w:hAnsi="Arial"/>
                <w:b/>
                <w:bCs/>
                <w:color w:val="7A4800"/>
                <w:sz w:val="20"/>
                <w:szCs w:val="20"/>
              </w:rPr>
              <w:t xml:space="preserve">Maybe — depends on volume, pad profile, BTC sensitivity</w:t>
            </w:r>
          </w:p>
        </w:tc>
      </w:tr>
    </w:tbl>
    <w:p>
      <w:pPr>
        <w:spacing w:before="160" w:after="100"/>
      </w:pPr>
      <w:r>
        <w:t xml:space="preserve"/>
      </w:r>
    </w:p>
    <w:p>
      <w:pPr>
        <w:spacing w:before="100" w:after="160"/>
      </w:pPr>
      <w:r>
        <w:rPr>
          <w:rFonts w:ascii="Arial" w:cs="Arial" w:eastAsia="Arial" w:hAnsi="Arial"/>
          <w:color w:val="4A4A4A"/>
          <w:sz w:val="22"/>
          <w:szCs w:val="22"/>
        </w:rPr>
        <w:t xml:space="preserve">This piece is the first filter. If you’re in one of the three green scenarios above, the next step is the detailed analysis: actual pro forma, deal structure comparison, and site-specific feasibility. That’s what the operator guide below covers.</w:t>
      </w:r>
    </w:p>
    <w:p>
      <w:pPr>
        <w:spacing w:before="100" w:after="160"/>
      </w:pPr>
      <w:r>
        <w:rPr>
          <w:rFonts w:ascii="Arial" w:cs="Arial" w:eastAsia="Arial" w:hAnsi="Arial"/>
          <w:color w:val="4A4A4A"/>
          <w:sz w:val="22"/>
          <w:szCs w:val="22"/>
        </w:rPr>
        <w:t xml:space="preserve">If you’re in one of the red scenarios, don’t walk away permanently. Contracts expire. Volumes change. The pad that doesn’t qualify today may be the clearest candidate in 18 months when the gathering agreement runs out or the well declines into the range where midstream fees consume everything that’s left.</w:t>
      </w:r>
    </w:p>
    <w:p>
      <w:pPr>
        <w:spacing w:before="100" w:after="160"/>
      </w:pPr>
      <w:r>
        <w:rPr>
          <w:rFonts w:ascii="Arial" w:cs="Arial" w:eastAsia="Arial" w:hAnsi="Arial"/>
          <w:color w:val="1A1A1A"/>
          <w:sz w:val="22"/>
          <w:szCs w:val="22"/>
        </w:rPr>
        <w:t xml:space="preserve">The question “should I bypass midstream” has a specific answer for your specific situation. This framework gives you the answer in under five minutes. The guide below gives you the math.</w:t>
      </w:r>
    </w:p>
    <w:p>
      <w:pPr>
        <w:spacing w:before="160" w:after="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1A1A1A" w:val="clear"/>
            <w:tcMar>
              <w:top w:type="dxa" w:w="240"/>
              <w:left w:type="dxa" w:w="320"/>
              <w:bottom w:type="dxa" w:w="240"/>
              <w:right w:type="dxa" w:w="320"/>
            </w:tcMar>
          </w:tcPr>
          <w:p>
            <w:pPr>
              <w:spacing w:before="0" w:after="80"/>
              <w:jc w:val="center"/>
            </w:pPr>
            <w:r>
              <w:rPr>
                <w:rFonts w:ascii="Arial" w:cs="Arial" w:eastAsia="Arial" w:hAnsi="Arial"/>
                <w:b/>
                <w:bCs/>
                <w:color w:val="FFFFFF"/>
                <w:sz w:val="25"/>
                <w:szCs w:val="25"/>
              </w:rPr>
              <w:t xml:space="preserve">Ready for the numbers?</w:t>
            </w:r>
          </w:p>
          <w:p>
            <w:pPr>
              <w:spacing w:before="0" w:after="100"/>
              <w:jc w:val="center"/>
            </w:pPr>
            <w:r>
              <w:rPr>
                <w:rFonts w:ascii="Arial" w:cs="Arial" w:eastAsia="Arial" w:hAnsi="Arial"/>
                <w:color w:val="BBBBBB"/>
                <w:sz w:val="20"/>
                <w:szCs w:val="20"/>
              </w:rPr>
              <w:t xml:space="preserve">OG-2 walks through the full pro forma: pipeline netback vs. on-lease deployment, deal structure options, and the minimum volume threshold analysis by gas price scenario.</w:t>
            </w:r>
          </w:p>
          <w:p>
            <w:pPr>
              <w:spacing w:before="0" w:after="80"/>
              <w:jc w:val="center"/>
            </w:pPr>
            <w:r>
              <w:rPr>
                <w:rFonts w:ascii="Arial" w:cs="Arial" w:eastAsia="Arial" w:hAnsi="Arial"/>
                <w:b/>
                <w:bCs/>
                <w:color w:val="E8500A"/>
                <w:sz w:val="21"/>
                <w:szCs w:val="21"/>
              </w:rPr>
              <w:t xml:space="preserve">mcf.digital/operator-guides/low-gas-netbacks</w:t>
            </w:r>
          </w:p>
          <w:p>
            <w:pPr>
              <w:spacing w:before="0" w:after="0"/>
              <w:jc w:val="center"/>
            </w:pPr>
            <w:r>
              <w:rPr>
                <w:rFonts w:ascii="Arial" w:cs="Arial" w:eastAsia="Arial" w:hAnsi="Arial"/>
                <w:color w:val="E8500A"/>
                <w:sz w:val="20"/>
                <w:szCs w:val="20"/>
              </w:rPr>
              <w:t xml:space="preserve">tools.mcf.digital</w:t>
            </w:r>
            <w:r>
              <w:rPr>
                <w:rFonts w:ascii="Arial" w:cs="Arial" w:eastAsia="Arial" w:hAnsi="Arial"/>
                <w:color w:val="E8500A"/>
                <w:sz w:val="20"/>
                <w:szCs w:val="20"/>
              </w:rPr>
              <w:t xml:space="preserve">   ·   Book a 15-minute fit call</w:t>
            </w:r>
          </w:p>
        </w:tc>
      </w:tr>
    </w:tbl>
    <w:p>
      <w:pPr>
        <w:spacing w:before="200" w:after="80"/>
      </w:pPr>
      <w:r>
        <w:t xml:space="preserve"/>
      </w:r>
    </w:p>
    <w:p>
      <w:pPr>
        <w:pBdr>
          <w:top w:val="single" w:color="DDDDDD" w:sz="4" w:space="4"/>
        </w:pBdr>
        <w:spacing w:before="0" w:after="0"/>
      </w:pPr>
      <w:r>
        <w:t xml:space="preserve"/>
      </w:r>
    </w:p>
    <w:p>
      <w:pPr>
        <w:spacing w:before="80" w:after="40"/>
      </w:pPr>
      <w:r>
        <w:t xml:space="preserve"/>
      </w:r>
    </w:p>
    <w:p>
      <w:pPr>
        <w:spacing w:before="0" w:after="60"/>
      </w:pPr>
      <w:r>
        <w:rPr>
          <w:rFonts w:ascii="Arial" w:cs="Arial" w:eastAsia="Arial" w:hAnsi="Arial"/>
          <w:b/>
          <w:bCs/>
          <w:color w:val="1A1A1A"/>
          <w:sz w:val="20"/>
          <w:szCs w:val="20"/>
        </w:rPr>
        <w:t xml:space="preserve">Related Reading</w:t>
      </w:r>
    </w:p>
    <w:p>
      <w:pPr>
        <w:pStyle w:val="ListParagraph"/>
        <w:numPr>
          <w:ilvl w:val="0"/>
          <w:numId w:val="2"/>
        </w:numPr>
        <w:spacing w:before="40" w:after="40"/>
      </w:pPr>
      <w:r>
        <w:rPr>
          <w:rFonts w:ascii="Arial" w:cs="Arial" w:eastAsia="Arial" w:hAnsi="Arial"/>
          <w:color w:val="666666"/>
          <w:sz w:val="20"/>
          <w:szCs w:val="20"/>
        </w:rPr>
        <w:t xml:space="preserve">How to Improve Low Gas Netbacks Without Midstream (OG-2) — mcf.digital/operator-guides/low-gas-netbacks</w:t>
      </w:r>
    </w:p>
    <w:p>
      <w:pPr>
        <w:pStyle w:val="ListParagraph"/>
        <w:numPr>
          <w:ilvl w:val="0"/>
          <w:numId w:val="2"/>
        </w:numPr>
        <w:spacing w:before="40" w:after="40"/>
      </w:pPr>
      <w:r>
        <w:rPr>
          <w:rFonts w:ascii="Arial" w:cs="Arial" w:eastAsia="Arial" w:hAnsi="Arial"/>
          <w:color w:val="666666"/>
          <w:sz w:val="20"/>
          <w:szCs w:val="20"/>
        </w:rPr>
        <w:t xml:space="preserve">The Gas Netback Problem Nobody Talks About (TL-2) — mcf.digital/articles/gas-netback-problem-nobody-talks-about</w:t>
      </w:r>
    </w:p>
    <w:p>
      <w:pPr>
        <w:pStyle w:val="ListParagraph"/>
        <w:numPr>
          <w:ilvl w:val="0"/>
          <w:numId w:val="2"/>
        </w:numPr>
        <w:spacing w:before="40" w:after="40"/>
      </w:pPr>
      <w:r>
        <w:rPr>
          <w:rFonts w:ascii="Arial" w:cs="Arial" w:eastAsia="Arial" w:hAnsi="Arial"/>
          <w:color w:val="666666"/>
          <w:sz w:val="20"/>
          <w:szCs w:val="20"/>
        </w:rPr>
        <w:t xml:space="preserve">What Is Gas Netback? The Complete Operator Definition — mcf.digital/glossary/what-is-gas-netback</w:t>
      </w:r>
    </w:p>
    <w:p>
      <w:pPr>
        <w:pStyle w:val="ListParagraph"/>
        <w:numPr>
          <w:ilvl w:val="0"/>
          <w:numId w:val="2"/>
        </w:numPr>
        <w:spacing w:before="40" w:after="40"/>
      </w:pPr>
      <w:r>
        <w:rPr>
          <w:rFonts w:ascii="Arial" w:cs="Arial" w:eastAsia="Arial" w:hAnsi="Arial"/>
          <w:color w:val="666666"/>
          <w:sz w:val="20"/>
          <w:szCs w:val="20"/>
        </w:rPr>
        <w:t xml:space="preserve">Stranded Gas Bitcoin Mining: When It Pencils and When It Doesn’t — mcf.digital/operator-guides/stranded-gas-bitcoin-mining</w:t>
      </w:r>
    </w:p>
    <w:p>
      <w:pPr>
        <w:spacing w:before="100" w:after="60"/>
      </w:pPr>
      <w:r>
        <w:t xml:space="preserve"/>
      </w:r>
    </w:p>
    <w:p>
      <w:pPr>
        <w:spacing w:before="0" w:after="0"/>
      </w:pPr>
      <w:r>
        <w:rPr>
          <w:rFonts w:ascii="Arial" w:cs="Arial" w:eastAsia="Arial" w:hAnsi="Arial"/>
          <w:b/>
          <w:bCs/>
          <w:color w:val="1A1A1A"/>
          <w:sz w:val="19"/>
          <w:szCs w:val="19"/>
        </w:rPr>
        <w:t xml:space="preserve">MCF.digital</w:t>
      </w:r>
      <w:r>
        <w:rPr>
          <w:rFonts w:ascii="Arial" w:cs="Arial" w:eastAsia="Arial" w:hAnsi="Arial"/>
          <w:color w:val="999999"/>
          <w:sz w:val="18"/>
          <w:szCs w:val="18"/>
        </w:rPr>
        <w:t xml:space="preserve">  ·  On-Lease Bitcoin Mining  ·  Flare Gas Monetization  ·  Gas-to-Hash Operator</w:t>
      </w:r>
    </w:p>
    <w:p>
      <w:pPr>
        <w:spacing w:before="40" w:after="0"/>
      </w:pPr>
      <w:r>
        <w:rPr>
          <w:rFonts w:ascii="Arial" w:cs="Arial" w:eastAsia="Arial" w:hAnsi="Arial"/>
          <w:color w:val="BBBBBB"/>
          <w:sz w:val="16"/>
          <w:szCs w:val="16"/>
        </w:rPr>
        <w:t xml:space="preserve">Audience: Operators  ·  Category: Thought Leadership  ·  mcf.digital/articles/should-you-bypass-midstream</w:t>
      </w:r>
    </w:p>
    <w:sectPr>
      <w:headerReference w:type="default" r:id="rId6"/>
      <w:footerReference w:type="default" r:id="rId7"/>
      <w:pgSz w:w="12240" w:h="15840" w:orient="portrait"/>
      <w:pgMar w:top="1080" w:right="1980" w:bottom="108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828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mcf.digital/articles/should-you-bypass-midstream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THOUGHT LEADERSHIP  |  Should You Bypass Midstream?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2026-02-26T23:44:45.852Z</dcterms:created>
  <dcterms:modified xsi:type="dcterms:W3CDTF">2026-02-26T23:44:45.873Z</dcterms:modified>
</cp:coreProperties>
</file>

<file path=docProps/custom.xml><?xml version="1.0" encoding="utf-8"?>
<Properties xmlns="http://schemas.openxmlformats.org/officeDocument/2006/custom-properties" xmlns:vt="http://schemas.openxmlformats.org/officeDocument/2006/docPropsVTypes"/>
</file>