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pPr>
      <w:r>
        <w:rPr>
          <w:rFonts w:ascii="Arial" w:cs="Arial" w:eastAsia="Arial" w:hAnsi="Arial"/>
          <w:caps/>
          <w:color w:val="AAAAAA"/>
          <w:sz w:val="17"/>
          <w:szCs w:val="17"/>
        </w:rPr>
        <w:t xml:space="preserve">THOUGHT LEADERSHIP  //  OPERATORS</w:t>
      </w:r>
    </w:p>
    <w:p>
      <w:pPr>
        <w:spacing w:before="40" w:after="80"/>
      </w:pPr>
      <w:r>
        <w:rPr>
          <w:rFonts w:ascii="Arial" w:cs="Arial" w:eastAsia="Arial" w:hAnsi="Arial"/>
          <w:b/>
          <w:bCs/>
          <w:color w:val="1A1A1A"/>
          <w:sz w:val="52"/>
          <w:szCs w:val="52"/>
        </w:rPr>
        <w:t xml:space="preserve">The Gas Netback Problem</w:t>
      </w:r>
    </w:p>
    <w:p>
      <w:pPr>
        <w:spacing w:before="0" w:after="80"/>
      </w:pPr>
      <w:r>
        <w:rPr>
          <w:rFonts w:ascii="Arial" w:cs="Arial" w:eastAsia="Arial" w:hAnsi="Arial"/>
          <w:b/>
          <w:bCs/>
          <w:color w:val="E8500A"/>
          <w:sz w:val="52"/>
          <w:szCs w:val="52"/>
        </w:rPr>
        <w:t xml:space="preserve">Nobody Talks About</w:t>
      </w:r>
    </w:p>
    <w:p>
      <w:pPr>
        <w:spacing w:before="40" w:after="0"/>
      </w:pPr>
      <w:r>
        <w:t xml:space="preserve"/>
      </w:r>
    </w:p>
    <w:p>
      <w:pPr>
        <w:pBdr>
          <w:bottom w:val="single" w:color="E0E0E0" w:sz="2" w:space="8"/>
        </w:pBdr>
        <w:spacing w:before="0" w:after="0"/>
      </w:pPr>
      <w:r>
        <w:rPr>
          <w:rFonts w:ascii="Arial" w:cs="Arial" w:eastAsia="Arial" w:hAnsi="Arial"/>
          <w:b/>
          <w:bCs/>
          <w:color w:val="E8500A"/>
          <w:sz w:val="19"/>
          <w:szCs w:val="19"/>
        </w:rPr>
        <w:t xml:space="preserve">By MCF.digital Operations Team</w:t>
      </w:r>
      <w:r>
        <w:rPr>
          <w:rFonts w:ascii="Arial" w:cs="Arial" w:eastAsia="Arial" w:hAnsi="Arial"/>
          <w:color w:val="AAAAAA"/>
          <w:sz w:val="19"/>
          <w:szCs w:val="19"/>
        </w:rPr>
        <w:t xml:space="preserve">   ·   mcf.digital/articles/gas-netback-problem-nobody-talks-about</w:t>
      </w:r>
    </w:p>
    <w:p>
      <w:pPr>
        <w:spacing w:before="200" w:after="0"/>
      </w:pPr>
      <w:r>
        <w:t xml:space="preserve"/>
      </w:r>
    </w:p>
    <w:p>
      <w:pPr>
        <w:spacing w:before="0" w:after="220"/>
      </w:pPr>
      <w:r>
        <w:rPr>
          <w:rFonts w:ascii="Arial" w:cs="Arial" w:eastAsia="Arial" w:hAnsi="Arial"/>
          <w:i/>
          <w:iCs/>
          <w:color w:val="4A4A4A"/>
          <w:sz w:val="25"/>
          <w:szCs w:val="25"/>
        </w:rPr>
        <w:t xml:space="preserve">When operators complain about low gas netbacks, the conversation usually turns to Henry Hub. Is the market soft? Will prices recover? Should you hedge? These are the wrong questions. Low netbacks are not a market problem. They are a structural problem—and the market isn’t going to fix them.</w:t>
      </w:r>
    </w:p>
    <w:p>
      <w:pPr>
        <w:spacing w:before="100" w:after="160"/>
      </w:pPr>
      <w:r>
        <w:rPr>
          <w:rFonts w:ascii="Arial" w:cs="Arial" w:eastAsia="Arial" w:hAnsi="Arial"/>
          <w:color w:val="4A4A4A"/>
          <w:sz w:val="22"/>
          <w:szCs w:val="22"/>
        </w:rPr>
        <w:t xml:space="preserve">Here’s what’s actually happening to your gas revenue before it reaches you.</w:t>
      </w:r>
    </w:p>
    <w:p>
      <w:pPr>
        <w:spacing w:before="8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2C3E50" w:sz="4"/>
              <w:left w:val="none" w:color="FFFFFF" w:sz="0"/>
              <w:bottom w:val="single" w:color="2C3E50" w:sz="4"/>
              <w:right w:val="none" w:color="FFFFFF" w:sz="0"/>
            </w:tcBorders>
            <w:shd w:fill="F5F5F5" w:val="clear"/>
            <w:tcMar>
              <w:top w:type="dxa" w:w="180"/>
              <w:left w:type="dxa" w:w="240"/>
              <w:bottom w:type="dxa" w:w="180"/>
              <w:right w:type="dxa" w:w="240"/>
            </w:tcMar>
          </w:tcPr>
          <w:p>
            <w:pPr>
              <w:spacing w:before="0" w:after="120"/>
            </w:pPr>
            <w:r>
              <w:rPr>
                <w:rFonts w:ascii="Arial" w:cs="Arial" w:eastAsia="Arial" w:hAnsi="Arial"/>
                <w:b/>
                <w:bCs/>
                <w:color w:val="1A1A1A"/>
                <w:sz w:val="21"/>
                <w:szCs w:val="21"/>
              </w:rPr>
              <w:t xml:space="preserve">The Midstream Fee Stack: Where Your Gas Revenue Goes</w:t>
            </w:r>
          </w:p>
          <w:p>
            <w:pPr>
              <w:spacing w:before="30" w:after="30"/>
            </w:pPr>
            <w:r>
              <w:rPr>
                <w:rFonts w:ascii="Arial" w:cs="Arial" w:eastAsia="Arial" w:hAnsi="Arial"/>
                <w:color w:val="4A4A4A"/>
                <w:sz w:val="20"/>
                <w:szCs w:val="20"/>
              </w:rPr>
              <w:t xml:space="preserve">Posted wellhead price (Henry Hub area, illustrative):     $2.40 / MMBtu</w:t>
            </w:r>
          </w:p>
          <w:p>
            <w:pPr>
              <w:spacing w:before="30" w:after="30"/>
            </w:pPr>
            <w:r>
              <w:rPr>
                <w:rFonts w:ascii="Arial" w:cs="Arial" w:eastAsia="Arial" w:hAnsi="Arial"/>
                <w:color w:val="4A4A4A"/>
                <w:sz w:val="20"/>
                <w:szCs w:val="20"/>
              </w:rPr>
              <w:t xml:space="preserve">Gathering fee:                                            −$0.45 / MMBtu</w:t>
            </w:r>
          </w:p>
          <w:p>
            <w:pPr>
              <w:spacing w:before="30" w:after="30"/>
            </w:pPr>
            <w:r>
              <w:rPr>
                <w:rFonts w:ascii="Arial" w:cs="Arial" w:eastAsia="Arial" w:hAnsi="Arial"/>
                <w:color w:val="4A4A4A"/>
                <w:sz w:val="20"/>
                <w:szCs w:val="20"/>
              </w:rPr>
              <w:t xml:space="preserve">Compression charge:                                       −$0.18 / MMBtu</w:t>
            </w:r>
          </w:p>
          <w:p>
            <w:pPr>
              <w:spacing w:before="30" w:after="30"/>
            </w:pPr>
            <w:r>
              <w:rPr>
                <w:rFonts w:ascii="Arial" w:cs="Arial" w:eastAsia="Arial" w:hAnsi="Arial"/>
                <w:color w:val="4A4A4A"/>
                <w:sz w:val="20"/>
                <w:szCs w:val="20"/>
              </w:rPr>
              <w:t xml:space="preserve">Processing / NGL extraction fee:                          −$0.22 / MMBtu</w:t>
            </w:r>
          </w:p>
          <w:p>
            <w:pPr>
              <w:spacing w:before="30" w:after="30"/>
            </w:pPr>
            <w:r>
              <w:rPr>
                <w:rFonts w:ascii="Arial" w:cs="Arial" w:eastAsia="Arial" w:hAnsi="Arial"/>
                <w:color w:val="4A4A4A"/>
                <w:sz w:val="20"/>
                <w:szCs w:val="20"/>
              </w:rPr>
              <w:t xml:space="preserve">Pipeline tariff:                                          −$0.31 / MMBtu</w:t>
            </w:r>
          </w:p>
          <w:p>
            <w:pPr>
              <w:spacing w:before="30" w:after="30"/>
            </w:pPr>
            <w:r>
              <w:rPr>
                <w:rFonts w:ascii="Arial" w:cs="Arial" w:eastAsia="Arial" w:hAnsi="Arial"/>
                <w:color w:val="4A4A4A"/>
                <w:sz w:val="20"/>
                <w:szCs w:val="20"/>
              </w:rPr>
              <w:t xml:space="preserve">Fuel deduction (pipeline use of your gas):                −$0.09 / MMBtu</w:t>
            </w:r>
          </w:p>
          <w:p>
            <w:pPr>
              <w:spacing w:before="30" w:after="30"/>
            </w:pPr>
            <w:r>
              <w:rPr>
                <w:rFonts w:ascii="Arial" w:cs="Arial" w:eastAsia="Arial" w:hAnsi="Arial"/>
                <w:color w:val="4A4A4A"/>
                <w:sz w:val="20"/>
                <w:szCs w:val="20"/>
              </w:rPr>
              <w:t xml:space="preserve">Shrinkage / line loss:                                    −$0.07 / MMBtu</w:t>
            </w:r>
          </w:p>
          <w:p>
            <w:pPr>
              <w:pBdr>
                <w:top w:val="single" w:color="CCCCCC" w:sz="2" w:space="4"/>
              </w:pBdr>
              <w:spacing w:before="100" w:after="0"/>
            </w:pPr>
            <w:r>
              <w:rPr>
                <w:rFonts w:ascii="Arial" w:cs="Arial" w:eastAsia="Arial" w:hAnsi="Arial"/>
                <w:b/>
                <w:bCs/>
                <w:color w:val="E8500A"/>
                <w:sz w:val="21"/>
                <w:szCs w:val="21"/>
              </w:rPr>
              <w:t xml:space="preserve">→ Operator take-home (illustrative):  ~$1.08 / MMBtu  —  45% of gross wellhead value</w:t>
            </w:r>
          </w:p>
        </w:tc>
      </w:tr>
    </w:tbl>
    <w:p>
      <w:pPr>
        <w:spacing w:before="160" w:after="80"/>
      </w:pPr>
      <w:r>
        <w:t xml:space="preserve"/>
      </w:r>
    </w:p>
    <w:p>
      <w:pPr>
        <w:spacing w:before="100" w:after="160"/>
      </w:pPr>
      <w:r>
        <w:rPr>
          <w:rFonts w:ascii="Arial" w:cs="Arial" w:eastAsia="Arial" w:hAnsi="Arial"/>
          <w:color w:val="4A4A4A"/>
          <w:sz w:val="22"/>
          <w:szCs w:val="22"/>
        </w:rPr>
        <w:t xml:space="preserve">That math is not a bad month. That is the structure. Gathering fees, compression charges, processing deductions, pipeline tariffs, fuel deductions, and shrinkage are all built into the contract you signed when you connected to the midstream system. They don’t fluctuate much when gas prices move—they are largely fixed costs on a per-unit basis. So when Henry Hub falls to $2.00, your netback doesn’t fall by 17%. It can fall by 40% or more, because the fee stack doesn’t compress with the commodity price.</w:t>
      </w:r>
    </w:p>
    <w:p>
      <w:pPr>
        <w:spacing w:before="100" w:after="160"/>
      </w:pPr>
      <w:r>
        <w:rPr>
          <w:rFonts w:ascii="Arial" w:cs="Arial" w:eastAsia="Arial" w:hAnsi="Arial"/>
          <w:color w:val="4A4A4A"/>
          <w:sz w:val="22"/>
          <w:szCs w:val="22"/>
        </w:rPr>
        <w:t xml:space="preserve">The practical consequence: gas at $2.40 with a $1.32 fee stack yields a netback of $1.08. Gas at $1.80 with the same fee stack yields a netback of $0.48. The midstream infrastructure that seemed like a reasonable deal at $4.00 gas has become an instrument that captures the majority of your revenue when prices are soft.</w:t>
      </w:r>
    </w:p>
    <w:p>
      <w:pPr>
        <w:spacing w:before="10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8500A" w:sz="12"/>
              <w:left w:val="none" w:color="FFFFFF" w:sz="0"/>
              <w:bottom w:val="single" w:color="E8500A" w:sz="12"/>
              <w:right w:val="none" w:color="FFFFFF" w:sz="0"/>
            </w:tcBorders>
            <w:shd w:fill="FFF6F2" w:val="clear"/>
            <w:tcMar>
              <w:top w:type="dxa" w:w="220"/>
              <w:left w:type="dxa" w:w="280"/>
              <w:bottom w:type="dxa" w:w="220"/>
              <w:right w:type="dxa" w:w="280"/>
            </w:tcMar>
          </w:tcPr>
          <w:p>
            <w:pPr>
              <w:jc w:val="center"/>
            </w:pPr>
            <w:r>
              <w:rPr>
                <w:rFonts w:ascii="Arial" w:cs="Arial" w:eastAsia="Arial" w:hAnsi="Arial"/>
                <w:b/>
                <w:bCs/>
                <w:i/>
                <w:iCs/>
                <w:color w:val="1A1A1A"/>
                <w:sz w:val="27"/>
                <w:szCs w:val="27"/>
              </w:rPr>
              <w:t xml:space="preserve">“The fee stack doesn’t compress with the commodity price. You absorb the entire downside.”</w:t>
            </w:r>
          </w:p>
        </w:tc>
      </w:tr>
    </w:tbl>
    <w:p>
      <w:pPr>
        <w:spacing w:before="160" w:after="80"/>
      </w:pPr>
      <w:r>
        <w:t xml:space="preserve"/>
      </w:r>
    </w:p>
    <w:p>
      <w:pPr>
        <w:pStyle w:val="Heading2"/>
        <w:pBdr>
          <w:bottom w:val="single" w:color="E8500A" w:sz="4" w:space="4"/>
        </w:pBdr>
        <w:spacing w:before="320" w:after="100"/>
      </w:pPr>
      <w:r>
        <w:rPr>
          <w:rFonts w:ascii="Arial" w:cs="Arial" w:eastAsia="Arial" w:hAnsi="Arial"/>
          <w:b/>
          <w:bCs/>
          <w:color w:val="1A1A1A"/>
          <w:sz w:val="26"/>
          <w:szCs w:val="26"/>
        </w:rPr>
        <w:t xml:space="preserve">Why Negotiating Doesn’t Fix It</w:t>
      </w:r>
    </w:p>
    <w:p>
      <w:pPr>
        <w:spacing w:before="100" w:after="160"/>
      </w:pPr>
      <w:r>
        <w:rPr>
          <w:rFonts w:ascii="Arial" w:cs="Arial" w:eastAsia="Arial" w:hAnsi="Arial"/>
          <w:color w:val="4A4A4A"/>
          <w:sz w:val="22"/>
          <w:szCs w:val="22"/>
        </w:rPr>
        <w:t xml:space="preserve">The conventional advice for low-netback operators is to renegotiate the gathering agreement, shop the pipeline, or wait for market conditions to improve. This advice is largely useless in practice.</w:t>
      </w:r>
    </w:p>
    <w:p>
      <w:pPr>
        <w:spacing w:before="100" w:after="160"/>
      </w:pPr>
      <w:r>
        <w:rPr>
          <w:rFonts w:ascii="Arial" w:cs="Arial" w:eastAsia="Arial" w:hAnsi="Arial"/>
          <w:color w:val="4A4A4A"/>
          <w:sz w:val="22"/>
          <w:szCs w:val="22"/>
        </w:rPr>
        <w:t xml:space="preserve">Renegotiating a gathering agreement when you’re already connected requires threatening to disconnect—and following through if the midstream company doesn’t budge. Most operators don’t have that leverage, because disconnecting means flaring or shutting in production. You’re negotiating from a position of dependency, against a counterparty that knows it.</w:t>
      </w:r>
    </w:p>
    <w:p>
      <w:pPr>
        <w:spacing w:before="100" w:after="160"/>
      </w:pPr>
      <w:r>
        <w:rPr>
          <w:rFonts w:ascii="Arial" w:cs="Arial" w:eastAsia="Arial" w:hAnsi="Arial"/>
          <w:color w:val="4A4A4A"/>
          <w:sz w:val="22"/>
          <w:szCs w:val="22"/>
        </w:rPr>
        <w:t xml:space="preserve">Shopping the pipeline assumes there is competition—that another gatherer wants your volumes badly enough to offer better terms. In most producing basins, midstream infrastructure is geographically concentrated. The pipeline that runs to your pad is often the only pipeline. There is no auction.</w:t>
      </w:r>
    </w:p>
    <w:p>
      <w:pPr>
        <w:spacing w:before="100" w:after="160"/>
      </w:pPr>
      <w:r>
        <w:rPr>
          <w:rFonts w:ascii="Arial" w:cs="Arial" w:eastAsia="Arial" w:hAnsi="Arial"/>
          <w:color w:val="4A4A4A"/>
          <w:sz w:val="22"/>
          <w:szCs w:val="22"/>
        </w:rPr>
        <w:t xml:space="preserve">Waiting for gas prices to recover is a strategy for the commodity problem, not the structural one. Even at $4.00 gas, the fee stack takes 30–40% of gross value. The structural problem exists at every price level. It is just less painful when prices are high.</w:t>
      </w:r>
    </w:p>
    <w:p>
      <w:pPr>
        <w:spacing w:before="10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E8500A" w:sz="10"/>
              <w:bottom w:val="none" w:color="FFFFFF" w:sz="0"/>
              <w:right w:val="none" w:color="FFFFFF" w:sz="0"/>
            </w:tcBorders>
            <w:shd w:fill="FFF6F2" w:val="clear"/>
            <w:tcMar>
              <w:top w:type="dxa" w:w="140"/>
              <w:left w:type="dxa" w:w="200"/>
              <w:bottom w:type="dxa" w:w="140"/>
              <w:right w:type="dxa" w:w="200"/>
            </w:tcMar>
          </w:tcPr>
          <w:p>
            <w:pPr>
              <w:spacing w:before="0" w:after="60"/>
            </w:pPr>
            <w:r>
              <w:rPr>
                <w:rFonts w:ascii="Arial" w:cs="Arial" w:eastAsia="Arial" w:hAnsi="Arial"/>
                <w:b/>
                <w:bCs/>
                <w:color w:val="E8500A"/>
                <w:sz w:val="21"/>
                <w:szCs w:val="21"/>
              </w:rPr>
              <w:t xml:space="preserve">THE INSIGHT MOST OPERATORS MISS</w:t>
            </w:r>
          </w:p>
          <w:p>
            <w:pPr>
              <w:spacing w:before="0" w:after="0"/>
            </w:pPr>
            <w:r>
              <w:rPr>
                <w:rFonts w:ascii="Arial" w:cs="Arial" w:eastAsia="Arial" w:hAnsi="Arial"/>
                <w:color w:val="4A4A4A"/>
                <w:sz w:val="21"/>
                <w:szCs w:val="21"/>
              </w:rPr>
              <w:t xml:space="preserve">The midstream system was designed for large, committed volumes on long-term contracts. For marginal volumes—pads producing 50–300 Mcfd at the edges of infrastructure—the fee stack per unit is often worse than average, because the midstream company has less incentive to compete for smaller commitments. The operators with the worst netbacks are usually the operators for whom the midstream model was never designed to work well.</w:t>
            </w:r>
          </w:p>
        </w:tc>
      </w:tr>
    </w:tbl>
    <w:p>
      <w:pPr>
        <w:spacing w:before="160" w:after="80"/>
      </w:pPr>
      <w:r>
        <w:t xml:space="preserve"/>
      </w:r>
    </w:p>
    <w:p>
      <w:pPr>
        <w:pStyle w:val="Heading2"/>
        <w:pBdr>
          <w:bottom w:val="single" w:color="E8500A" w:sz="4" w:space="4"/>
        </w:pBdr>
        <w:spacing w:before="320" w:after="100"/>
      </w:pPr>
      <w:r>
        <w:rPr>
          <w:rFonts w:ascii="Arial" w:cs="Arial" w:eastAsia="Arial" w:hAnsi="Arial"/>
          <w:b/>
          <w:bCs/>
          <w:color w:val="1A1A1A"/>
          <w:sz w:val="26"/>
          <w:szCs w:val="26"/>
        </w:rPr>
        <w:t xml:space="preserve">The Solution Isn’t a Better Contract. It’s a Different Model.</w:t>
      </w:r>
    </w:p>
    <w:p>
      <w:pPr>
        <w:spacing w:before="100" w:after="160"/>
      </w:pPr>
      <w:r>
        <w:rPr>
          <w:rFonts w:ascii="Arial" w:cs="Arial" w:eastAsia="Arial" w:hAnsi="Arial"/>
          <w:color w:val="4A4A4A"/>
          <w:sz w:val="22"/>
          <w:szCs w:val="22"/>
        </w:rPr>
        <w:t xml:space="preserve">For marginal gas volumes—volumes where the midstream fee stack consumes most of the commodity value—the alternative is not to negotiate the fee stack down. It is to bypass it for those specific volumes.</w:t>
      </w:r>
    </w:p>
    <w:p>
      <w:pPr>
        <w:spacing w:before="100" w:after="160"/>
      </w:pPr>
      <w:r>
        <w:rPr>
          <w:rFonts w:ascii="Arial" w:cs="Arial" w:eastAsia="Arial" w:hAnsi="Arial"/>
          <w:color w:val="4A4A4A"/>
          <w:sz w:val="22"/>
          <w:szCs w:val="22"/>
        </w:rPr>
        <w:t xml:space="preserve">On-lease gas-to-hash deployment does exactly that. The gas that would have entered the midstream system at low or negative netback is instead consumed on-site to generate power and mine Bitcoin. No gathering fee. No pipeline tariff. No fuel deduction. The full energy value of the gas is captured at the wellhead, converted to electrical output, and monetized through a different market—one that has no correlation to Henry Hub.</w:t>
      </w:r>
    </w:p>
    <w:p>
      <w:pPr>
        <w:spacing w:before="100" w:after="160"/>
      </w:pPr>
      <w:r>
        <w:rPr>
          <w:rFonts w:ascii="Arial" w:cs="Arial" w:eastAsia="Arial" w:hAnsi="Arial"/>
          <w:color w:val="4A4A4A"/>
          <w:sz w:val="22"/>
          <w:szCs w:val="22"/>
        </w:rPr>
        <w:t xml:space="preserve">This is not a comprehensive solution for all of an operator’s gas production. It is a targeted solution for the marginal volumes where midstream economics are worst. An operator running 800 Mcfd to a pipeline at $1.10 netback might carve out 200 Mcfd of low-netback gas for on-lease deployment—keeping the pipeline relationship for the bulk of production while capturing substantially better value on the volumes that were costing the most to move.</w:t>
      </w:r>
    </w:p>
    <w:p>
      <w:pPr>
        <w:spacing w:before="100" w:after="160"/>
      </w:pPr>
      <w:r>
        <w:rPr>
          <w:rFonts w:ascii="Arial" w:cs="Arial" w:eastAsia="Arial" w:hAnsi="Arial"/>
          <w:color w:val="4A4A4A"/>
          <w:sz w:val="22"/>
          <w:szCs w:val="22"/>
        </w:rPr>
        <w:t xml:space="preserve">The math is not complicated. The question is whether the on-lease revenue on those marginal volumes exceeds the current pipeline netback. For gas currently being flared—where the netback is literally zero—the comparison is self-evidently favorable. For low-netback pipeline gas, the comparison requires a site-specific calculation, but the direction of the answer is usually clear.</w:t>
      </w:r>
    </w:p>
    <w:p>
      <w:pPr>
        <w:spacing w:before="100" w:after="80"/>
      </w:pPr>
      <w:r>
        <w:t xml:space="preserve"/>
      </w:r>
    </w:p>
    <w:p>
      <w:pPr>
        <w:spacing w:before="100" w:after="160"/>
      </w:pPr>
      <w:r>
        <w:rPr>
          <w:rFonts w:ascii="Arial" w:cs="Arial" w:eastAsia="Arial" w:hAnsi="Arial"/>
          <w:color w:val="1A1A1A"/>
          <w:sz w:val="22"/>
          <w:szCs w:val="22"/>
        </w:rPr>
        <w:t xml:space="preserve">We’re not anti-midstream. Gathering infrastructure is essential for the volumes it was designed to move. We’re saying that the same model that works well for high-volume, long-haul gas doesn’t work for every Mcf that comes out of the ground—and operators shouldn’t accept low or zero netback on marginal volumes when an alternative exists.</w:t>
      </w:r>
    </w:p>
    <w:p>
      <w:pPr>
        <w:spacing w:before="160" w:after="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8500A" w:sz="12"/>
              <w:left w:val="none" w:color="FFFFFF" w:sz="0"/>
              <w:bottom w:val="single" w:color="E8500A" w:sz="12"/>
              <w:right w:val="none" w:color="FFFFFF" w:sz="0"/>
            </w:tcBorders>
            <w:shd w:fill="1A1A1A" w:val="clear"/>
            <w:tcMar>
              <w:top w:type="dxa" w:w="240"/>
              <w:left w:type="dxa" w:w="320"/>
              <w:bottom w:type="dxa" w:w="240"/>
              <w:right w:type="dxa" w:w="320"/>
            </w:tcMar>
          </w:tcPr>
          <w:p>
            <w:pPr>
              <w:spacing w:before="0" w:after="80"/>
              <w:jc w:val="center"/>
            </w:pPr>
            <w:r>
              <w:rPr>
                <w:rFonts w:ascii="Arial" w:cs="Arial" w:eastAsia="Arial" w:hAnsi="Arial"/>
                <w:b/>
                <w:bCs/>
                <w:color w:val="FFFFFF"/>
                <w:sz w:val="25"/>
                <w:szCs w:val="25"/>
              </w:rPr>
              <w:t xml:space="preserve">See what on-lease actually pencils for your volumes.</w:t>
            </w:r>
          </w:p>
          <w:p>
            <w:pPr>
              <w:spacing w:before="0" w:after="100"/>
              <w:jc w:val="center"/>
            </w:pPr>
            <w:r>
              <w:rPr>
                <w:rFonts w:ascii="Arial" w:cs="Arial" w:eastAsia="Arial" w:hAnsi="Arial"/>
                <w:color w:val="BBBBBB"/>
                <w:sz w:val="21"/>
                <w:szCs w:val="21"/>
              </w:rPr>
              <w:t xml:space="preserve">Run your gas volume and current pipeline netback through our calculator. See the comparison side by side.</w:t>
            </w:r>
          </w:p>
          <w:p>
            <w:pPr>
              <w:spacing w:before="0" w:after="0"/>
              <w:jc w:val="center"/>
            </w:pPr>
            <w:r>
              <w:rPr>
                <w:rFonts w:ascii="Arial" w:cs="Arial" w:eastAsia="Arial" w:hAnsi="Arial"/>
                <w:b/>
                <w:bCs/>
                <w:color w:val="E8500A"/>
                <w:sz w:val="23"/>
                <w:szCs w:val="23"/>
              </w:rPr>
              <w:t xml:space="preserve">tools.mcf.digital</w:t>
            </w:r>
            <w:r>
              <w:rPr>
                <w:rFonts w:ascii="Arial" w:cs="Arial" w:eastAsia="Arial" w:hAnsi="Arial"/>
                <w:color w:val="E8500A"/>
                <w:sz w:val="21"/>
                <w:szCs w:val="21"/>
              </w:rPr>
              <w:t xml:space="preserve">   ·   Book a 15-minute fit call</w:t>
            </w:r>
          </w:p>
        </w:tc>
      </w:tr>
    </w:tbl>
    <w:p>
      <w:pPr>
        <w:spacing w:before="200" w:after="80"/>
      </w:pPr>
      <w:r>
        <w:t xml:space="preserve"/>
      </w:r>
    </w:p>
    <w:p>
      <w:pPr>
        <w:pBdr>
          <w:top w:val="single" w:color="DDDDDD" w:sz="4" w:space="4"/>
        </w:pBdr>
        <w:spacing w:before="0" w:after="0"/>
      </w:pPr>
      <w:r>
        <w:t xml:space="preserve"/>
      </w:r>
    </w:p>
    <w:p>
      <w:pPr>
        <w:spacing w:before="80" w:after="40"/>
      </w:pPr>
      <w:r>
        <w:t xml:space="preserve"/>
      </w:r>
    </w:p>
    <w:p>
      <w:pPr>
        <w:spacing w:before="0" w:after="60"/>
      </w:pPr>
      <w:r>
        <w:rPr>
          <w:rFonts w:ascii="Arial" w:cs="Arial" w:eastAsia="Arial" w:hAnsi="Arial"/>
          <w:b/>
          <w:bCs/>
          <w:color w:val="1A1A1A"/>
          <w:sz w:val="20"/>
          <w:szCs w:val="20"/>
        </w:rPr>
        <w:t xml:space="preserve">Related Reading</w:t>
      </w:r>
    </w:p>
    <w:p>
      <w:pPr>
        <w:pStyle w:val="ListParagraph"/>
        <w:numPr>
          <w:ilvl w:val="0"/>
          <w:numId w:val="2"/>
        </w:numPr>
        <w:spacing w:before="40" w:after="40"/>
      </w:pPr>
      <w:r>
        <w:rPr>
          <w:rFonts w:ascii="Arial" w:cs="Arial" w:eastAsia="Arial" w:hAnsi="Arial"/>
          <w:color w:val="666666"/>
          <w:sz w:val="20"/>
          <w:szCs w:val="20"/>
        </w:rPr>
        <w:t xml:space="preserve">How to Improve Low Gas Netbacks Without Midstream — mcf.digital/operator-guides/low-gas-netbacks</w:t>
      </w:r>
    </w:p>
    <w:p>
      <w:pPr>
        <w:pStyle w:val="ListParagraph"/>
        <w:numPr>
          <w:ilvl w:val="0"/>
          <w:numId w:val="2"/>
        </w:numPr>
        <w:spacing w:before="40" w:after="40"/>
      </w:pPr>
      <w:r>
        <w:rPr>
          <w:rFonts w:ascii="Arial" w:cs="Arial" w:eastAsia="Arial" w:hAnsi="Arial"/>
          <w:color w:val="666666"/>
          <w:sz w:val="20"/>
          <w:szCs w:val="20"/>
        </w:rPr>
        <w:t xml:space="preserve">Should You Bypass Midstream? — mcf.digital/articles/should-you-bypass-midstream</w:t>
      </w:r>
    </w:p>
    <w:p>
      <w:pPr>
        <w:pStyle w:val="ListParagraph"/>
        <w:numPr>
          <w:ilvl w:val="0"/>
          <w:numId w:val="2"/>
        </w:numPr>
        <w:spacing w:before="40" w:after="40"/>
      </w:pPr>
      <w:r>
        <w:rPr>
          <w:rFonts w:ascii="Arial" w:cs="Arial" w:eastAsia="Arial" w:hAnsi="Arial"/>
          <w:color w:val="666666"/>
          <w:sz w:val="20"/>
          <w:szCs w:val="20"/>
        </w:rPr>
        <w:t xml:space="preserve">What Is Gas Netback? The Complete Operator Definition — mcf.digital/glossary/what-is-gas-netback</w:t>
      </w:r>
    </w:p>
    <w:p>
      <w:pPr>
        <w:pStyle w:val="ListParagraph"/>
        <w:numPr>
          <w:ilvl w:val="0"/>
          <w:numId w:val="2"/>
        </w:numPr>
        <w:spacing w:before="40" w:after="40"/>
      </w:pPr>
      <w:r>
        <w:rPr>
          <w:rFonts w:ascii="Arial" w:cs="Arial" w:eastAsia="Arial" w:hAnsi="Arial"/>
          <w:color w:val="666666"/>
          <w:sz w:val="20"/>
          <w:szCs w:val="20"/>
        </w:rPr>
        <w:t xml:space="preserve">Stranded Gas Bitcoin Mining: When It Pencils and When It Doesn’t — mcf.digital/operator-guides/stranded-gas-bitcoin-mining</w:t>
      </w:r>
    </w:p>
    <w:p>
      <w:pPr>
        <w:spacing w:before="100" w:after="60"/>
      </w:pPr>
      <w:r>
        <w:t xml:space="preserve"/>
      </w:r>
    </w:p>
    <w:p>
      <w:pPr>
        <w:spacing w:before="0" w:after="0"/>
      </w:pPr>
      <w:r>
        <w:rPr>
          <w:rFonts w:ascii="Arial" w:cs="Arial" w:eastAsia="Arial" w:hAnsi="Arial"/>
          <w:b/>
          <w:bCs/>
          <w:color w:val="1A1A1A"/>
          <w:sz w:val="19"/>
          <w:szCs w:val="19"/>
        </w:rPr>
        <w:t xml:space="preserve">MCF.digital</w:t>
      </w:r>
      <w:r>
        <w:rPr>
          <w:rFonts w:ascii="Arial" w:cs="Arial" w:eastAsia="Arial" w:hAnsi="Arial"/>
          <w:color w:val="999999"/>
          <w:sz w:val="18"/>
          <w:szCs w:val="18"/>
        </w:rPr>
        <w:t xml:space="preserve">  ·  On-Lease Bitcoin Mining  ·  Flare Gas Monetization  ·  Gas-to-Hash Operator</w:t>
      </w:r>
    </w:p>
    <w:p>
      <w:pPr>
        <w:spacing w:before="40" w:after="0"/>
      </w:pPr>
      <w:r>
        <w:rPr>
          <w:rFonts w:ascii="Arial" w:cs="Arial" w:eastAsia="Arial" w:hAnsi="Arial"/>
          <w:color w:val="BBBBBB"/>
          <w:sz w:val="16"/>
          <w:szCs w:val="16"/>
        </w:rPr>
        <w:t xml:space="preserve">Audience: Operators  ·  Category: Thought Leadership  ·  mcf.digital/articles/gas-netback-problem-nobody-talks-about</w:t>
      </w:r>
    </w:p>
    <w:sectPr>
      <w:headerReference w:type="default" r:id="rId6"/>
      <w:footerReference w:type="default" r:id="rId7"/>
      <w:pgSz w:w="12240" w:h="15840" w:orient="portrait"/>
      <w:pgMar w:top="1080" w:right="1980" w:bottom="1080" w:left="1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828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mcf.digital/articles/gas-netback-problem-nobody-talks-about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THOUGHT LEADERSHIP  |  The Gas Netback Problem Nobody Talks About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2026-02-26T23:40:27.562Z</dcterms:created>
  <dcterms:modified xsi:type="dcterms:W3CDTF">2026-02-26T23:40:27.562Z</dcterms:modified>
</cp:coreProperties>
</file>

<file path=docProps/custom.xml><?xml version="1.0" encoding="utf-8"?>
<Properties xmlns="http://schemas.openxmlformats.org/officeDocument/2006/custom-properties" xmlns:vt="http://schemas.openxmlformats.org/officeDocument/2006/docPropsVTypes"/>
</file>