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OPERATORS</w:t>
      </w:r>
    </w:p>
    <w:p>
      <w:pPr>
        <w:spacing w:before="40" w:after="60"/>
      </w:pPr>
      <w:r>
        <w:rPr>
          <w:rFonts w:ascii="Arial" w:cs="Arial" w:eastAsia="Arial" w:hAnsi="Arial"/>
          <w:b/>
          <w:bCs/>
          <w:color w:val="1A1A1A"/>
          <w:sz w:val="50"/>
          <w:szCs w:val="50"/>
        </w:rPr>
        <w:t xml:space="preserve">Operators Don’t Need to</w:t>
      </w:r>
    </w:p>
    <w:p>
      <w:pPr>
        <w:spacing w:before="0" w:after="80"/>
      </w:pPr>
      <w:r>
        <w:rPr>
          <w:rFonts w:ascii="Arial" w:cs="Arial" w:eastAsia="Arial" w:hAnsi="Arial"/>
          <w:b/>
          <w:bCs/>
          <w:color w:val="E8500A"/>
          <w:sz w:val="50"/>
          <w:szCs w:val="50"/>
        </w:rPr>
        <w:t xml:space="preserve">Understand Bitcoin</w:t>
      </w:r>
    </w:p>
    <w:p>
      <w:pPr>
        <w:spacing w:before="0" w:after="80"/>
      </w:pPr>
      <w:r>
        <w:rPr>
          <w:rFonts w:ascii="Arial" w:cs="Arial" w:eastAsia="Arial" w:hAnsi="Arial"/>
          <w:b/>
          <w:bCs/>
          <w:color w:val="1A1A1A"/>
          <w:sz w:val="50"/>
          <w:szCs w:val="50"/>
        </w:rPr>
        <w:t xml:space="preserve">to Benefit from It</w:t>
      </w:r>
    </w:p>
    <w:p>
      <w:pPr>
        <w:spacing w:before="4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color w:val="AAAAAA"/>
          <w:sz w:val="19"/>
          <w:szCs w:val="19"/>
        </w:rPr>
        <w:t xml:space="preserve">   ·   mcf.digital/articles/operators-dont-need-to-understand-bitcoin</w:t>
      </w:r>
    </w:p>
    <w:p>
      <w:pPr>
        <w:spacing w:before="200" w:after="0"/>
      </w:pPr>
      <w:r>
        <w:t xml:space="preserve"/>
      </w:r>
    </w:p>
    <w:p>
      <w:pPr>
        <w:spacing w:before="0" w:after="220"/>
      </w:pPr>
      <w:r>
        <w:rPr>
          <w:rFonts w:ascii="Arial" w:cs="Arial" w:eastAsia="Arial" w:hAnsi="Arial"/>
          <w:i/>
          <w:iCs/>
          <w:color w:val="4A4A4A"/>
          <w:sz w:val="25"/>
          <w:szCs w:val="25"/>
        </w:rPr>
        <w:t xml:space="preserve">The most common thing we hear from operators who walk away from a gas-to-hash conversation is some version of: “I don’t know anything about crypto.” That’s a reasonable concern. It’s also irrelevant.</w:t>
      </w:r>
    </w:p>
    <w:p>
      <w:pPr>
        <w:spacing w:before="100" w:after="160"/>
      </w:pPr>
      <w:r>
        <w:rPr>
          <w:rFonts w:ascii="Arial" w:cs="Arial" w:eastAsia="Arial" w:hAnsi="Arial"/>
          <w:color w:val="4A4A4A"/>
          <w:sz w:val="22"/>
          <w:szCs w:val="22"/>
        </w:rPr>
        <w:t xml:space="preserve">You don’t need to understand Bitcoin to have a new buyer for your gas. You don’t need to understand block rewards to receive a monthly payment. You don’t need to understand hashrate to evaluate whether your wellhead gas is worth more under this arrangement than under your current one.</w:t>
      </w:r>
    </w:p>
    <w:p>
      <w:pPr>
        <w:spacing w:before="100" w:after="160"/>
      </w:pPr>
      <w:r>
        <w:rPr>
          <w:rFonts w:ascii="Arial" w:cs="Arial" w:eastAsia="Arial" w:hAnsi="Arial"/>
          <w:color w:val="4A4A4A"/>
          <w:sz w:val="22"/>
          <w:szCs w:val="22"/>
        </w:rPr>
        <w:t xml:space="preserve">The Bitcoin knowledge required to operate a successful gas-to-hash deployment as an operator is approximately zero. Here’s why.</w:t>
      </w:r>
    </w:p>
    <w:p>
      <w:pPr>
        <w:spacing w:before="12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Your Gas Has a New Buyer. That’s the Whole Story.</w:t>
      </w:r>
    </w:p>
    <w:p>
      <w:pPr>
        <w:spacing w:before="100" w:after="160"/>
      </w:pPr>
      <w:r>
        <w:rPr>
          <w:rFonts w:ascii="Arial" w:cs="Arial" w:eastAsia="Arial" w:hAnsi="Arial"/>
          <w:color w:val="4A4A4A"/>
          <w:sz w:val="22"/>
          <w:szCs w:val="22"/>
        </w:rPr>
        <w:t xml:space="preserve">When you sell gas to a pipeline, you don’t need to understand natural gas futures markets, basis differentials, or Henry Hub settlement mechanics to receive your netback check. You understand that your gas has a buyer, the buyer pays a defined rate, and the check shows up. The complexity behind that transaction is someone else’s problem.</w:t>
      </w:r>
    </w:p>
    <w:p>
      <w:pPr>
        <w:spacing w:before="100" w:after="160"/>
      </w:pPr>
      <w:r>
        <w:rPr>
          <w:rFonts w:ascii="Arial" w:cs="Arial" w:eastAsia="Arial" w:hAnsi="Arial"/>
          <w:color w:val="4A4A4A"/>
          <w:sz w:val="22"/>
          <w:szCs w:val="22"/>
        </w:rPr>
        <w:t xml:space="preserve">Gas-to-hash is the same relationship, structured differently. Your gas drives a generator on your pad. The generator produces electricity. The electricity powers mining computers. The mining computers produce Bitcoin. MCF.digital handles every step from gas inlet to Bitcoin distribution. You receive revenue on a defined schedule—either USD at a fixed rate (hosting structure) or a share of Bitcoin converted to USD at your election. The Bitcoin markets behind that revenue are our problem, not yours.</w:t>
      </w:r>
    </w:p>
    <w:p>
      <w:pPr>
        <w:spacing w:before="100" w:after="160"/>
      </w:pPr>
      <w:r>
        <w:rPr>
          <w:rFonts w:ascii="Arial" w:cs="Arial" w:eastAsia="Arial" w:hAnsi="Arial"/>
          <w:color w:val="4A4A4A"/>
          <w:sz w:val="22"/>
          <w:szCs w:val="22"/>
        </w:rPr>
        <w:t xml:space="preserve">The operator’s relationship with a gas-to-hash deployment is simpler than their relationship with a midstream contract. There is no basis differential. There is no fuel deduction. There is no shrinkage clause. There is no MVC. You provide gas. You receive revenue. The complexity is on our side of the agreement.</w:t>
      </w:r>
    </w:p>
    <w:p>
      <w:pPr>
        <w:spacing w:before="10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FFF6F2" w:val="clear"/>
            <w:tcMar>
              <w:top w:type="dxa" w:w="220"/>
              <w:left w:type="dxa" w:w="280"/>
              <w:bottom w:type="dxa" w:w="220"/>
              <w:right w:type="dxa" w:w="280"/>
            </w:tcMar>
          </w:tcPr>
          <w:p>
            <w:pPr>
              <w:jc w:val="center"/>
            </w:pPr>
            <w:r>
              <w:rPr>
                <w:rFonts w:ascii="Arial" w:cs="Arial" w:eastAsia="Arial" w:hAnsi="Arial"/>
                <w:b/>
                <w:bCs/>
                <w:i/>
                <w:iCs/>
                <w:color w:val="1A1A1A"/>
                <w:sz w:val="27"/>
                <w:szCs w:val="27"/>
              </w:rPr>
              <w:t xml:space="preserve">“You don’t understand how your phone works either. You understand what it does.”</w:t>
            </w:r>
          </w:p>
        </w:tc>
      </w:tr>
    </w:tbl>
    <w:p>
      <w:pPr>
        <w:spacing w:before="16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A Translation Table You Won’t Actually Need</w:t>
      </w:r>
    </w:p>
    <w:p>
      <w:pPr>
        <w:spacing w:before="100" w:after="160"/>
      </w:pPr>
      <w:r>
        <w:rPr>
          <w:rFonts w:ascii="Arial" w:cs="Arial" w:eastAsia="Arial" w:hAnsi="Arial"/>
          <w:color w:val="4A4A4A"/>
          <w:sz w:val="22"/>
          <w:szCs w:val="22"/>
        </w:rPr>
        <w:t xml:space="preserve">In case you encounter these terms in a conversation about a gas-to-hash deployment—and someone uses them without translating—here is what they mean in operator language. But you genuinely don’t need to know any of this to evaluate whether the deal makes sense for your pad.</w:t>
      </w:r>
    </w:p>
    <w:p>
      <w:pPr>
        <w:spacing w:before="8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DDDDDD" w:sz="1"/>
              <w:left w:val="single" w:color="DDDDDD" w:sz="1"/>
              <w:bottom w:val="single" w:color="DDDDDD" w:sz="1"/>
              <w:right w:val="single" w:color="DDDDDD" w:sz="1"/>
            </w:tcBorders>
            <w:shd w:fill="2C2C2C" w:val="clear"/>
            <w:tcMar>
              <w:top w:type="dxa" w:w="100"/>
              <w:left w:type="dxa" w:w="160"/>
              <w:bottom w:type="dxa" w:w="100"/>
              <w:right w:type="dxa" w:w="160"/>
            </w:tcMar>
          </w:tcPr>
          <w:p>
            <w:r>
              <w:rPr>
                <w:rFonts w:ascii="Arial" w:cs="Arial" w:eastAsia="Arial" w:hAnsi="Arial"/>
                <w:b/>
                <w:bCs/>
                <w:i/>
                <w:iCs/>
                <w:color w:val="AAAAAA"/>
                <w:sz w:val="19"/>
                <w:szCs w:val="19"/>
              </w:rPr>
              <w:t xml:space="preserve">What the Bitcoin world calls it</w:t>
            </w:r>
          </w:p>
        </w:tc>
        <w:tc>
          <w:tcPr>
            <w:tcW w:type="dxa" w:w="544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19"/>
                <w:szCs w:val="19"/>
              </w:rPr>
              <w:t xml:space="preserve">What it means for your pad</w:t>
            </w:r>
          </w:p>
        </w:tc>
      </w:tr>
      <w:tr>
        <w:tc>
          <w:tcPr>
            <w:tcW w:type="dxa" w:w="320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i/>
                <w:iCs/>
                <w:color w:val="888888"/>
                <w:sz w:val="20"/>
                <w:szCs w:val="20"/>
              </w:rPr>
              <w:t xml:space="preserve">Hashrate / Hash power</w:t>
            </w:r>
          </w:p>
        </w:tc>
        <w:tc>
          <w:tcPr>
            <w:tcW w:type="dxa" w:w="544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How much “work” the mining computers are doing. More work = more potential revenue. Not your concern—you provide the gas that powers the computers.</w:t>
            </w:r>
          </w:p>
        </w:tc>
      </w:tr>
      <w:tr>
        <w:tc>
          <w:tcPr>
            <w:tcW w:type="dxa" w:w="3200"/>
            <w:tcBorders>
              <w:top w:val="single" w:color="DDDDDD" w:sz="1"/>
              <w:left w:val="single" w:color="DDDDDD" w:sz="1"/>
              <w:bottom w:val="single" w:color="DDDDDD" w:sz="1"/>
              <w:right w:val="single" w:color="DDDDDD" w:sz="1"/>
            </w:tcBorders>
            <w:shd w:fill="EEEEEE" w:val="clear"/>
            <w:tcMar>
              <w:top w:type="dxa" w:w="110"/>
              <w:left w:type="dxa" w:w="160"/>
              <w:bottom w:type="dxa" w:w="110"/>
              <w:right w:type="dxa" w:w="160"/>
            </w:tcMar>
          </w:tcPr>
          <w:p>
            <w:r>
              <w:rPr>
                <w:rFonts w:ascii="Arial" w:cs="Arial" w:eastAsia="Arial" w:hAnsi="Arial"/>
                <w:i/>
                <w:iCs/>
                <w:color w:val="888888"/>
                <w:sz w:val="20"/>
                <w:szCs w:val="20"/>
              </w:rPr>
              <w:t xml:space="preserve">Mining difficulty</w:t>
            </w:r>
          </w:p>
        </w:tc>
        <w:tc>
          <w:tcPr>
            <w:tcW w:type="dxa" w:w="5440"/>
            <w:tcBorders>
              <w:top w:val="single" w:color="DDDDDD" w:sz="1"/>
              <w:left w:val="single" w:color="DDDDDD" w:sz="1"/>
              <w:bottom w:val="single" w:color="DDDDDD" w:sz="1"/>
              <w:right w:val="single" w:color="DDDDDD" w:sz="1"/>
            </w:tcBorders>
            <w:shd w:fill="F9F9F9" w:val="clear"/>
            <w:tcMar>
              <w:top w:type="dxa" w:w="110"/>
              <w:left w:type="dxa" w:w="160"/>
              <w:bottom w:type="dxa" w:w="110"/>
              <w:right w:type="dxa" w:w="160"/>
            </w:tcMar>
          </w:tcPr>
          <w:p>
            <w:r>
              <w:rPr>
                <w:rFonts w:ascii="Arial" w:cs="Arial" w:eastAsia="Arial" w:hAnsi="Arial"/>
                <w:color w:val="4A4A4A"/>
                <w:sz w:val="20"/>
                <w:szCs w:val="20"/>
              </w:rPr>
              <w:t xml:space="preserve">How hard it is to earn Bitcoin at a given moment. It adjusts automatically every two weeks. Affects the miner’s margin, not your gas payment.</w:t>
            </w:r>
          </w:p>
        </w:tc>
      </w:tr>
      <w:tr>
        <w:tc>
          <w:tcPr>
            <w:tcW w:type="dxa" w:w="320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i/>
                <w:iCs/>
                <w:color w:val="888888"/>
                <w:sz w:val="20"/>
                <w:szCs w:val="20"/>
              </w:rPr>
              <w:t xml:space="preserve">Block reward / Block subsidy</w:t>
            </w:r>
          </w:p>
        </w:tc>
        <w:tc>
          <w:tcPr>
            <w:tcW w:type="dxa" w:w="544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The Bitcoin earned each time a block is validated. Scheduled to reduce over time. Again—the miner’s economics, not yours under a hosting structure.</w:t>
            </w:r>
          </w:p>
        </w:tc>
      </w:tr>
      <w:tr>
        <w:tc>
          <w:tcPr>
            <w:tcW w:type="dxa" w:w="3200"/>
            <w:tcBorders>
              <w:top w:val="single" w:color="DDDDDD" w:sz="1"/>
              <w:left w:val="single" w:color="DDDDDD" w:sz="1"/>
              <w:bottom w:val="single" w:color="DDDDDD" w:sz="1"/>
              <w:right w:val="single" w:color="DDDDDD" w:sz="1"/>
            </w:tcBorders>
            <w:shd w:fill="EEEEEE" w:val="clear"/>
            <w:tcMar>
              <w:top w:type="dxa" w:w="110"/>
              <w:left w:type="dxa" w:w="160"/>
              <w:bottom w:type="dxa" w:w="110"/>
              <w:right w:type="dxa" w:w="160"/>
            </w:tcMar>
          </w:tcPr>
          <w:p>
            <w:r>
              <w:rPr>
                <w:rFonts w:ascii="Arial" w:cs="Arial" w:eastAsia="Arial" w:hAnsi="Arial"/>
                <w:i/>
                <w:iCs/>
                <w:color w:val="888888"/>
                <w:sz w:val="20"/>
                <w:szCs w:val="20"/>
              </w:rPr>
              <w:t xml:space="preserve">Hashprice</w:t>
            </w:r>
          </w:p>
        </w:tc>
        <w:tc>
          <w:tcPr>
            <w:tcW w:type="dxa" w:w="5440"/>
            <w:tcBorders>
              <w:top w:val="single" w:color="DDDDDD" w:sz="1"/>
              <w:left w:val="single" w:color="DDDDDD" w:sz="1"/>
              <w:bottom w:val="single" w:color="DDDDDD" w:sz="1"/>
              <w:right w:val="single" w:color="DDDDDD" w:sz="1"/>
            </w:tcBorders>
            <w:shd w:fill="F9F9F9" w:val="clear"/>
            <w:tcMar>
              <w:top w:type="dxa" w:w="110"/>
              <w:left w:type="dxa" w:w="160"/>
              <w:bottom w:type="dxa" w:w="110"/>
              <w:right w:type="dxa" w:w="160"/>
            </w:tcMar>
          </w:tcPr>
          <w:p>
            <w:r>
              <w:rPr>
                <w:rFonts w:ascii="Arial" w:cs="Arial" w:eastAsia="Arial" w:hAnsi="Arial"/>
                <w:color w:val="4A4A4A"/>
                <w:sz w:val="20"/>
                <w:szCs w:val="20"/>
              </w:rPr>
              <w:t xml:space="preserve">Daily revenue per unit of computing power. This is what determines how much Bitcoin is mined from your gas. You’ll see it in monthly reports if you ask.</w:t>
            </w:r>
          </w:p>
        </w:tc>
      </w:tr>
      <w:tr>
        <w:tc>
          <w:tcPr>
            <w:tcW w:type="dxa" w:w="320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i/>
                <w:iCs/>
                <w:color w:val="888888"/>
                <w:sz w:val="20"/>
                <w:szCs w:val="20"/>
              </w:rPr>
              <w:t xml:space="preserve">Mining pool</w:t>
            </w:r>
          </w:p>
        </w:tc>
        <w:tc>
          <w:tcPr>
            <w:tcW w:type="dxa" w:w="544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The network the computers connect to in order to earn Bitcoin. Like a collective that shares the work and the payout. You don’t interact with it.</w:t>
            </w:r>
          </w:p>
        </w:tc>
      </w:tr>
      <w:tr>
        <w:tc>
          <w:tcPr>
            <w:tcW w:type="dxa" w:w="3200"/>
            <w:tcBorders>
              <w:top w:val="single" w:color="DDDDDD" w:sz="1"/>
              <w:left w:val="single" w:color="DDDDDD" w:sz="1"/>
              <w:bottom w:val="single" w:color="DDDDDD" w:sz="1"/>
              <w:right w:val="single" w:color="DDDDDD" w:sz="1"/>
            </w:tcBorders>
            <w:shd w:fill="EEEEEE" w:val="clear"/>
            <w:tcMar>
              <w:top w:type="dxa" w:w="110"/>
              <w:left w:type="dxa" w:w="160"/>
              <w:bottom w:type="dxa" w:w="110"/>
              <w:right w:type="dxa" w:w="160"/>
            </w:tcMar>
          </w:tcPr>
          <w:p>
            <w:r>
              <w:rPr>
                <w:rFonts w:ascii="Arial" w:cs="Arial" w:eastAsia="Arial" w:hAnsi="Arial"/>
                <w:i/>
                <w:iCs/>
                <w:color w:val="888888"/>
                <w:sz w:val="20"/>
                <w:szCs w:val="20"/>
              </w:rPr>
              <w:t xml:space="preserve">Custody / Self-custody</w:t>
            </w:r>
          </w:p>
        </w:tc>
        <w:tc>
          <w:tcPr>
            <w:tcW w:type="dxa" w:w="5440"/>
            <w:tcBorders>
              <w:top w:val="single" w:color="DDDDDD" w:sz="1"/>
              <w:left w:val="single" w:color="DDDDDD" w:sz="1"/>
              <w:bottom w:val="single" w:color="DDDDDD" w:sz="1"/>
              <w:right w:val="single" w:color="DDDDDD" w:sz="1"/>
            </w:tcBorders>
            <w:shd w:fill="F9F9F9" w:val="clear"/>
            <w:tcMar>
              <w:top w:type="dxa" w:w="110"/>
              <w:left w:type="dxa" w:w="160"/>
              <w:bottom w:type="dxa" w:w="110"/>
              <w:right w:type="dxa" w:w="160"/>
            </w:tcMar>
          </w:tcPr>
          <w:p>
            <w:r>
              <w:rPr>
                <w:rFonts w:ascii="Arial" w:cs="Arial" w:eastAsia="Arial" w:hAnsi="Arial"/>
                <w:color w:val="4A4A4A"/>
                <w:sz w:val="20"/>
                <w:szCs w:val="20"/>
              </w:rPr>
              <w:t xml:space="preserve">Where the Bitcoin is held. Under a custody-first structure, your share goes directly to a wallet you control. You don’t need to understand wallets to receive USD from one.</w:t>
            </w:r>
          </w:p>
        </w:tc>
      </w:tr>
      <w:tr>
        <w:tc>
          <w:tcPr>
            <w:tcW w:type="dxa" w:w="320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i/>
                <w:iCs/>
                <w:color w:val="888888"/>
                <w:sz w:val="20"/>
                <w:szCs w:val="20"/>
              </w:rPr>
              <w:t xml:space="preserve">ASIC</w:t>
            </w:r>
          </w:p>
        </w:tc>
        <w:tc>
          <w:tcPr>
            <w:tcW w:type="dxa" w:w="544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The type of computer that does the mining. Stands for Application-Specific Integrated Circuit. You can call them “miners” or “boxes.” Same thing.</w:t>
            </w:r>
          </w:p>
        </w:tc>
      </w:tr>
    </w:tbl>
    <w:p>
      <w:pPr>
        <w:spacing w:before="160" w:after="10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What You Actually Need to Evaluate</w:t>
      </w:r>
    </w:p>
    <w:p>
      <w:pPr>
        <w:spacing w:before="100" w:after="160"/>
      </w:pPr>
      <w:r>
        <w:rPr>
          <w:rFonts w:ascii="Arial" w:cs="Arial" w:eastAsia="Arial" w:hAnsi="Arial"/>
          <w:color w:val="4A4A4A"/>
          <w:sz w:val="22"/>
          <w:szCs w:val="22"/>
        </w:rPr>
        <w:t xml:space="preserve">The evaluation for an operator is exactly the same as any other gas monetization decision. Three questions:</w:t>
      </w:r>
    </w:p>
    <w:p>
      <w:pPr>
        <w:pStyle w:val="ListParagraph"/>
        <w:numPr>
          <w:ilvl w:val="0"/>
          <w:numId w:val="2"/>
        </w:numPr>
        <w:spacing w:before="70" w:after="70"/>
      </w:pPr>
      <w:r>
        <w:rPr>
          <w:rFonts w:ascii="Arial" w:cs="Arial" w:eastAsia="Arial" w:hAnsi="Arial"/>
          <w:color w:val="4A4A4A"/>
          <w:sz w:val="22"/>
          <w:szCs w:val="22"/>
        </w:rPr>
        <w:t xml:space="preserve">Does the revenue from on-lease deployment exceed my current alternative for those gas volumes?</w:t>
      </w:r>
    </w:p>
    <w:p>
      <w:pPr>
        <w:pStyle w:val="ListParagraph"/>
        <w:numPr>
          <w:ilvl w:val="0"/>
          <w:numId w:val="2"/>
        </w:numPr>
        <w:spacing w:before="70" w:after="70"/>
      </w:pPr>
      <w:r>
        <w:rPr>
          <w:rFonts w:ascii="Arial" w:cs="Arial" w:eastAsia="Arial" w:hAnsi="Arial"/>
          <w:color w:val="4A4A4A"/>
          <w:sz w:val="22"/>
          <w:szCs w:val="22"/>
        </w:rPr>
        <w:t xml:space="preserve">What happens to my revenue if conditions change—Bitcoin price moves, gas volumes decline, the operator needs to exit?</w:t>
      </w:r>
    </w:p>
    <w:p>
      <w:pPr>
        <w:pStyle w:val="ListParagraph"/>
        <w:numPr>
          <w:ilvl w:val="0"/>
          <w:numId w:val="2"/>
        </w:numPr>
        <w:spacing w:before="70" w:after="70"/>
      </w:pPr>
      <w:r>
        <w:rPr>
          <w:rFonts w:ascii="Arial" w:cs="Arial" w:eastAsia="Arial" w:hAnsi="Arial"/>
          <w:color w:val="4A4A4A"/>
          <w:sz w:val="22"/>
          <w:szCs w:val="22"/>
        </w:rPr>
        <w:t xml:space="preserve">Is the operator I’m working with reliable and transparent?</w:t>
      </w:r>
    </w:p>
    <w:p>
      <w:pPr>
        <w:spacing w:before="80" w:after="60"/>
      </w:pPr>
      <w:r>
        <w:t xml:space="preserve"/>
      </w:r>
    </w:p>
    <w:p>
      <w:pPr>
        <w:spacing w:before="100" w:after="160"/>
      </w:pPr>
      <w:r>
        <w:rPr>
          <w:rFonts w:ascii="Arial" w:cs="Arial" w:eastAsia="Arial" w:hAnsi="Arial"/>
          <w:color w:val="4A4A4A"/>
          <w:sz w:val="22"/>
          <w:szCs w:val="22"/>
        </w:rPr>
        <w:t xml:space="preserve">None of those questions require Bitcoin knowledge. The first is arithmetic—compare your current netback to the proposed payment structure. The second is risk management—the same analysis you run on any production decision. The third is due diligence—the same reference checks you’d run on any service company.</w:t>
      </w:r>
    </w:p>
    <w:p>
      <w:pPr>
        <w:spacing w:before="100" w:after="160"/>
      </w:pPr>
      <w:r>
        <w:rPr>
          <w:rFonts w:ascii="Arial" w:cs="Arial" w:eastAsia="Arial" w:hAnsi="Arial"/>
          <w:color w:val="4A4A4A"/>
          <w:sz w:val="22"/>
          <w:szCs w:val="22"/>
        </w:rPr>
        <w:t xml:space="preserve">Bitcoin’s price volatility is the one place where the underlying market becomes relevant to an operator. But here too, the structure handles it. Under a hosting arrangement—the simplest deal structure—your revenue is a fixed USD rate per kilowatt-hour of power consumed by the equipment. Bitcoin’s price is entirely irrelevant to your income. The miner absorbs all the Bitcoin market exposure. You receive a stable USD payment regardless of what the cryptocurrency markets do.</w:t>
      </w:r>
    </w:p>
    <w:p>
      <w:pPr>
        <w:spacing w:before="8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E8500A" w:sz="10"/>
              <w:bottom w:val="none" w:color="FFFFFF" w:sz="0"/>
              <w:right w:val="none" w:color="FFFFFF" w:sz="0"/>
            </w:tcBorders>
            <w:shd w:fill="FFF6F2" w:val="clear"/>
            <w:tcMar>
              <w:top w:type="dxa" w:w="140"/>
              <w:left w:type="dxa" w:w="200"/>
              <w:bottom w:type="dxa" w:w="140"/>
              <w:right w:type="dxa" w:w="200"/>
            </w:tcMar>
          </w:tcPr>
          <w:p>
            <w:pPr>
              <w:spacing w:before="0" w:after="60"/>
            </w:pPr>
            <w:r>
              <w:rPr>
                <w:rFonts w:ascii="Arial" w:cs="Arial" w:eastAsia="Arial" w:hAnsi="Arial"/>
                <w:b/>
                <w:bCs/>
                <w:color w:val="E8500A"/>
                <w:sz w:val="21"/>
                <w:szCs w:val="21"/>
              </w:rPr>
              <w:t xml:space="preserve">THE QUESTION WE ACTUALLY GET ASKED</w:t>
            </w:r>
          </w:p>
          <w:p>
            <w:pPr>
              <w:spacing w:before="0" w:after="0"/>
            </w:pPr>
            <w:r>
              <w:rPr>
                <w:rFonts w:ascii="Arial" w:cs="Arial" w:eastAsia="Arial" w:hAnsi="Arial"/>
                <w:color w:val="4A4A4A"/>
                <w:sz w:val="21"/>
                <w:szCs w:val="21"/>
              </w:rPr>
              <w:t xml:space="preserve">“So I don’t need to put Bitcoin on my balance sheet?” Under a hosting structure: correct. Your revenue is USD. You are selling electrical power generated from your wellhead gas. The Bitcoin exists only in the miner’s world. From your accounting department’s perspective, this is a power sales agreement, not a crypto investment.</w:t>
            </w:r>
          </w:p>
        </w:tc>
      </w:tr>
    </w:tbl>
    <w:p>
      <w:pPr>
        <w:spacing w:before="160" w:after="100"/>
      </w:pPr>
      <w:r>
        <w:t xml:space="preserve"/>
      </w:r>
    </w:p>
    <w:p>
      <w:pPr>
        <w:spacing w:before="100" w:after="160"/>
      </w:pPr>
      <w:r>
        <w:rPr>
          <w:rFonts w:ascii="Arial" w:cs="Arial" w:eastAsia="Arial" w:hAnsi="Arial"/>
          <w:color w:val="4A4A4A"/>
          <w:sz w:val="22"/>
          <w:szCs w:val="22"/>
        </w:rPr>
        <w:t xml:space="preserve">The “I don’t understand crypto” objection is really two concerns disguised as one. The first is genuine unfamiliarity with the technology—which this piece has addressed. The second is a concern about whether something complicated and volatile is being layered onto an already-complicated production operation.</w:t>
      </w:r>
    </w:p>
    <w:p>
      <w:pPr>
        <w:spacing w:before="100" w:after="160"/>
      </w:pPr>
      <w:r>
        <w:rPr>
          <w:rFonts w:ascii="Arial" w:cs="Arial" w:eastAsia="Arial" w:hAnsi="Arial"/>
          <w:color w:val="4A4A4A"/>
          <w:sz w:val="22"/>
          <w:szCs w:val="22"/>
        </w:rPr>
        <w:t xml:space="preserve">That second concern is legitimate. The answer to it is not “trust Bitcoin.” The answer is: choose the deal structure that keeps the Bitcoin complexity on the other side of the agreement. Under a hosting structure, you are not in the Bitcoin business. You are in the gas business. Your gas has a new buyer. The buyer pays in dollars. The buyer doesn’t need a pipeline.</w:t>
      </w:r>
    </w:p>
    <w:p>
      <w:pPr>
        <w:spacing w:before="100" w:after="160"/>
      </w:pPr>
      <w:r>
        <w:rPr>
          <w:rFonts w:ascii="Arial" w:cs="Arial" w:eastAsia="Arial" w:hAnsi="Arial"/>
          <w:b/>
          <w:bCs/>
          <w:color w:val="1A1A1A"/>
          <w:sz w:val="22"/>
          <w:szCs w:val="22"/>
        </w:rPr>
        <w:t xml:space="preserve">That’s the whole story. The rest is someone else’s problem.</w:t>
      </w:r>
    </w:p>
    <w:p>
      <w:pPr>
        <w:spacing w:before="16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5"/>
                <w:szCs w:val="25"/>
              </w:rPr>
              <w:t xml:space="preserve">See what your gas is worth to a buyer with no pipeline.</w:t>
            </w:r>
          </w:p>
          <w:p>
            <w:pPr>
              <w:spacing w:before="0" w:after="100"/>
              <w:jc w:val="center"/>
            </w:pPr>
            <w:r>
              <w:rPr>
                <w:rFonts w:ascii="Arial" w:cs="Arial" w:eastAsia="Arial" w:hAnsi="Arial"/>
                <w:color w:val="BBBBBB"/>
                <w:sz w:val="20"/>
                <w:szCs w:val="20"/>
              </w:rPr>
              <w:t xml:space="preserve">No Bitcoin knowledge required. Enter your gas volume and current alternative. Get the comparison in plain numbers.</w:t>
            </w:r>
          </w:p>
          <w:p>
            <w:pPr>
              <w:spacing w:before="0" w:after="0"/>
              <w:jc w:val="center"/>
            </w:pPr>
            <w:r>
              <w:rPr>
                <w:rFonts w:ascii="Arial" w:cs="Arial" w:eastAsia="Arial" w:hAnsi="Arial"/>
                <w:b/>
                <w:bCs/>
                <w:color w:val="E8500A"/>
                <w:sz w:val="23"/>
                <w:szCs w:val="23"/>
              </w:rPr>
              <w:t xml:space="preserve">tools.mcf.digital</w:t>
            </w:r>
            <w:r>
              <w:rPr>
                <w:rFonts w:ascii="Arial" w:cs="Arial" w:eastAsia="Arial" w:hAnsi="Arial"/>
                <w:color w:val="E8500A"/>
                <w:sz w:val="21"/>
                <w:szCs w:val="21"/>
              </w:rPr>
              <w:t xml:space="preserve">   ·   Book a 15-minute fit call</w:t>
            </w:r>
          </w:p>
        </w:tc>
      </w:tr>
    </w:tbl>
    <w:p>
      <w:pPr>
        <w:spacing w:before="200" w:after="8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What Is On-Lease Bitcoin Mining? — mcf.digital/glossary/on-lease-bitcoin-mining</w:t>
      </w:r>
    </w:p>
    <w:p>
      <w:pPr>
        <w:pStyle w:val="ListParagraph"/>
        <w:numPr>
          <w:ilvl w:val="0"/>
          <w:numId w:val="2"/>
        </w:numPr>
        <w:spacing w:before="40" w:after="40"/>
      </w:pPr>
      <w:r>
        <w:rPr>
          <w:rFonts w:ascii="Arial" w:cs="Arial" w:eastAsia="Arial" w:hAnsi="Arial"/>
          <w:color w:val="666666"/>
          <w:sz w:val="20"/>
          <w:szCs w:val="20"/>
        </w:rPr>
        <w:t xml:space="preserve">Bitcoin Mining Hosting vs. Mining Yourself: Which Structure Fits Your Pad? — mcf.digital/guides/bitcoin-mining-hosting-vs-mining-yourself</w:t>
      </w:r>
    </w:p>
    <w:p>
      <w:pPr>
        <w:pStyle w:val="ListParagraph"/>
        <w:numPr>
          <w:ilvl w:val="0"/>
          <w:numId w:val="2"/>
        </w:numPr>
        <w:spacing w:before="40" w:after="40"/>
      </w:pPr>
      <w:r>
        <w:rPr>
          <w:rFonts w:ascii="Arial" w:cs="Arial" w:eastAsia="Arial" w:hAnsi="Arial"/>
          <w:color w:val="666666"/>
          <w:sz w:val="20"/>
          <w:szCs w:val="20"/>
        </w:rPr>
        <w:t xml:space="preserve">What Is Custody-First Bitcoin Payout? — mcf.digital/glossary/what-is-custody-first-bitcoin-payout</w:t>
      </w:r>
    </w:p>
    <w:p>
      <w:pPr>
        <w:pStyle w:val="ListParagraph"/>
        <w:numPr>
          <w:ilvl w:val="0"/>
          <w:numId w:val="2"/>
        </w:numPr>
        <w:spacing w:before="40" w:after="40"/>
      </w:pPr>
      <w:r>
        <w:rPr>
          <w:rFonts w:ascii="Arial" w:cs="Arial" w:eastAsia="Arial" w:hAnsi="Arial"/>
          <w:color w:val="666666"/>
          <w:sz w:val="20"/>
          <w:szCs w:val="20"/>
        </w:rPr>
        <w:t xml:space="preserve">The Complete Guide to Flare Gas Bitcoin Mining — mcf.digital/guides/complete-guide-flare-gas-bitcoin-mining</w:t>
      </w:r>
    </w:p>
    <w:p>
      <w:pPr>
        <w:spacing w:before="10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40" w:after="0"/>
      </w:pPr>
      <w:r>
        <w:rPr>
          <w:rFonts w:ascii="Arial" w:cs="Arial" w:eastAsia="Arial" w:hAnsi="Arial"/>
          <w:color w:val="BBBBBB"/>
          <w:sz w:val="16"/>
          <w:szCs w:val="16"/>
        </w:rPr>
        <w:t xml:space="preserve">Audience: Operators  ·  Category: Thought Leadership  ·  mcf.digital/articles/operators-dont-need-to-understand-bitcoin</w:t>
      </w:r>
    </w:p>
    <w:sectPr>
      <w:headerReference w:type="default" r:id="rId6"/>
      <w:footerReference w:type="default" r:id="rId7"/>
      <w:pgSz w:w="12240" w:h="15840" w:orient="portrait"/>
      <w:pgMar w:top="1080" w:right="1980" w:bottom="108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28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mcf.digital/articles/operators-dont-need-to-understand-bitcoin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Operators Don’t Need to Understand Bitcoin to Benefit from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2026-02-26T23:48:03.709Z</dcterms:created>
  <dcterms:modified xsi:type="dcterms:W3CDTF">2026-02-26T23:48:03.710Z</dcterms:modified>
</cp:coreProperties>
</file>

<file path=docProps/custom.xml><?xml version="1.0" encoding="utf-8"?>
<Properties xmlns="http://schemas.openxmlformats.org/officeDocument/2006/custom-properties" xmlns:vt="http://schemas.openxmlformats.org/officeDocument/2006/docPropsVTypes"/>
</file>