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pPr>
      <w:r>
        <w:rPr>
          <w:rFonts w:ascii="Arial" w:cs="Arial" w:eastAsia="Arial" w:hAnsi="Arial"/>
          <w:caps/>
          <w:color w:val="AAAAAA"/>
          <w:sz w:val="17"/>
          <w:szCs w:val="17"/>
        </w:rPr>
        <w:t xml:space="preserve">THOUGHT LEADERSHIP  //  OPERATORS  +  INVESTORS</w:t>
      </w:r>
    </w:p>
    <w:p>
      <w:pPr>
        <w:spacing w:before="40" w:after="60"/>
      </w:pPr>
      <w:r>
        <w:rPr>
          <w:rFonts w:ascii="Arial" w:cs="Arial" w:eastAsia="Arial" w:hAnsi="Arial"/>
          <w:b/>
          <w:bCs/>
          <w:color w:val="1A1A1A"/>
          <w:sz w:val="50"/>
          <w:szCs w:val="50"/>
        </w:rPr>
        <w:t xml:space="preserve">Bitcoin Price Is Not</w:t>
      </w:r>
    </w:p>
    <w:p>
      <w:pPr>
        <w:spacing w:before="0" w:after="80"/>
      </w:pPr>
      <w:r>
        <w:rPr>
          <w:rFonts w:ascii="Arial" w:cs="Arial" w:eastAsia="Arial" w:hAnsi="Arial"/>
          <w:b/>
          <w:bCs/>
          <w:color w:val="E8500A"/>
          <w:sz w:val="50"/>
          <w:szCs w:val="50"/>
        </w:rPr>
        <w:t xml:space="preserve">the Risk You Think It Is</w:t>
      </w:r>
    </w:p>
    <w:p>
      <w:pPr>
        <w:spacing w:before="40" w:after="0"/>
      </w:pPr>
      <w:r>
        <w:t xml:space="preserve"/>
      </w:r>
    </w:p>
    <w:p>
      <w:pPr>
        <w:pBdr>
          <w:bottom w:val="single" w:color="E0E0E0" w:sz="2" w:space="8"/>
        </w:pBdr>
        <w:spacing w:before="0" w:after="0"/>
      </w:pPr>
      <w:r>
        <w:rPr>
          <w:rFonts w:ascii="Arial" w:cs="Arial" w:eastAsia="Arial" w:hAnsi="Arial"/>
          <w:b/>
          <w:bCs/>
          <w:color w:val="E8500A"/>
          <w:sz w:val="19"/>
          <w:szCs w:val="19"/>
        </w:rPr>
        <w:t xml:space="preserve">By MCF.digital Operations Team</w:t>
      </w:r>
      <w:r>
        <w:rPr>
          <w:rFonts w:ascii="Arial" w:cs="Arial" w:eastAsia="Arial" w:hAnsi="Arial"/>
          <w:color w:val="AAAAAA"/>
          <w:sz w:val="19"/>
          <w:szCs w:val="19"/>
        </w:rPr>
        <w:t xml:space="preserve">   ·   mcf.digital/articles/bitcoin-price-not-the-risk</w:t>
      </w:r>
    </w:p>
    <w:p>
      <w:pPr>
        <w:spacing w:before="200" w:after="0"/>
      </w:pPr>
      <w:r>
        <w:t xml:space="preserve"/>
      </w:r>
    </w:p>
    <w:p>
      <w:pPr>
        <w:spacing w:before="0" w:after="220"/>
      </w:pPr>
      <w:r>
        <w:rPr>
          <w:rFonts w:ascii="Arial" w:cs="Arial" w:eastAsia="Arial" w:hAnsi="Arial"/>
          <w:i/>
          <w:iCs/>
          <w:color w:val="4A4A4A"/>
          <w:sz w:val="25"/>
          <w:szCs w:val="25"/>
        </w:rPr>
        <w:t xml:space="preserve">The objection comes up in almost every operator conversation: “What happens to my revenue if Bitcoin crashes?” It’s the right question. The answer depends entirely on which deal structure you’re in—and for operators in the right structure, Bitcoin’s price is largely someone else’s problem.</w:t>
      </w:r>
    </w:p>
    <w:p>
      <w:pPr>
        <w:spacing w:before="100" w:after="160"/>
      </w:pPr>
      <w:r>
        <w:rPr>
          <w:rFonts w:ascii="Arial" w:cs="Arial" w:eastAsia="Arial" w:hAnsi="Arial"/>
          <w:color w:val="4A4A4A"/>
          <w:sz w:val="22"/>
          <w:szCs w:val="22"/>
        </w:rPr>
        <w:t xml:space="preserve">Bitcoin’s volatility is real. It drops 30%, 50%, 70% in a cycle and recovers. Anyone who tells you otherwise is selling something. But volatility is not the same as risk—at least not for every party in the arrangement. Risk depends on exposure, and exposure depends on structure. Let’s be specific about what you actually face.</w:t>
      </w:r>
    </w:p>
    <w:p>
      <w:pPr>
        <w:spacing w:before="120" w:after="80"/>
      </w:pPr>
      <w:r>
        <w:t xml:space="preserve"/>
      </w:r>
    </w:p>
    <w:p>
      <w:pPr>
        <w:pStyle w:val="Heading2"/>
        <w:pBdr>
          <w:bottom w:val="single" w:color="E8500A" w:sz="4" w:space="4"/>
        </w:pBdr>
        <w:spacing w:before="320" w:after="100"/>
      </w:pPr>
      <w:r>
        <w:rPr>
          <w:rFonts w:ascii="Arial" w:cs="Arial" w:eastAsia="Arial" w:hAnsi="Arial"/>
          <w:b/>
          <w:bCs/>
          <w:color w:val="1A1A1A"/>
          <w:sz w:val="26"/>
          <w:szCs w:val="26"/>
        </w:rPr>
        <w:t xml:space="preserve">The Comparison That Changes Everything</w:t>
      </w:r>
    </w:p>
    <w:p>
      <w:pPr>
        <w:spacing w:before="100" w:after="160"/>
      </w:pPr>
      <w:r>
        <w:rPr>
          <w:rFonts w:ascii="Arial" w:cs="Arial" w:eastAsia="Arial" w:hAnsi="Arial"/>
          <w:color w:val="4A4A4A"/>
          <w:sz w:val="22"/>
          <w:szCs w:val="22"/>
        </w:rPr>
        <w:t xml:space="preserve">Operators ask “what if Bitcoin drops 50%” as if Bitcoin is the reference point for their economics. It isn’t. The reference point is their current alternative for that gas.</w:t>
      </w:r>
    </w:p>
    <w:p>
      <w:pPr>
        <w:spacing w:before="100" w:after="160"/>
      </w:pPr>
      <w:r>
        <w:rPr>
          <w:rFonts w:ascii="Arial" w:cs="Arial" w:eastAsia="Arial" w:hAnsi="Arial"/>
          <w:color w:val="4A4A4A"/>
          <w:sz w:val="22"/>
          <w:szCs w:val="22"/>
        </w:rPr>
        <w:t xml:space="preserve">For gas currently being flared: the current alternative generates $0 in revenue. A gas-to-hash deployment under any structure—even at a severely stressed Bitcoin price—generates positive revenue from gas that was previously being destroyed. The floor is not “some fraction of the Bitcoin price.” The floor is zero. And zero is already the baseline.</w:t>
      </w:r>
    </w:p>
    <w:p>
      <w:pPr>
        <w:spacing w:before="100" w:after="160"/>
      </w:pPr>
      <w:r>
        <w:rPr>
          <w:rFonts w:ascii="Arial" w:cs="Arial" w:eastAsia="Arial" w:hAnsi="Arial"/>
          <w:color w:val="4A4A4A"/>
          <w:sz w:val="22"/>
          <w:szCs w:val="22"/>
        </w:rPr>
        <w:t xml:space="preserve">For gas currently selling into a pipeline at a compressed netback: the reference point is that specific netback—say, $0.90 per MMBtu after all midstream deductions. The question is not “what if Bitcoin drops 50%” in isolation. The question is “what does my on-lease revenue look like at −50% hashprice, compared to $0.90/MMBtu?” Those are the two numbers that matter. Bitcoin’s absolute price level is incidental.</w:t>
      </w:r>
    </w:p>
    <w:p>
      <w:pPr>
        <w:spacing w:before="100"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8500A" w:sz="12"/>
              <w:left w:val="none" w:color="FFFFFF" w:sz="0"/>
              <w:bottom w:val="single" w:color="E8500A" w:sz="12"/>
              <w:right w:val="none" w:color="FFFFFF" w:sz="0"/>
            </w:tcBorders>
            <w:shd w:fill="FFF6F2" w:val="clear"/>
            <w:tcMar>
              <w:top w:type="dxa" w:w="220"/>
              <w:left w:type="dxa" w:w="280"/>
              <w:bottom w:type="dxa" w:w="220"/>
              <w:right w:type="dxa" w:w="280"/>
            </w:tcMar>
          </w:tcPr>
          <w:p>
            <w:pPr>
              <w:jc w:val="center"/>
            </w:pPr>
            <w:r>
              <w:rPr>
                <w:rFonts w:ascii="Arial" w:cs="Arial" w:eastAsia="Arial" w:hAnsi="Arial"/>
                <w:b/>
                <w:bCs/>
                <w:i/>
                <w:iCs/>
                <w:color w:val="1A1A1A"/>
                <w:sz w:val="27"/>
                <w:szCs w:val="27"/>
              </w:rPr>
              <w:t xml:space="preserve">“The operator’s floor is the value of the gas. Not the price of Bitcoin.”</w:t>
            </w:r>
          </w:p>
        </w:tc>
      </w:tr>
    </w:tbl>
    <w:p>
      <w:pPr>
        <w:spacing w:before="160" w:after="80"/>
      </w:pPr>
      <w:r>
        <w:t xml:space="preserve"/>
      </w:r>
    </w:p>
    <w:p>
      <w:pPr>
        <w:pStyle w:val="Heading2"/>
        <w:pBdr>
          <w:bottom w:val="single" w:color="E8500A" w:sz="4" w:space="4"/>
        </w:pBdr>
        <w:spacing w:before="320" w:after="100"/>
      </w:pPr>
      <w:r>
        <w:rPr>
          <w:rFonts w:ascii="Arial" w:cs="Arial" w:eastAsia="Arial" w:hAnsi="Arial"/>
          <w:b/>
          <w:bCs/>
          <w:color w:val="1A1A1A"/>
          <w:sz w:val="26"/>
          <w:szCs w:val="26"/>
        </w:rPr>
        <w:t xml:space="preserve">Structure Determines Who Bears the Risk</w:t>
      </w:r>
    </w:p>
    <w:p>
      <w:pPr>
        <w:spacing w:before="100" w:after="160"/>
      </w:pPr>
      <w:r>
        <w:rPr>
          <w:rFonts w:ascii="Arial" w:cs="Arial" w:eastAsia="Arial" w:hAnsi="Arial"/>
          <w:color w:val="4A4A4A"/>
          <w:sz w:val="22"/>
          <w:szCs w:val="22"/>
        </w:rPr>
        <w:t xml:space="preserve">Bitcoin price volatility does not affect every party in a gas-to-hash deployment equally. It flows through the system according to the deal structure. The hosting structure was specifically designed to route Bitcoin price exposure away from the operator and onto the miner.</w:t>
      </w:r>
    </w:p>
    <w:p>
      <w:pPr>
        <w:spacing w:before="8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Deal Structure</w:t>
            </w:r>
          </w:p>
        </w:tc>
        <w:tc>
          <w:tcPr>
            <w:tcW w:type="dxa" w:w="288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Operator BTC exposure</w:t>
            </w:r>
          </w:p>
        </w:tc>
        <w:tc>
          <w:tcPr>
            <w:tcW w:type="dxa" w:w="288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Revenue floor if BTC ↓ 50%</w:t>
            </w:r>
          </w:p>
        </w:tc>
      </w:tr>
      <w:t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Hosting
(Fixed power rate)</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b/>
                <w:bCs/>
                <w:color w:val="1A1A1A"/>
                <w:sz w:val="20"/>
                <w:szCs w:val="20"/>
              </w:rPr>
              <w:t xml:space="preserve">Zero</w:t>
            </w:r>
          </w:p>
        </w:tc>
        <w:tc>
          <w:tcPr>
            <w:tcW w:type="dxa" w:w="2880"/>
            <w:tcBorders>
              <w:top w:val="single" w:color="DDDDDD" w:sz="1"/>
              <w:left w:val="single" w:color="DDDDDD" w:sz="1"/>
              <w:bottom w:val="single" w:color="DDDDDD" w:sz="1"/>
              <w:right w:val="single" w:color="DDDDDD" w:sz="1"/>
            </w:tcBorders>
            <w:shd w:fill="EAF5EA" w:val="clear"/>
            <w:tcMar>
              <w:top w:type="dxa" w:w="100"/>
              <w:left w:type="dxa" w:w="160"/>
              <w:bottom w:type="dxa" w:w="100"/>
              <w:right w:type="dxa" w:w="160"/>
            </w:tcMar>
          </w:tcPr>
          <w:p>
            <w:pPr>
              <w:jc w:val="center"/>
            </w:pPr>
            <w:r>
              <w:rPr>
                <w:rFonts w:ascii="Arial" w:cs="Arial" w:eastAsia="Arial" w:hAnsi="Arial"/>
                <w:color w:val="4A4A4A"/>
                <w:sz w:val="20"/>
                <w:szCs w:val="20"/>
              </w:rPr>
              <w:t xml:space="preserve">Same USD revenue regardless of BTC</w:t>
            </w:r>
          </w:p>
        </w:tc>
      </w:tr>
      <w:tr>
        <w:tc>
          <w:tcPr>
            <w:tcW w:type="dxa" w:w="2880"/>
            <w:tcBorders>
              <w:top w:val="single" w:color="DDDDDD" w:sz="1"/>
              <w:left w:val="single" w:color="DDDDDD" w:sz="1"/>
              <w:bottom w:val="single" w:color="DDDDDD" w:sz="1"/>
              <w:right w:val="single" w:color="DDDDDD" w:sz="1"/>
            </w:tcBorders>
            <w:shd w:fill="EEEEEE" w:val="clear"/>
            <w:tcMar>
              <w:top w:type="dxa" w:w="100"/>
              <w:left w:type="dxa" w:w="160"/>
              <w:bottom w:type="dxa" w:w="100"/>
              <w:right w:type="dxa" w:w="160"/>
            </w:tcMar>
          </w:tcPr>
          <w:p>
            <w:r>
              <w:rPr>
                <w:rFonts w:ascii="Arial" w:cs="Arial" w:eastAsia="Arial" w:hAnsi="Arial"/>
                <w:b/>
                <w:bCs/>
                <w:color w:val="1A1A1A"/>
                <w:sz w:val="20"/>
                <w:szCs w:val="20"/>
              </w:rPr>
              <w:t xml:space="preserve">Revenue Share
(Proportional BTC)</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b/>
                <w:bCs/>
                <w:color w:val="1A1A1A"/>
                <w:sz w:val="20"/>
                <w:szCs w:val="20"/>
              </w:rPr>
              <w:t xml:space="preserve">Proportional</w:t>
            </w:r>
          </w:p>
        </w:tc>
        <w:tc>
          <w:tcPr>
            <w:tcW w:type="dxa" w:w="2880"/>
            <w:tcBorders>
              <w:top w:val="single" w:color="DDDDDD" w:sz="1"/>
              <w:left w:val="single" w:color="DDDDDD" w:sz="1"/>
              <w:bottom w:val="single" w:color="DDDDDD" w:sz="1"/>
              <w:right w:val="single" w:color="DDDDDD" w:sz="1"/>
            </w:tcBorders>
            <w:shd w:fill="FEF9E7" w:val="clear"/>
            <w:tcMar>
              <w:top w:type="dxa" w:w="100"/>
              <w:left w:type="dxa" w:w="160"/>
              <w:bottom w:type="dxa" w:w="100"/>
              <w:right w:type="dxa" w:w="160"/>
            </w:tcMar>
          </w:tcPr>
          <w:p>
            <w:pPr>
              <w:jc w:val="center"/>
            </w:pPr>
            <w:r>
              <w:rPr>
                <w:rFonts w:ascii="Arial" w:cs="Arial" w:eastAsia="Arial" w:hAnsi="Arial"/>
                <w:color w:val="4A4A4A"/>
                <w:sz w:val="20"/>
                <w:szCs w:val="20"/>
              </w:rPr>
              <w:t xml:space="preserve">~50% revenue decline at −50% hashprice</w:t>
            </w:r>
          </w:p>
        </w:tc>
      </w:tr>
      <w:tr>
        <w:tc>
          <w:tcPr>
            <w:tcW w:type="dxa" w:w="28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Direct Mining
(Full BTC economics)</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b/>
                <w:bCs/>
                <w:color w:val="1A1A1A"/>
                <w:sz w:val="20"/>
                <w:szCs w:val="20"/>
              </w:rPr>
              <w:t xml:space="preserve">Full</w:t>
            </w:r>
          </w:p>
        </w:tc>
        <w:tc>
          <w:tcPr>
            <w:tcW w:type="dxa" w:w="2880"/>
            <w:tcBorders>
              <w:top w:val="single" w:color="DDDDDD" w:sz="1"/>
              <w:left w:val="single" w:color="DDDDDD" w:sz="1"/>
              <w:bottom w:val="single" w:color="DDDDDD" w:sz="1"/>
              <w:right w:val="single" w:color="DDDDDD" w:sz="1"/>
            </w:tcBorders>
            <w:shd w:fill="FDECEA" w:val="clear"/>
            <w:tcMar>
              <w:top w:type="dxa" w:w="100"/>
              <w:left w:type="dxa" w:w="160"/>
              <w:bottom w:type="dxa" w:w="100"/>
              <w:right w:type="dxa" w:w="160"/>
            </w:tcMar>
          </w:tcPr>
          <w:p>
            <w:pPr>
              <w:jc w:val="center"/>
            </w:pPr>
            <w:r>
              <w:rPr>
                <w:rFonts w:ascii="Arial" w:cs="Arial" w:eastAsia="Arial" w:hAnsi="Arial"/>
                <w:color w:val="4A4A4A"/>
                <w:sz w:val="20"/>
                <w:szCs w:val="20"/>
              </w:rPr>
              <w:t xml:space="preserve">~50% revenue decline at −50% hashprice</w:t>
            </w:r>
          </w:p>
        </w:tc>
      </w:tr>
    </w:tbl>
    <w:p>
      <w:pPr>
        <w:spacing w:before="120" w:after="80"/>
      </w:pPr>
      <w:r>
        <w:t xml:space="preserve"/>
      </w:r>
    </w:p>
    <w:p>
      <w:pPr>
        <w:spacing w:before="100" w:after="160"/>
      </w:pPr>
      <w:r>
        <w:rPr>
          <w:rFonts w:ascii="Arial" w:cs="Arial" w:eastAsia="Arial" w:hAnsi="Arial"/>
          <w:color w:val="4A4A4A"/>
          <w:sz w:val="22"/>
          <w:szCs w:val="22"/>
        </w:rPr>
        <w:t xml:space="preserve">Under a hosting structure, the operator receives a fixed USD rate per kilowatt-hour consumed by the mining equipment. Bitcoin’s price does not appear in that calculation. The miner’s margin compresses when Bitcoin falls—the operator’s revenue does not. This is not a workaround or a hedge. It is the foundational design of the hosting arrangement: the miner accepts the commodity exposure in exchange for access to the operator’s gas.</w:t>
      </w:r>
    </w:p>
    <w:p>
      <w:pPr>
        <w:spacing w:before="100" w:after="160"/>
      </w:pPr>
      <w:r>
        <w:rPr>
          <w:rFonts w:ascii="Arial" w:cs="Arial" w:eastAsia="Arial" w:hAnsi="Arial"/>
          <w:color w:val="4A4A4A"/>
          <w:sz w:val="22"/>
          <w:szCs w:val="22"/>
        </w:rPr>
        <w:t xml:space="preserve">Operators who are concerned about Bitcoin price risk are, in most cases, describing a concern that is entirely solved by structure selection. The concern is valid. The answer is: choose hosting.</w:t>
      </w:r>
    </w:p>
    <w:p>
      <w:pPr>
        <w:spacing w:before="100" w:after="80"/>
      </w:pPr>
      <w:r>
        <w:t xml:space="preserve"/>
      </w:r>
    </w:p>
    <w:p>
      <w:pPr>
        <w:pStyle w:val="Heading2"/>
        <w:pBdr>
          <w:bottom w:val="single" w:color="E8500A" w:sz="4" w:space="4"/>
        </w:pBdr>
        <w:spacing w:before="320" w:after="100"/>
      </w:pPr>
      <w:r>
        <w:rPr>
          <w:rFonts w:ascii="Arial" w:cs="Arial" w:eastAsia="Arial" w:hAnsi="Arial"/>
          <w:b/>
          <w:bCs/>
          <w:color w:val="1A1A1A"/>
          <w:sz w:val="26"/>
          <w:szCs w:val="26"/>
        </w:rPr>
        <w:t xml:space="preserve">What a Bitcoin Crash Actually Looks Like for Each Party</w:t>
      </w:r>
    </w:p>
    <w:p>
      <w:pPr>
        <w:spacing w:before="100" w:after="160"/>
      </w:pPr>
      <w:r>
        <w:rPr>
          <w:rFonts w:ascii="Arial" w:cs="Arial" w:eastAsia="Arial" w:hAnsi="Arial"/>
          <w:color w:val="4A4A4A"/>
          <w:sz w:val="22"/>
          <w:szCs w:val="22"/>
        </w:rPr>
        <w:t xml:space="preserve">Using a 200 Mcfd deployment at illustrative current figures—roughly $16,000/month in total mining revenue, $0.030/kWh hosting rate, $5,760 fixed operator income under hosting:</w:t>
      </w:r>
    </w:p>
    <w:p>
      <w:pPr>
        <w:spacing w:before="8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3600"/>
      </w:tblGrid>
      <w:tr>
        <w:trPr>
          <w:tblHeader/>
        </w:trPr>
        <w:tc>
          <w:tcPr>
            <w:tcW w:type="dxa" w:w="144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BTC moves</w:t>
            </w:r>
          </w:p>
        </w:tc>
        <w:tc>
          <w:tcPr>
            <w:tcW w:type="dxa" w:w="3600"/>
            <w:tcBorders>
              <w:top w:val="single" w:color="DDDDDD" w:sz="1"/>
              <w:left w:val="single" w:color="DDDDDD" w:sz="1"/>
              <w:bottom w:val="single" w:color="DDDDDD" w:sz="1"/>
              <w:right w:val="single" w:color="DDDDDD" w:sz="1"/>
            </w:tcBorders>
            <w:shd w:fill="8B1A1A" w:val="clear"/>
            <w:tcMar>
              <w:top w:type="dxa" w:w="100"/>
              <w:left w:type="dxa" w:w="160"/>
              <w:bottom w:type="dxa" w:w="100"/>
              <w:right w:type="dxa" w:w="160"/>
            </w:tcMar>
          </w:tcPr>
          <w:p>
            <w:r>
              <w:rPr>
                <w:rFonts w:ascii="Arial" w:cs="Arial" w:eastAsia="Arial" w:hAnsi="Arial"/>
                <w:b/>
                <w:bCs/>
                <w:color w:val="FFFFFF"/>
                <w:sz w:val="19"/>
                <w:szCs w:val="19"/>
              </w:rPr>
              <w:t xml:space="preserve">Miner’s net revenue (after hosting fee)</w:t>
            </w:r>
          </w:p>
        </w:tc>
        <w:tc>
          <w:tcPr>
            <w:tcW w:type="dxa" w:w="3600"/>
            <w:tcBorders>
              <w:top w:val="single" w:color="DDDDDD" w:sz="1"/>
              <w:left w:val="single" w:color="DDDDDD" w:sz="1"/>
              <w:bottom w:val="single" w:color="DDDDDD" w:sz="1"/>
              <w:right w:val="single" w:color="DDDDDD" w:sz="1"/>
            </w:tcBorders>
            <w:shd w:fill="1A5C1A" w:val="clear"/>
            <w:tcMar>
              <w:top w:type="dxa" w:w="100"/>
              <w:left w:type="dxa" w:w="160"/>
              <w:bottom w:type="dxa" w:w="100"/>
              <w:right w:type="dxa" w:w="160"/>
            </w:tcMar>
          </w:tcPr>
          <w:p>
            <w:r>
              <w:rPr>
                <w:rFonts w:ascii="Arial" w:cs="Arial" w:eastAsia="Arial" w:hAnsi="Arial"/>
                <w:b/>
                <w:bCs/>
                <w:color w:val="FFFFFF"/>
                <w:sz w:val="19"/>
                <w:szCs w:val="19"/>
              </w:rPr>
              <w:t xml:space="preserve">Operator revenue (hosting, fixed USD)</w:t>
            </w:r>
          </w:p>
        </w:tc>
      </w:tr>
      <w:tr>
        <w:tc>
          <w:tcPr>
            <w:tcW w:type="dxa" w:w="144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jc w:val="center"/>
            </w:pPr>
            <w:r>
              <w:rPr>
                <w:rFonts w:ascii="Arial" w:cs="Arial" w:eastAsia="Arial" w:hAnsi="Arial"/>
                <w:b/>
                <w:bCs/>
                <w:color w:val="1A1A1A"/>
                <w:sz w:val="20"/>
                <w:szCs w:val="20"/>
              </w:rPr>
              <w:t xml:space="preserve">Current</w:t>
            </w:r>
          </w:p>
        </w:tc>
        <w:tc>
          <w:tcPr>
            <w:tcW w:type="dxa" w:w="3600"/>
            <w:tcBorders>
              <w:top w:val="single" w:color="DDDDDD" w:sz="1"/>
              <w:left w:val="single" w:color="DDDDDD" w:sz="1"/>
              <w:bottom w:val="single" w:color="DDDDDD" w:sz="1"/>
              <w:right w:val="single" w:color="DDDDDD" w:sz="1"/>
            </w:tcBorders>
            <w:shd w:fill="FFF8F8" w:val="clear"/>
            <w:tcMar>
              <w:top w:type="dxa" w:w="100"/>
              <w:left w:type="dxa" w:w="160"/>
              <w:bottom w:type="dxa" w:w="100"/>
              <w:right w:type="dxa" w:w="160"/>
            </w:tcMar>
          </w:tcPr>
          <w:p>
            <w:r>
              <w:rPr>
                <w:rFonts w:ascii="Arial" w:cs="Arial" w:eastAsia="Arial" w:hAnsi="Arial"/>
                <w:color w:val="4A4A4A"/>
                <w:sz w:val="20"/>
                <w:szCs w:val="20"/>
              </w:rPr>
              <w:t xml:space="preserve">~$10,240/month (gross minus hosting fee)</w:t>
            </w:r>
          </w:p>
        </w:tc>
        <w:tc>
          <w:tcPr>
            <w:tcW w:type="dxa" w:w="3600"/>
            <w:tcBorders>
              <w:top w:val="single" w:color="DDDDDD" w:sz="1"/>
              <w:left w:val="single" w:color="DDDDDD" w:sz="1"/>
              <w:bottom w:val="single" w:color="DDDDDD" w:sz="1"/>
              <w:right w:val="single" w:color="DDDDDD" w:sz="1"/>
            </w:tcBorders>
            <w:shd w:fill="EAF5EA" w:val="clear"/>
            <w:tcMar>
              <w:top w:type="dxa" w:w="100"/>
              <w:left w:type="dxa" w:w="160"/>
              <w:bottom w:type="dxa" w:w="100"/>
              <w:right w:type="dxa" w:w="160"/>
            </w:tcMar>
          </w:tcPr>
          <w:p>
            <w:r>
              <w:rPr>
                <w:rFonts w:ascii="Arial" w:cs="Arial" w:eastAsia="Arial" w:hAnsi="Arial"/>
                <w:color w:val="4A4A4A"/>
                <w:sz w:val="20"/>
                <w:szCs w:val="20"/>
              </w:rPr>
              <w:t xml:space="preserve">$5,760/month (fixed)</w:t>
            </w:r>
          </w:p>
        </w:tc>
      </w:tr>
      <w:tr>
        <w:tc>
          <w:tcPr>
            <w:tcW w:type="dxa" w:w="144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jc w:val="center"/>
            </w:pPr>
            <w:r>
              <w:rPr>
                <w:rFonts w:ascii="Arial" w:cs="Arial" w:eastAsia="Arial" w:hAnsi="Arial"/>
                <w:b/>
                <w:bCs/>
                <w:color w:val="1A1A1A"/>
                <w:sz w:val="20"/>
                <w:szCs w:val="20"/>
              </w:rPr>
              <w:t xml:space="preserve">−25%</w:t>
            </w:r>
          </w:p>
        </w:tc>
        <w:tc>
          <w:tcPr>
            <w:tcW w:type="dxa" w:w="3600"/>
            <w:tcBorders>
              <w:top w:val="single" w:color="DDDDDD" w:sz="1"/>
              <w:left w:val="single" w:color="DDDDDD" w:sz="1"/>
              <w:bottom w:val="single" w:color="DDDDDD" w:sz="1"/>
              <w:right w:val="single" w:color="DDDDDD" w:sz="1"/>
            </w:tcBorders>
            <w:shd w:fill="FEF9E7" w:val="clear"/>
            <w:tcMar>
              <w:top w:type="dxa" w:w="100"/>
              <w:left w:type="dxa" w:w="160"/>
              <w:bottom w:type="dxa" w:w="100"/>
              <w:right w:type="dxa" w:w="160"/>
            </w:tcMar>
          </w:tcPr>
          <w:p>
            <w:r>
              <w:rPr>
                <w:rFonts w:ascii="Arial" w:cs="Arial" w:eastAsia="Arial" w:hAnsi="Arial"/>
                <w:color w:val="4A4A4A"/>
                <w:sz w:val="20"/>
                <w:szCs w:val="20"/>
              </w:rPr>
              <w:t xml:space="preserve">~$6,240/month</w:t>
            </w:r>
          </w:p>
        </w:tc>
        <w:tc>
          <w:tcPr>
            <w:tcW w:type="dxa" w:w="3600"/>
            <w:tcBorders>
              <w:top w:val="single" w:color="DDDDDD" w:sz="1"/>
              <w:left w:val="single" w:color="DDDDDD" w:sz="1"/>
              <w:bottom w:val="single" w:color="DDDDDD" w:sz="1"/>
              <w:right w:val="single" w:color="DDDDDD" w:sz="1"/>
            </w:tcBorders>
            <w:shd w:fill="EAF5EA" w:val="clear"/>
            <w:tcMar>
              <w:top w:type="dxa" w:w="100"/>
              <w:left w:type="dxa" w:w="160"/>
              <w:bottom w:type="dxa" w:w="100"/>
              <w:right w:type="dxa" w:w="160"/>
            </w:tcMar>
          </w:tcPr>
          <w:p>
            <w:r>
              <w:rPr>
                <w:rFonts w:ascii="Arial" w:cs="Arial" w:eastAsia="Arial" w:hAnsi="Arial"/>
                <w:color w:val="4A4A4A"/>
                <w:sz w:val="20"/>
                <w:szCs w:val="20"/>
              </w:rPr>
              <w:t xml:space="preserve">$5,760/month (unchanged)</w:t>
            </w:r>
          </w:p>
        </w:tc>
      </w:tr>
      <w:tr>
        <w:tc>
          <w:tcPr>
            <w:tcW w:type="dxa" w:w="144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jc w:val="center"/>
            </w:pPr>
            <w:r>
              <w:rPr>
                <w:rFonts w:ascii="Arial" w:cs="Arial" w:eastAsia="Arial" w:hAnsi="Arial"/>
                <w:b/>
                <w:bCs/>
                <w:color w:val="1A1A1A"/>
                <w:sz w:val="20"/>
                <w:szCs w:val="20"/>
              </w:rPr>
              <w:t xml:space="preserve">−50%</w:t>
            </w:r>
          </w:p>
        </w:tc>
        <w:tc>
          <w:tcPr>
            <w:tcW w:type="dxa" w:w="3600"/>
            <w:tcBorders>
              <w:top w:val="single" w:color="DDDDDD" w:sz="1"/>
              <w:left w:val="single" w:color="DDDDDD" w:sz="1"/>
              <w:bottom w:val="single" w:color="DDDDDD" w:sz="1"/>
              <w:right w:val="single" w:color="DDDDDD" w:sz="1"/>
            </w:tcBorders>
            <w:shd w:fill="FDECEA" w:val="clear"/>
            <w:tcMar>
              <w:top w:type="dxa" w:w="100"/>
              <w:left w:type="dxa" w:w="160"/>
              <w:bottom w:type="dxa" w:w="100"/>
              <w:right w:type="dxa" w:w="160"/>
            </w:tcMar>
          </w:tcPr>
          <w:p>
            <w:r>
              <w:rPr>
                <w:rFonts w:ascii="Arial" w:cs="Arial" w:eastAsia="Arial" w:hAnsi="Arial"/>
                <w:color w:val="4A4A4A"/>
                <w:sz w:val="20"/>
                <w:szCs w:val="20"/>
              </w:rPr>
              <w:t xml:space="preserve">~$2,240/month</w:t>
            </w:r>
          </w:p>
        </w:tc>
        <w:tc>
          <w:tcPr>
            <w:tcW w:type="dxa" w:w="3600"/>
            <w:tcBorders>
              <w:top w:val="single" w:color="DDDDDD" w:sz="1"/>
              <w:left w:val="single" w:color="DDDDDD" w:sz="1"/>
              <w:bottom w:val="single" w:color="DDDDDD" w:sz="1"/>
              <w:right w:val="single" w:color="DDDDDD" w:sz="1"/>
            </w:tcBorders>
            <w:shd w:fill="EAF5EA" w:val="clear"/>
            <w:tcMar>
              <w:top w:type="dxa" w:w="100"/>
              <w:left w:type="dxa" w:w="160"/>
              <w:bottom w:type="dxa" w:w="100"/>
              <w:right w:type="dxa" w:w="160"/>
            </w:tcMar>
          </w:tcPr>
          <w:p>
            <w:r>
              <w:rPr>
                <w:rFonts w:ascii="Arial" w:cs="Arial" w:eastAsia="Arial" w:hAnsi="Arial"/>
                <w:color w:val="4A4A4A"/>
                <w:sz w:val="20"/>
                <w:szCs w:val="20"/>
              </w:rPr>
              <w:t xml:space="preserve">$5,760/month (unchanged)</w:t>
            </w:r>
          </w:p>
        </w:tc>
      </w:tr>
      <w:tr>
        <w:tc>
          <w:tcPr>
            <w:tcW w:type="dxa" w:w="144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jc w:val="center"/>
            </w:pPr>
            <w:r>
              <w:rPr>
                <w:rFonts w:ascii="Arial" w:cs="Arial" w:eastAsia="Arial" w:hAnsi="Arial"/>
                <w:b/>
                <w:bCs/>
                <w:color w:val="1A1A1A"/>
                <w:sz w:val="20"/>
                <w:szCs w:val="20"/>
              </w:rPr>
              <w:t xml:space="preserve">−75%</w:t>
            </w:r>
          </w:p>
        </w:tc>
        <w:tc>
          <w:tcPr>
            <w:tcW w:type="dxa" w:w="3600"/>
            <w:tcBorders>
              <w:top w:val="single" w:color="DDDDDD" w:sz="1"/>
              <w:left w:val="single" w:color="DDDDDD" w:sz="1"/>
              <w:bottom w:val="single" w:color="DDDDDD" w:sz="1"/>
              <w:right w:val="single" w:color="DDDDDD" w:sz="1"/>
            </w:tcBorders>
            <w:shd w:fill="FDECEA" w:val="clear"/>
            <w:tcMar>
              <w:top w:type="dxa" w:w="100"/>
              <w:left w:type="dxa" w:w="160"/>
              <w:bottom w:type="dxa" w:w="100"/>
              <w:right w:type="dxa" w:w="160"/>
            </w:tcMar>
          </w:tcPr>
          <w:p>
            <w:r>
              <w:rPr>
                <w:rFonts w:ascii="Arial" w:cs="Arial" w:eastAsia="Arial" w:hAnsi="Arial"/>
                <w:color w:val="4A4A4A"/>
                <w:sz w:val="20"/>
                <w:szCs w:val="20"/>
              </w:rPr>
              <w:t xml:space="preserve">Miner near breakeven; may suspend</w:t>
            </w:r>
          </w:p>
        </w:tc>
        <w:tc>
          <w:tcPr>
            <w:tcW w:type="dxa" w:w="3600"/>
            <w:tcBorders>
              <w:top w:val="single" w:color="DDDDDD" w:sz="1"/>
              <w:left w:val="single" w:color="DDDDDD" w:sz="1"/>
              <w:bottom w:val="single" w:color="DDDDDD" w:sz="1"/>
              <w:right w:val="single" w:color="DDDDDD" w:sz="1"/>
            </w:tcBorders>
            <w:shd w:fill="FEF9E7" w:val="clear"/>
            <w:tcMar>
              <w:top w:type="dxa" w:w="100"/>
              <w:left w:type="dxa" w:w="160"/>
              <w:bottom w:type="dxa" w:w="100"/>
              <w:right w:type="dxa" w:w="160"/>
            </w:tcMar>
          </w:tcPr>
          <w:p>
            <w:r>
              <w:rPr>
                <w:rFonts w:ascii="Arial" w:cs="Arial" w:eastAsia="Arial" w:hAnsi="Arial"/>
                <w:color w:val="4A4A4A"/>
                <w:sz w:val="20"/>
                <w:szCs w:val="20"/>
              </w:rPr>
              <w:t xml:space="preserve">$5,760/month until suspension notice</w:t>
            </w:r>
          </w:p>
        </w:tc>
      </w:tr>
    </w:tbl>
    <w:p>
      <w:pPr>
        <w:spacing w:before="120"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E8500A" w:sz="10"/>
              <w:bottom w:val="none" w:color="FFFFFF" w:sz="0"/>
              <w:right w:val="none" w:color="FFFFFF" w:sz="0"/>
            </w:tcBorders>
            <w:shd w:fill="FFF6F2" w:val="clear"/>
            <w:tcMar>
              <w:top w:type="dxa" w:w="140"/>
              <w:left w:type="dxa" w:w="200"/>
              <w:bottom w:type="dxa" w:w="140"/>
              <w:right w:type="dxa" w:w="200"/>
            </w:tcMar>
          </w:tcPr>
          <w:p>
            <w:pPr>
              <w:spacing w:before="0" w:after="60"/>
            </w:pPr>
            <w:r>
              <w:rPr>
                <w:rFonts w:ascii="Arial" w:cs="Arial" w:eastAsia="Arial" w:hAnsi="Arial"/>
                <w:b/>
                <w:bCs/>
                <w:color w:val="E8500A"/>
                <w:sz w:val="21"/>
                <w:szCs w:val="21"/>
              </w:rPr>
              <w:t xml:space="preserve">WHAT HAPPENS IF THE MINER SUSPENDS AT −75%</w:t>
            </w:r>
          </w:p>
          <w:p>
            <w:pPr>
              <w:spacing w:before="0" w:after="0"/>
            </w:pPr>
            <w:r>
              <w:rPr>
                <w:rFonts w:ascii="Arial" w:cs="Arial" w:eastAsia="Arial" w:hAnsi="Arial"/>
                <w:color w:val="4A4A4A"/>
                <w:sz w:val="21"/>
                <w:szCs w:val="21"/>
              </w:rPr>
              <w:t xml:space="preserve">The deployment agreement defines minimum notice periods (typically 30–60 days) and compensation terms if the miner elects to suspend operations due to unfavorable economics. During the notice period, the operator continues to earn hosting revenue. After suspension, the operator’s gas returns to its previous alternative—which, for flare gas, is exactly where it was before: zero. The operator has lost the incremental revenue, not experienced a negative outcome relative to the pre-deployment baseline.</w:t>
            </w:r>
          </w:p>
        </w:tc>
      </w:tr>
    </w:tbl>
    <w:p>
      <w:pPr>
        <w:spacing w:before="160" w:after="80"/>
      </w:pPr>
      <w:r>
        <w:t xml:space="preserve"/>
      </w:r>
    </w:p>
    <w:p>
      <w:pPr>
        <w:pStyle w:val="Heading2"/>
        <w:pBdr>
          <w:bottom w:val="single" w:color="E8500A" w:sz="4" w:space="4"/>
        </w:pBdr>
        <w:spacing w:before="320" w:after="100"/>
      </w:pPr>
      <w:r>
        <w:rPr>
          <w:rFonts w:ascii="Arial" w:cs="Arial" w:eastAsia="Arial" w:hAnsi="Arial"/>
          <w:b/>
          <w:bCs/>
          <w:color w:val="1A1A1A"/>
          <w:sz w:val="26"/>
          <w:szCs w:val="26"/>
        </w:rPr>
        <w:t xml:space="preserve">Where Bitcoin Price Risk Is Actually Real</w:t>
      </w:r>
    </w:p>
    <w:p>
      <w:pPr>
        <w:spacing w:before="100" w:after="160"/>
      </w:pPr>
      <w:r>
        <w:rPr>
          <w:rFonts w:ascii="Arial" w:cs="Arial" w:eastAsia="Arial" w:hAnsi="Arial"/>
          <w:color w:val="4A4A4A"/>
          <w:sz w:val="22"/>
          <w:szCs w:val="22"/>
        </w:rPr>
        <w:t xml:space="preserve">Bitcoin price risk is real and material in two specific situations. Both are worth naming clearly, because honest risk assessment is more useful than reassurance.</w:t>
      </w:r>
    </w:p>
    <w:p>
      <w:pPr>
        <w:spacing w:before="100" w:after="160"/>
      </w:pPr>
      <w:r>
        <w:rPr>
          <w:rFonts w:ascii="Arial" w:cs="Arial" w:eastAsia="Arial" w:hAnsi="Arial"/>
          <w:color w:val="4A4A4A"/>
          <w:sz w:val="22"/>
          <w:szCs w:val="22"/>
        </w:rPr>
        <w:t xml:space="preserve">The first: operators in a revenue share or direct mining structure. If you’ve elected to take a proportional share of Bitcoin production—or to mine directly and receive all BTC mined—your revenue is BTC-correlated. A 50% Bitcoin price decline produces approximately a 50% revenue decline. That is the deal you signed up for, and the upside is also fully yours. Revenue share and direct mining structures are not wrong choices—they are the right choices for operators who want BTC upside and have the risk tolerance to accept the downside. But the risk is real and should be modeled, not minimized.</w:t>
      </w:r>
    </w:p>
    <w:p>
      <w:pPr>
        <w:spacing w:before="100" w:after="160"/>
      </w:pPr>
      <w:r>
        <w:rPr>
          <w:rFonts w:ascii="Arial" w:cs="Arial" w:eastAsia="Arial" w:hAnsi="Arial"/>
          <w:color w:val="4A4A4A"/>
          <w:sz w:val="22"/>
          <w:szCs w:val="22"/>
        </w:rPr>
        <w:t xml:space="preserve">The second: operators on long deployments at low gas volumes where the hosting rate barely covers the operator’s implicit cost of the pad access. If the miner suspends at −75% Bitcoin and the operator’s compliance pressure or gas management need doesn’t go away, the operator is left with a problem they no longer have a solution for. This is not Bitcoin price risk per se—it is deployment structure risk, and it is addressed by ensuring the hosting agreement has adequate suspension notice and equipment removal timelines.</w:t>
      </w:r>
    </w:p>
    <w:p>
      <w:pPr>
        <w:spacing w:before="80" w:after="60"/>
      </w:pPr>
      <w:r>
        <w:t xml:space="preserve"/>
      </w:r>
    </w:p>
    <w:p>
      <w:pPr>
        <w:spacing w:before="100" w:after="160"/>
      </w:pPr>
      <w:r>
        <w:rPr>
          <w:rFonts w:ascii="Arial" w:cs="Arial" w:eastAsia="Arial" w:hAnsi="Arial"/>
          <w:color w:val="1A1A1A"/>
          <w:sz w:val="22"/>
          <w:szCs w:val="22"/>
        </w:rPr>
        <w:t xml:space="preserve">The operators for whom Bitcoin price is genuinely not a primary risk are flare gas operators in a hosting structure. Their gas was previously generating zero revenue. Their hosting income is USD-denominated and fixed. Their baseline for comparison is not “peak Bitcoin mining economics”—it’s the flare stack. Under those conditions, the question “what if Bitcoin crashes” has a specific answer: your income continues until the miner’s suspension notice triggers, and your situation after suspension is identical to your situation before the deployment.</w:t>
      </w:r>
    </w:p>
    <w:p>
      <w:pPr>
        <w:spacing w:before="160" w:after="10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8500A" w:sz="12"/>
              <w:left w:val="none" w:color="FFFFFF" w:sz="0"/>
              <w:bottom w:val="single" w:color="E8500A" w:sz="12"/>
              <w:right w:val="none" w:color="FFFFFF" w:sz="0"/>
            </w:tcBorders>
            <w:shd w:fill="1A1A1A" w:val="clear"/>
            <w:tcMar>
              <w:top w:type="dxa" w:w="240"/>
              <w:left w:type="dxa" w:w="320"/>
              <w:bottom w:type="dxa" w:w="240"/>
              <w:right w:type="dxa" w:w="320"/>
            </w:tcMar>
          </w:tcPr>
          <w:p>
            <w:pPr>
              <w:spacing w:before="0" w:after="80"/>
              <w:jc w:val="center"/>
            </w:pPr>
            <w:r>
              <w:rPr>
                <w:rFonts w:ascii="Arial" w:cs="Arial" w:eastAsia="Arial" w:hAnsi="Arial"/>
                <w:b/>
                <w:bCs/>
                <w:color w:val="FFFFFF"/>
                <w:sz w:val="25"/>
                <w:szCs w:val="25"/>
              </w:rPr>
              <w:t xml:space="preserve">Model your pad’s revenue under every BTC scenario.</w:t>
            </w:r>
          </w:p>
          <w:p>
            <w:pPr>
              <w:spacing w:before="0" w:after="100"/>
              <w:jc w:val="center"/>
            </w:pPr>
            <w:r>
              <w:rPr>
                <w:rFonts w:ascii="Arial" w:cs="Arial" w:eastAsia="Arial" w:hAnsi="Arial"/>
                <w:color w:val="BBBBBB"/>
                <w:sz w:val="20"/>
                <w:szCs w:val="20"/>
              </w:rPr>
              <w:t xml:space="preserve">Run your gas volume and deal structure preference through our calculator. See side-by-side revenue at current, −25%, and −50% hashprice.</w:t>
            </w:r>
          </w:p>
          <w:p>
            <w:pPr>
              <w:spacing w:before="0" w:after="0"/>
              <w:jc w:val="center"/>
            </w:pPr>
            <w:r>
              <w:rPr>
                <w:rFonts w:ascii="Arial" w:cs="Arial" w:eastAsia="Arial" w:hAnsi="Arial"/>
                <w:b/>
                <w:bCs/>
                <w:color w:val="E8500A"/>
                <w:sz w:val="23"/>
                <w:szCs w:val="23"/>
              </w:rPr>
              <w:t xml:space="preserve">tools.mcf.digital</w:t>
            </w:r>
            <w:r>
              <w:rPr>
                <w:rFonts w:ascii="Arial" w:cs="Arial" w:eastAsia="Arial" w:hAnsi="Arial"/>
                <w:color w:val="E8500A"/>
                <w:sz w:val="21"/>
                <w:szCs w:val="21"/>
              </w:rPr>
              <w:t xml:space="preserve">   ·   Book a 15-minute fit call</w:t>
            </w:r>
          </w:p>
        </w:tc>
      </w:tr>
    </w:tbl>
    <w:p>
      <w:pPr>
        <w:spacing w:before="200" w:after="80"/>
      </w:pPr>
      <w:r>
        <w:t xml:space="preserve"/>
      </w:r>
    </w:p>
    <w:p>
      <w:pPr>
        <w:pBdr>
          <w:top w:val="single" w:color="DDDDDD" w:sz="4" w:space="4"/>
        </w:pBdr>
        <w:spacing w:before="0" w:after="0"/>
      </w:pPr>
      <w:r>
        <w:t xml:space="preserve"/>
      </w:r>
    </w:p>
    <w:p>
      <w:pPr>
        <w:spacing w:before="80" w:after="40"/>
      </w:pPr>
      <w:r>
        <w:t xml:space="preserve"/>
      </w:r>
    </w:p>
    <w:p>
      <w:pPr>
        <w:spacing w:before="0" w:after="60"/>
      </w:pPr>
      <w:r>
        <w:rPr>
          <w:rFonts w:ascii="Arial" w:cs="Arial" w:eastAsia="Arial" w:hAnsi="Arial"/>
          <w:b/>
          <w:bCs/>
          <w:color w:val="1A1A1A"/>
          <w:sz w:val="20"/>
          <w:szCs w:val="20"/>
        </w:rPr>
        <w:t xml:space="preserve">Related Reading</w:t>
      </w:r>
    </w:p>
    <w:p>
      <w:pPr>
        <w:pStyle w:val="ListParagraph"/>
        <w:numPr>
          <w:ilvl w:val="0"/>
          <w:numId w:val="2"/>
        </w:numPr>
        <w:spacing w:before="40" w:after="40"/>
      </w:pPr>
      <w:r>
        <w:rPr>
          <w:rFonts w:ascii="Arial" w:cs="Arial" w:eastAsia="Arial" w:hAnsi="Arial"/>
          <w:color w:val="666666"/>
          <w:sz w:val="20"/>
          <w:szCs w:val="20"/>
        </w:rPr>
        <w:t xml:space="preserve">What Happens to Your Pad When Bitcoin Price Drops 50%? — mcf.digital/operator-guides/bitcoin-price-downside-scenarios</w:t>
      </w:r>
    </w:p>
    <w:p>
      <w:pPr>
        <w:pStyle w:val="ListParagraph"/>
        <w:numPr>
          <w:ilvl w:val="0"/>
          <w:numId w:val="2"/>
        </w:numPr>
        <w:spacing w:before="40" w:after="40"/>
      </w:pPr>
      <w:r>
        <w:rPr>
          <w:rFonts w:ascii="Arial" w:cs="Arial" w:eastAsia="Arial" w:hAnsi="Arial"/>
          <w:color w:val="666666"/>
          <w:sz w:val="20"/>
          <w:szCs w:val="20"/>
        </w:rPr>
        <w:t xml:space="preserve">Bitcoin Mining Hosting vs. Mining Yourself: Which Structure Fits Your Pad? — mcf.digital/guides/bitcoin-mining-hosting-vs-mining-yourself</w:t>
      </w:r>
    </w:p>
    <w:p>
      <w:pPr>
        <w:pStyle w:val="ListParagraph"/>
        <w:numPr>
          <w:ilvl w:val="0"/>
          <w:numId w:val="2"/>
        </w:numPr>
        <w:spacing w:before="40" w:after="40"/>
      </w:pPr>
      <w:r>
        <w:rPr>
          <w:rFonts w:ascii="Arial" w:cs="Arial" w:eastAsia="Arial" w:hAnsi="Arial"/>
          <w:color w:val="666666"/>
          <w:sz w:val="20"/>
          <w:szCs w:val="20"/>
        </w:rPr>
        <w:t xml:space="preserve">Commodity Risk, Uptime Risk, and Site Risk: The Three Risk Categories — mcf.digital/operator-guides/three-risk-categories</w:t>
      </w:r>
    </w:p>
    <w:p>
      <w:pPr>
        <w:pStyle w:val="ListParagraph"/>
        <w:numPr>
          <w:ilvl w:val="0"/>
          <w:numId w:val="2"/>
        </w:numPr>
        <w:spacing w:before="40" w:after="40"/>
      </w:pPr>
      <w:r>
        <w:rPr>
          <w:rFonts w:ascii="Arial" w:cs="Arial" w:eastAsia="Arial" w:hAnsi="Arial"/>
          <w:color w:val="666666"/>
          <w:sz w:val="20"/>
          <w:szCs w:val="20"/>
        </w:rPr>
        <w:t xml:space="preserve">What Is Hashprice? — mcf.digital/glossary/what-is-hashprice</w:t>
      </w:r>
    </w:p>
    <w:p>
      <w:pPr>
        <w:spacing w:before="100" w:after="60"/>
      </w:pPr>
      <w:r>
        <w:t xml:space="preserve"/>
      </w:r>
    </w:p>
    <w:p>
      <w:pPr>
        <w:spacing w:before="0" w:after="0"/>
      </w:pPr>
      <w:r>
        <w:rPr>
          <w:rFonts w:ascii="Arial" w:cs="Arial" w:eastAsia="Arial" w:hAnsi="Arial"/>
          <w:b/>
          <w:bCs/>
          <w:color w:val="1A1A1A"/>
          <w:sz w:val="19"/>
          <w:szCs w:val="19"/>
        </w:rPr>
        <w:t xml:space="preserve">MCF.digital</w:t>
      </w:r>
      <w:r>
        <w:rPr>
          <w:rFonts w:ascii="Arial" w:cs="Arial" w:eastAsia="Arial" w:hAnsi="Arial"/>
          <w:color w:val="999999"/>
          <w:sz w:val="18"/>
          <w:szCs w:val="18"/>
        </w:rPr>
        <w:t xml:space="preserve">  ·  On-Lease Bitcoin Mining  ·  Flare Gas Monetization  ·  Gas-to-Hash Operator</w:t>
      </w:r>
    </w:p>
    <w:p>
      <w:pPr>
        <w:spacing w:before="40" w:after="0"/>
      </w:pPr>
      <w:r>
        <w:rPr>
          <w:rFonts w:ascii="Arial" w:cs="Arial" w:eastAsia="Arial" w:hAnsi="Arial"/>
          <w:color w:val="BBBBBB"/>
          <w:sz w:val="16"/>
          <w:szCs w:val="16"/>
        </w:rPr>
        <w:t xml:space="preserve">Audience: Operators, Investors  ·  Category: Thought Leadership  ·  mcf.digital/articles/bitcoin-price-not-the-risk</w:t>
      </w:r>
    </w:p>
    <w:sectPr>
      <w:headerReference w:type="default" r:id="rId6"/>
      <w:footerReference w:type="default" r:id="rId7"/>
      <w:pgSz w:w="12240" w:h="15840" w:orient="portrait"/>
      <w:pgMar w:top="1080" w:right="1980" w:bottom="1080" w:left="19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00A" w:sz="4" w:space="2"/>
      </w:pBdr>
      <w:tabs>
        <w:tab w:val="right" w:pos="8280"/>
      </w:tabs>
      <w:spacing w:before="120" w:after="0"/>
    </w:pPr>
    <w:r>
      <w:rPr>
        <w:rFonts w:ascii="Arial" w:cs="Arial" w:eastAsia="Arial" w:hAnsi="Arial"/>
        <w:color w:val="999999"/>
        <w:sz w:val="18"/>
        <w:szCs w:val="18"/>
      </w:rPr>
      <w:t xml:space="preserve">mcf.digital</w:t>
    </w:r>
    <w:r>
      <w:rPr>
        <w:rFonts w:ascii="Arial" w:cs="Arial" w:eastAsia="Arial" w:hAnsi="Arial"/>
        <w:color w:val="BBBBBB"/>
        <w:sz w:val="18"/>
        <w:szCs w:val="18"/>
      </w:rPr>
      <w:t xml:space="preserve">	mcf.digital/articles/bitcoin-price-not-the-risk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6" w:space="2"/>
      </w:pBdr>
      <w:spacing w:before="0" w:after="160"/>
    </w:pPr>
    <w:r>
      <w:rPr>
        <w:rFonts w:ascii="Arial" w:cs="Arial" w:eastAsia="Arial" w:hAnsi="Arial"/>
        <w:b/>
        <w:bCs/>
        <w:color w:val="E8500A"/>
        <w:sz w:val="22"/>
        <w:szCs w:val="22"/>
      </w:rPr>
      <w:t xml:space="preserve">MCF</w:t>
    </w:r>
    <w:r>
      <w:rPr>
        <w:rFonts w:ascii="Arial" w:cs="Arial" w:eastAsia="Arial" w:hAnsi="Arial"/>
        <w:b/>
        <w:bCs/>
        <w:color w:val="1A1A1A"/>
        <w:sz w:val="22"/>
        <w:szCs w:val="22"/>
      </w:rPr>
      <w:t xml:space="preserve">.DIGITAL</w:t>
    </w:r>
    <w:r>
      <w:rPr>
        <w:rFonts w:ascii="Arial" w:cs="Arial" w:eastAsia="Arial" w:hAnsi="Arial"/>
        <w:color w:val="999999"/>
        <w:sz w:val="18"/>
        <w:szCs w:val="18"/>
      </w:rPr>
      <w:t xml:space="preserve">   THOUGHT LEADERSHIP  |  Bitcoin Price Is Not the Risk You Think It 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2026-02-26T23:53:06.938Z</dcterms:created>
  <dcterms:modified xsi:type="dcterms:W3CDTF">2026-02-26T23:53:06.939Z</dcterms:modified>
</cp:coreProperties>
</file>

<file path=docProps/custom.xml><?xml version="1.0" encoding="utf-8"?>
<Properties xmlns="http://schemas.openxmlformats.org/officeDocument/2006/custom-properties" xmlns:vt="http://schemas.openxmlformats.org/officeDocument/2006/docPropsVTypes"/>
</file>