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pPr>
      <w:r>
        <w:rPr>
          <w:rFonts w:ascii="Arial" w:cs="Arial" w:eastAsia="Arial" w:hAnsi="Arial"/>
          <w:caps/>
          <w:color w:val="AAAAAA"/>
          <w:sz w:val="17"/>
          <w:szCs w:val="17"/>
        </w:rPr>
        <w:t xml:space="preserve">THOUGHT LEADERSHIP  //  INVESTORS</w:t>
      </w:r>
    </w:p>
    <w:p>
      <w:pPr>
        <w:spacing w:before="40" w:after="60"/>
      </w:pPr>
      <w:r>
        <w:rPr>
          <w:rFonts w:ascii="Arial" w:cs="Arial" w:eastAsia="Arial" w:hAnsi="Arial"/>
          <w:b/>
          <w:bCs/>
          <w:color w:val="1A1A1A"/>
          <w:sz w:val="46"/>
          <w:szCs w:val="46"/>
        </w:rPr>
        <w:t xml:space="preserve">Why Family Offices Are</w:t>
      </w:r>
    </w:p>
    <w:p>
      <w:pPr>
        <w:spacing w:before="0" w:after="60"/>
      </w:pPr>
      <w:r>
        <w:rPr>
          <w:rFonts w:ascii="Arial" w:cs="Arial" w:eastAsia="Arial" w:hAnsi="Arial"/>
          <w:b/>
          <w:bCs/>
          <w:color w:val="E8500A"/>
          <w:sz w:val="46"/>
          <w:szCs w:val="46"/>
        </w:rPr>
        <w:t xml:space="preserve">Looking at Stranded Gas</w:t>
      </w:r>
    </w:p>
    <w:p>
      <w:pPr>
        <w:spacing w:before="0" w:after="80"/>
      </w:pPr>
      <w:r>
        <w:rPr>
          <w:rFonts w:ascii="Arial" w:cs="Arial" w:eastAsia="Arial" w:hAnsi="Arial"/>
          <w:b/>
          <w:bCs/>
          <w:color w:val="1A1A1A"/>
          <w:sz w:val="30"/>
          <w:szCs w:val="30"/>
        </w:rPr>
        <w:t xml:space="preserve">(And Why Most Won’t Find What They’re Looking For)</w:t>
      </w:r>
    </w:p>
    <w:p>
      <w:pPr>
        <w:spacing w:before="40" w:after="0"/>
      </w:pPr>
      <w:r>
        <w:t xml:space="preserve"/>
      </w:r>
    </w:p>
    <w:p>
      <w:pPr>
        <w:pBdr>
          <w:bottom w:val="single" w:color="E0E0E0" w:sz="2" w:space="8"/>
        </w:pBdr>
        <w:spacing w:before="0" w:after="0"/>
      </w:pPr>
      <w:r>
        <w:rPr>
          <w:rFonts w:ascii="Arial" w:cs="Arial" w:eastAsia="Arial" w:hAnsi="Arial"/>
          <w:b/>
          <w:bCs/>
          <w:color w:val="E8500A"/>
          <w:sz w:val="19"/>
          <w:szCs w:val="19"/>
        </w:rPr>
        <w:t xml:space="preserve">By MCF.digital Operations Team</w:t>
      </w:r>
      <w:r>
        <w:rPr>
          <w:rFonts w:ascii="Arial" w:cs="Arial" w:eastAsia="Arial" w:hAnsi="Arial"/>
          <w:color w:val="AAAAAA"/>
          <w:sz w:val="19"/>
          <w:szCs w:val="19"/>
        </w:rPr>
        <w:t xml:space="preserve">   ·   mcf.digital/articles/why-family-offices-looking-at-stranded-gas</w:t>
      </w:r>
    </w:p>
    <w:p>
      <w:pPr>
        <w:spacing w:before="200" w:after="0"/>
      </w:pPr>
      <w:r>
        <w:t xml:space="preserve"/>
      </w:r>
    </w:p>
    <w:p>
      <w:pPr>
        <w:spacing w:before="0" w:after="220"/>
      </w:pPr>
      <w:r>
        <w:rPr>
          <w:rFonts w:ascii="Arial" w:cs="Arial" w:eastAsia="Arial" w:hAnsi="Arial"/>
          <w:i/>
          <w:iCs/>
          <w:color w:val="4A4A4A"/>
          <w:sz w:val="25"/>
          <w:szCs w:val="25"/>
        </w:rPr>
        <w:t xml:space="preserve">The thesis is compelling on paper: stranded natural gas, currently being flared at zero value, converted to Bitcoin through on-site mining equipment, with the Bitcoin delivered directly to the investor’s wallet. Real-asset backing. Non-correlated return driver. Earned Bitcoin rather than purchased Bitcoin. It’s attracting serious institutional attention. The problem is that the market serving that interest is not, in most cases, built to serve it well.</w:t>
      </w:r>
    </w:p>
    <w:p>
      <w:pPr>
        <w:spacing w:before="100" w:after="160"/>
      </w:pPr>
      <w:r>
        <w:rPr>
          <w:rFonts w:ascii="Arial" w:cs="Arial" w:eastAsia="Arial" w:hAnsi="Arial"/>
          <w:color w:val="4A4A4A"/>
          <w:sz w:val="22"/>
          <w:szCs w:val="22"/>
        </w:rPr>
        <w:t xml:space="preserve">This piece is written for family offices and HNWIs who have encountered gas-to-hash as an investment category and are trying to separate the credible operators from the promotional ones. That distinction matters more in this space than in most, because the promotional operators are numerous, they are articulate, and the differences that separate them from serious operators are not obvious from a pitch deck.</w:t>
      </w:r>
    </w:p>
    <w:p>
      <w:pPr>
        <w:spacing w:before="100" w:after="80"/>
      </w:pPr>
      <w:r>
        <w:t xml:space="preserve"/>
      </w:r>
    </w:p>
    <w:p>
      <w:pPr>
        <w:pStyle w:val="Heading2"/>
        <w:pBdr>
          <w:bottom w:val="single" w:color="E8500A" w:sz="4" w:space="4"/>
        </w:pBdr>
        <w:spacing w:before="320" w:after="100"/>
      </w:pPr>
      <w:r>
        <w:rPr>
          <w:rFonts w:ascii="Arial" w:cs="Arial" w:eastAsia="Arial" w:hAnsi="Arial"/>
          <w:b/>
          <w:bCs/>
          <w:color w:val="1A1A1A"/>
          <w:sz w:val="26"/>
          <w:szCs w:val="26"/>
        </w:rPr>
        <w:t xml:space="preserve">Why the Investment Thesis Is Real</w:t>
      </w:r>
    </w:p>
    <w:p>
      <w:pPr>
        <w:spacing w:before="100" w:after="160"/>
      </w:pPr>
      <w:r>
        <w:rPr>
          <w:rFonts w:ascii="Arial" w:cs="Arial" w:eastAsia="Arial" w:hAnsi="Arial"/>
          <w:color w:val="4A4A4A"/>
          <w:sz w:val="22"/>
          <w:szCs w:val="22"/>
        </w:rPr>
        <w:t xml:space="preserve">Institutional interest in stranded gas Bitcoin mining is not a crypto trend story. It is being driven by three specific portfolio needs that this structure addresses unusually well.</w:t>
      </w:r>
    </w:p>
    <w:p>
      <w:pPr>
        <w:spacing w:before="100" w:after="160"/>
      </w:pPr>
      <w:r>
        <w:rPr>
          <w:rFonts w:ascii="Arial" w:cs="Arial" w:eastAsia="Arial" w:hAnsi="Arial"/>
          <w:color w:val="4A4A4A"/>
          <w:sz w:val="22"/>
          <w:szCs w:val="22"/>
        </w:rPr>
        <w:t xml:space="preserve">The first is real-asset Bitcoin exposure. Family offices that want Bitcoin on the balance sheet increasingly prefer to earn it through productive activity rather than purchase it on an exchange. Mined Bitcoin has a different cost basis, different accounting treatment in some jurisdictions, and a different narrative: it is the output of an energy infrastructure investment, not a speculative purchase. For family offices navigating Bitcoin adoption with boards or beneficiaries who are skeptical of direct crypto purchases, the “we mine it, we don’t buy it” framing changes the conversation.</w:t>
      </w:r>
    </w:p>
    <w:p>
      <w:pPr>
        <w:spacing w:before="100" w:after="160"/>
      </w:pPr>
      <w:r>
        <w:rPr>
          <w:rFonts w:ascii="Arial" w:cs="Arial" w:eastAsia="Arial" w:hAnsi="Arial"/>
          <w:color w:val="4A4A4A"/>
          <w:sz w:val="22"/>
          <w:szCs w:val="22"/>
        </w:rPr>
        <w:t xml:space="preserve">The second is non-correlation. Gas-to-hash return drivers—wellhead gas production, Bitcoin network economics, equipment performance—have low correlation with the equity and fixed income positions that dominate most family office portfolios. In an environment where investors are paying significant fees for genuine diversification, a direct infrastructure investment with genuinely different return drivers commands attention.</w:t>
      </w:r>
    </w:p>
    <w:p>
      <w:pPr>
        <w:spacing w:before="100" w:after="160"/>
      </w:pPr>
      <w:r>
        <w:rPr>
          <w:rFonts w:ascii="Arial" w:cs="Arial" w:eastAsia="Arial" w:hAnsi="Arial"/>
          <w:color w:val="4A4A4A"/>
          <w:sz w:val="22"/>
          <w:szCs w:val="22"/>
        </w:rPr>
        <w:t xml:space="preserve">The third is yield on physical capital. A well-structured gas-to-hash deployment generates monthly cash flow from the first month of operation. For family offices evaluating alternatives to private credit or real estate income strategies—where deployment timelines are long and fee structures are opaque—a direct equipment deployment with monthly distributions and custody-first Bitcoin delivery looks structurally clean.</w:t>
      </w:r>
    </w:p>
    <w:p>
      <w:pPr>
        <w:spacing w:before="100"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8500A" w:sz="12"/>
              <w:left w:val="none" w:color="FFFFFF" w:sz="0"/>
              <w:bottom w:val="single" w:color="E8500A" w:sz="12"/>
              <w:right w:val="none" w:color="FFFFFF" w:sz="0"/>
            </w:tcBorders>
            <w:shd w:fill="FFF6F2" w:val="clear"/>
            <w:tcMar>
              <w:top w:type="dxa" w:w="220"/>
              <w:left w:type="dxa" w:w="280"/>
              <w:bottom w:type="dxa" w:w="220"/>
              <w:right w:type="dxa" w:w="280"/>
            </w:tcMar>
          </w:tcPr>
          <w:p>
            <w:pPr>
              <w:jc w:val="center"/>
            </w:pPr>
            <w:r>
              <w:rPr>
                <w:rFonts w:ascii="Arial" w:cs="Arial" w:eastAsia="Arial" w:hAnsi="Arial"/>
                <w:b/>
                <w:bCs/>
                <w:i/>
                <w:iCs/>
                <w:color w:val="1A1A1A"/>
                <w:sz w:val="27"/>
                <w:szCs w:val="27"/>
              </w:rPr>
              <w:t xml:space="preserve">“The pitch decks all look the same. The deployments don’t.”</w:t>
            </w:r>
          </w:p>
        </w:tc>
      </w:tr>
    </w:tbl>
    <w:p>
      <w:pPr>
        <w:spacing w:before="160" w:after="80"/>
      </w:pPr>
      <w:r>
        <w:t xml:space="preserve"/>
      </w:r>
    </w:p>
    <w:p>
      <w:pPr>
        <w:pStyle w:val="Heading2"/>
        <w:pBdr>
          <w:bottom w:val="single" w:color="E8500A" w:sz="4" w:space="4"/>
        </w:pBdr>
        <w:spacing w:before="320" w:after="100"/>
      </w:pPr>
      <w:r>
        <w:rPr>
          <w:rFonts w:ascii="Arial" w:cs="Arial" w:eastAsia="Arial" w:hAnsi="Arial"/>
          <w:b/>
          <w:bCs/>
          <w:color w:val="1A1A1A"/>
          <w:sz w:val="26"/>
          <w:szCs w:val="26"/>
        </w:rPr>
        <w:t xml:space="preserve">Why Most Investors Won’t Find What They’re Looking For</w:t>
      </w:r>
    </w:p>
    <w:p>
      <w:pPr>
        <w:spacing w:before="100" w:after="160"/>
      </w:pPr>
      <w:r>
        <w:rPr>
          <w:rFonts w:ascii="Arial" w:cs="Arial" w:eastAsia="Arial" w:hAnsi="Arial"/>
          <w:color w:val="4A4A4A"/>
          <w:sz w:val="22"/>
          <w:szCs w:val="22"/>
        </w:rPr>
        <w:t xml:space="preserve">The gap between the investment thesis and the available market is significant. Gas-to-hash attracted a wave of operators during the 2021–2023 Bitcoin mining boom who built businesses around the pitch, not the execution. Many of those operators are still active. Some have pivoted from previous industries with limited field operations experience. Others have operational capability but custody and reporting practices that are not suitable for institutional capital. The category has not been well-filtered.</w:t>
      </w:r>
    </w:p>
    <w:p>
      <w:pPr>
        <w:spacing w:before="100" w:after="160"/>
      </w:pPr>
      <w:r>
        <w:rPr>
          <w:rFonts w:ascii="Arial" w:cs="Arial" w:eastAsia="Arial" w:hAnsi="Arial"/>
          <w:color w:val="4A4A4A"/>
          <w:sz w:val="22"/>
          <w:szCs w:val="22"/>
        </w:rPr>
        <w:t xml:space="preserve">The specific failure modes that sophisticated investors encounter in this space:</w:t>
      </w:r>
    </w:p>
    <w:p>
      <w:pPr>
        <w:spacing w:before="60" w:after="4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
        <w:gridCol w:w="2640"/>
        <w:gridCol w:w="5760"/>
      </w:tblGrid>
      <w:tr>
        <w:trPr>
          <w:tblHeader/>
        </w:trPr>
        <w:tc>
          <w:tcPr>
            <w:tcW w:type="dxa" w:w="240"/>
            <w:tcBorders>
              <w:top w:val="single" w:color="DDDDDD" w:sz="1"/>
              <w:left w:val="single" w:color="DDDDDD" w:sz="1"/>
              <w:bottom w:val="single" w:color="DDDDDD" w:sz="1"/>
              <w:right w:val="single" w:color="DDDDDD" w:sz="1"/>
            </w:tcBorders>
            <w:shd w:fill="1A1A1A" w:val="clear"/>
            <w:tcMar>
              <w:top w:type="dxa" w:w="90"/>
              <w:left w:type="dxa" w:w="140"/>
              <w:bottom w:type="dxa" w:w="90"/>
              <w:right w:type="dxa" w:w="140"/>
            </w:tcMar>
          </w:tcPr>
          <w:p>
            <w:r>
              <w:rPr>
                <w:rFonts w:ascii="Arial" w:cs="Arial" w:eastAsia="Arial" w:hAnsi="Arial"/>
                <w:color w:val="FFFFFF"/>
                <w:sz w:val="18"/>
                <w:szCs w:val="18"/>
              </w:rPr>
              <w:t xml:space="preserve"/>
            </w:r>
          </w:p>
        </w:tc>
        <w:tc>
          <w:tcPr>
            <w:tcW w:type="dxa" w:w="2640"/>
            <w:tcBorders>
              <w:top w:val="single" w:color="DDDDDD" w:sz="1"/>
              <w:left w:val="single" w:color="DDDDDD" w:sz="1"/>
              <w:bottom w:val="single" w:color="DDDDDD" w:sz="1"/>
              <w:right w:val="single" w:color="DDDDDD" w:sz="1"/>
            </w:tcBorders>
            <w:shd w:fill="1A1A1A" w:val="clear"/>
            <w:tcMar>
              <w:top w:type="dxa" w:w="90"/>
              <w:left w:type="dxa" w:w="140"/>
              <w:bottom w:type="dxa" w:w="90"/>
              <w:right w:type="dxa" w:w="140"/>
            </w:tcMar>
          </w:tcPr>
          <w:p>
            <w:r>
              <w:rPr>
                <w:rFonts w:ascii="Arial" w:cs="Arial" w:eastAsia="Arial" w:hAnsi="Arial"/>
                <w:b/>
                <w:bCs/>
                <w:color w:val="FFFFFF"/>
                <w:sz w:val="19"/>
                <w:szCs w:val="19"/>
              </w:rPr>
              <w:t xml:space="preserve">Pattern</w:t>
            </w:r>
          </w:p>
        </w:tc>
        <w:tc>
          <w:tcPr>
            <w:tcW w:type="dxa" w:w="5760"/>
            <w:tcBorders>
              <w:top w:val="single" w:color="DDDDDD" w:sz="1"/>
              <w:left w:val="single" w:color="DDDDDD" w:sz="1"/>
              <w:bottom w:val="single" w:color="DDDDDD" w:sz="1"/>
              <w:right w:val="single" w:color="DDDDDD" w:sz="1"/>
            </w:tcBorders>
            <w:shd w:fill="1A1A1A" w:val="clear"/>
            <w:tcMar>
              <w:top w:type="dxa" w:w="90"/>
              <w:left w:type="dxa" w:w="140"/>
              <w:bottom w:type="dxa" w:w="90"/>
              <w:right w:type="dxa" w:w="140"/>
            </w:tcMar>
          </w:tcPr>
          <w:p>
            <w:r>
              <w:rPr>
                <w:rFonts w:ascii="Arial" w:cs="Arial" w:eastAsia="Arial" w:hAnsi="Arial"/>
                <w:b/>
                <w:bCs/>
                <w:color w:val="FFFFFF"/>
                <w:sz w:val="19"/>
                <w:szCs w:val="19"/>
              </w:rPr>
              <w:t xml:space="preserve">What it signals</w:t>
            </w:r>
          </w:p>
        </w:tc>
      </w:tr>
      <w:tr>
        <w:tc>
          <w:tcPr>
            <w:tcW w:type="dxa" w:w="240"/>
            <w:tcBorders>
              <w:top w:val="single" w:color="DDDDDD" w:sz="1"/>
              <w:left w:val="single" w:color="DDDDDD" w:sz="1"/>
              <w:bottom w:val="single" w:color="DDDDDD" w:sz="1"/>
              <w:right w:val="single" w:color="DDDDDD" w:sz="1"/>
            </w:tcBorders>
            <w:shd w:fill="FDECEA" w:val="clear"/>
            <w:tcMar>
              <w:top w:type="dxa" w:w="110"/>
              <w:left w:type="dxa" w:w="160"/>
              <w:bottom w:type="dxa" w:w="110"/>
              <w:right w:type="dxa" w:w="160"/>
            </w:tcMar>
          </w:tcPr>
          <w:p>
            <w:pPr>
              <w:jc w:val="center"/>
            </w:pPr>
            <w:r>
              <w:rPr>
                <w:rFonts w:ascii="Arial" w:cs="Arial" w:eastAsia="Arial" w:hAnsi="Arial"/>
                <w:b/>
                <w:bCs/>
                <w:color w:val="C62828"/>
                <w:sz w:val="22"/>
                <w:szCs w:val="22"/>
              </w:rPr>
              <w:t xml:space="preserve">✕</w:t>
            </w:r>
          </w:p>
        </w:tc>
        <w:tc>
          <w:tcPr>
            <w:tcW w:type="dxa" w:w="2640"/>
            <w:tcBorders>
              <w:top w:val="single" w:color="DDDDDD" w:sz="1"/>
              <w:left w:val="single" w:color="DDDDDD" w:sz="1"/>
              <w:bottom w:val="single" w:color="DDDDDD" w:sz="1"/>
              <w:right w:val="single" w:color="DDDDDD" w:sz="1"/>
            </w:tcBorders>
            <w:shd w:fill="FFFAFA" w:val="clear"/>
            <w:tcMar>
              <w:top w:type="dxa" w:w="110"/>
              <w:left w:type="dxa" w:w="160"/>
              <w:bottom w:type="dxa" w:w="110"/>
              <w:right w:type="dxa" w:w="160"/>
            </w:tcMar>
          </w:tcPr>
          <w:p>
            <w:r>
              <w:rPr>
                <w:rFonts w:ascii="Arial" w:cs="Arial" w:eastAsia="Arial" w:hAnsi="Arial"/>
                <w:b/>
                <w:bCs/>
                <w:color w:val="C62828"/>
                <w:sz w:val="20"/>
                <w:szCs w:val="20"/>
              </w:rPr>
              <w:t xml:space="preserve">Commingled Bitcoin custody</w:t>
            </w:r>
          </w:p>
        </w:tc>
        <w:tc>
          <w:tcPr>
            <w:tcW w:type="dxa" w:w="5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Investor Bitcoin held in operator pool wallet, not distributed directly to investor. Creates counterparty exposure that sophisticated investors should not accept.</w:t>
            </w:r>
          </w:p>
        </w:tc>
      </w:tr>
      <w:tr>
        <w:tc>
          <w:tcPr>
            <w:tcW w:type="dxa" w:w="240"/>
            <w:tcBorders>
              <w:top w:val="single" w:color="DDDDDD" w:sz="1"/>
              <w:left w:val="single" w:color="DDDDDD" w:sz="1"/>
              <w:bottom w:val="single" w:color="DDDDDD" w:sz="1"/>
              <w:right w:val="single" w:color="DDDDDD" w:sz="1"/>
            </w:tcBorders>
            <w:shd w:fill="FDECEA" w:val="clear"/>
            <w:tcMar>
              <w:top w:type="dxa" w:w="110"/>
              <w:left w:type="dxa" w:w="160"/>
              <w:bottom w:type="dxa" w:w="110"/>
              <w:right w:type="dxa" w:w="160"/>
            </w:tcMar>
          </w:tcPr>
          <w:p>
            <w:pPr>
              <w:jc w:val="center"/>
            </w:pPr>
            <w:r>
              <w:rPr>
                <w:rFonts w:ascii="Arial" w:cs="Arial" w:eastAsia="Arial" w:hAnsi="Arial"/>
                <w:b/>
                <w:bCs/>
                <w:color w:val="C62828"/>
                <w:sz w:val="22"/>
                <w:szCs w:val="22"/>
              </w:rPr>
              <w:t xml:space="preserve">✕</w:t>
            </w:r>
          </w:p>
        </w:tc>
        <w:tc>
          <w:tcPr>
            <w:tcW w:type="dxa" w:w="2640"/>
            <w:tcBorders>
              <w:top w:val="single" w:color="DDDDDD" w:sz="1"/>
              <w:left w:val="single" w:color="DDDDDD" w:sz="1"/>
              <w:bottom w:val="single" w:color="DDDDDD" w:sz="1"/>
              <w:right w:val="single" w:color="DDDDDD" w:sz="1"/>
            </w:tcBorders>
            <w:shd w:fill="FFFAFA" w:val="clear"/>
            <w:tcMar>
              <w:top w:type="dxa" w:w="110"/>
              <w:left w:type="dxa" w:w="160"/>
              <w:bottom w:type="dxa" w:w="110"/>
              <w:right w:type="dxa" w:w="160"/>
            </w:tcMar>
          </w:tcPr>
          <w:p>
            <w:r>
              <w:rPr>
                <w:rFonts w:ascii="Arial" w:cs="Arial" w:eastAsia="Arial" w:hAnsi="Arial"/>
                <w:b/>
                <w:bCs/>
                <w:color w:val="C62828"/>
                <w:sz w:val="20"/>
                <w:szCs w:val="20"/>
              </w:rPr>
              <w:t xml:space="preserve">Revenue summaries without blockchain proof</w:t>
            </w:r>
          </w:p>
        </w:tc>
        <w:tc>
          <w:tcPr>
            <w:tcW w:type="dxa" w:w="5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Monthly reports show USD amounts or “estimated BTC” without transaction IDs. No verifiable on-chain record of what was actually distributed and when.</w:t>
            </w:r>
          </w:p>
        </w:tc>
      </w:tr>
      <w:tr>
        <w:tc>
          <w:tcPr>
            <w:tcW w:type="dxa" w:w="240"/>
            <w:tcBorders>
              <w:top w:val="single" w:color="DDDDDD" w:sz="1"/>
              <w:left w:val="single" w:color="DDDDDD" w:sz="1"/>
              <w:bottom w:val="single" w:color="DDDDDD" w:sz="1"/>
              <w:right w:val="single" w:color="DDDDDD" w:sz="1"/>
            </w:tcBorders>
            <w:shd w:fill="FDECEA" w:val="clear"/>
            <w:tcMar>
              <w:top w:type="dxa" w:w="110"/>
              <w:left w:type="dxa" w:w="160"/>
              <w:bottom w:type="dxa" w:w="110"/>
              <w:right w:type="dxa" w:w="160"/>
            </w:tcMar>
          </w:tcPr>
          <w:p>
            <w:pPr>
              <w:jc w:val="center"/>
            </w:pPr>
            <w:r>
              <w:rPr>
                <w:rFonts w:ascii="Arial" w:cs="Arial" w:eastAsia="Arial" w:hAnsi="Arial"/>
                <w:b/>
                <w:bCs/>
                <w:color w:val="C62828"/>
                <w:sz w:val="22"/>
                <w:szCs w:val="22"/>
              </w:rPr>
              <w:t xml:space="preserve">✕</w:t>
            </w:r>
          </w:p>
        </w:tc>
        <w:tc>
          <w:tcPr>
            <w:tcW w:type="dxa" w:w="2640"/>
            <w:tcBorders>
              <w:top w:val="single" w:color="DDDDDD" w:sz="1"/>
              <w:left w:val="single" w:color="DDDDDD" w:sz="1"/>
              <w:bottom w:val="single" w:color="DDDDDD" w:sz="1"/>
              <w:right w:val="single" w:color="DDDDDD" w:sz="1"/>
            </w:tcBorders>
            <w:shd w:fill="FFFAFA" w:val="clear"/>
            <w:tcMar>
              <w:top w:type="dxa" w:w="110"/>
              <w:left w:type="dxa" w:w="160"/>
              <w:bottom w:type="dxa" w:w="110"/>
              <w:right w:type="dxa" w:w="160"/>
            </w:tcMar>
          </w:tcPr>
          <w:p>
            <w:r>
              <w:rPr>
                <w:rFonts w:ascii="Arial" w:cs="Arial" w:eastAsia="Arial" w:hAnsi="Arial"/>
                <w:b/>
                <w:bCs/>
                <w:color w:val="C62828"/>
                <w:sz w:val="20"/>
                <w:szCs w:val="20"/>
              </w:rPr>
              <w:t xml:space="preserve">Uptime claims without site-level data</w:t>
            </w:r>
          </w:p>
        </w:tc>
        <w:tc>
          <w:tcPr>
            <w:tcW w:type="dxa" w:w="5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Operator cites “95%+ fleet uptime” but cannot provide site-specific uptime records for active pads, broken out by component.</w:t>
            </w:r>
          </w:p>
        </w:tc>
      </w:tr>
      <w:tr>
        <w:tc>
          <w:tcPr>
            <w:tcW w:type="dxa" w:w="240"/>
            <w:tcBorders>
              <w:top w:val="single" w:color="DDDDDD" w:sz="1"/>
              <w:left w:val="single" w:color="DDDDDD" w:sz="1"/>
              <w:bottom w:val="single" w:color="DDDDDD" w:sz="1"/>
              <w:right w:val="single" w:color="DDDDDD" w:sz="1"/>
            </w:tcBorders>
            <w:shd w:fill="FDECEA" w:val="clear"/>
            <w:tcMar>
              <w:top w:type="dxa" w:w="110"/>
              <w:left w:type="dxa" w:w="160"/>
              <w:bottom w:type="dxa" w:w="110"/>
              <w:right w:type="dxa" w:w="160"/>
            </w:tcMar>
          </w:tcPr>
          <w:p>
            <w:pPr>
              <w:jc w:val="center"/>
            </w:pPr>
            <w:r>
              <w:rPr>
                <w:rFonts w:ascii="Arial" w:cs="Arial" w:eastAsia="Arial" w:hAnsi="Arial"/>
                <w:b/>
                <w:bCs/>
                <w:color w:val="C62828"/>
                <w:sz w:val="22"/>
                <w:szCs w:val="22"/>
              </w:rPr>
              <w:t xml:space="preserve">✕</w:t>
            </w:r>
          </w:p>
        </w:tc>
        <w:tc>
          <w:tcPr>
            <w:tcW w:type="dxa" w:w="2640"/>
            <w:tcBorders>
              <w:top w:val="single" w:color="DDDDDD" w:sz="1"/>
              <w:left w:val="single" w:color="DDDDDD" w:sz="1"/>
              <w:bottom w:val="single" w:color="DDDDDD" w:sz="1"/>
              <w:right w:val="single" w:color="DDDDDD" w:sz="1"/>
            </w:tcBorders>
            <w:shd w:fill="FFFAFA" w:val="clear"/>
            <w:tcMar>
              <w:top w:type="dxa" w:w="110"/>
              <w:left w:type="dxa" w:w="160"/>
              <w:bottom w:type="dxa" w:w="110"/>
              <w:right w:type="dxa" w:w="160"/>
            </w:tcMar>
          </w:tcPr>
          <w:p>
            <w:r>
              <w:rPr>
                <w:rFonts w:ascii="Arial" w:cs="Arial" w:eastAsia="Arial" w:hAnsi="Arial"/>
                <w:b/>
                <w:bCs/>
                <w:color w:val="C62828"/>
                <w:sz w:val="20"/>
                <w:szCs w:val="20"/>
              </w:rPr>
              <w:t xml:space="preserve">No direct operator references</w:t>
            </w:r>
          </w:p>
        </w:tc>
        <w:tc>
          <w:tcPr>
            <w:tcW w:type="dxa" w:w="5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Investor is offered managed introductions or testimonials rather than direct contact with operators on currently running pads.</w:t>
            </w:r>
          </w:p>
        </w:tc>
      </w:tr>
      <w:tr>
        <w:tc>
          <w:tcPr>
            <w:tcW w:type="dxa" w:w="240"/>
            <w:tcBorders>
              <w:top w:val="single" w:color="DDDDDD" w:sz="1"/>
              <w:left w:val="single" w:color="DDDDDD" w:sz="1"/>
              <w:bottom w:val="single" w:color="DDDDDD" w:sz="1"/>
              <w:right w:val="single" w:color="DDDDDD" w:sz="1"/>
            </w:tcBorders>
            <w:shd w:fill="FDECEA" w:val="clear"/>
            <w:tcMar>
              <w:top w:type="dxa" w:w="110"/>
              <w:left w:type="dxa" w:w="160"/>
              <w:bottom w:type="dxa" w:w="110"/>
              <w:right w:type="dxa" w:w="160"/>
            </w:tcMar>
          </w:tcPr>
          <w:p>
            <w:pPr>
              <w:jc w:val="center"/>
            </w:pPr>
            <w:r>
              <w:rPr>
                <w:rFonts w:ascii="Arial" w:cs="Arial" w:eastAsia="Arial" w:hAnsi="Arial"/>
                <w:b/>
                <w:bCs/>
                <w:color w:val="C62828"/>
                <w:sz w:val="22"/>
                <w:szCs w:val="22"/>
              </w:rPr>
              <w:t xml:space="preserve">✕</w:t>
            </w:r>
          </w:p>
        </w:tc>
        <w:tc>
          <w:tcPr>
            <w:tcW w:type="dxa" w:w="2640"/>
            <w:tcBorders>
              <w:top w:val="single" w:color="DDDDDD" w:sz="1"/>
              <w:left w:val="single" w:color="DDDDDD" w:sz="1"/>
              <w:bottom w:val="single" w:color="DDDDDD" w:sz="1"/>
              <w:right w:val="single" w:color="DDDDDD" w:sz="1"/>
            </w:tcBorders>
            <w:shd w:fill="FFFAFA" w:val="clear"/>
            <w:tcMar>
              <w:top w:type="dxa" w:w="110"/>
              <w:left w:type="dxa" w:w="160"/>
              <w:bottom w:type="dxa" w:w="110"/>
              <w:right w:type="dxa" w:w="160"/>
            </w:tcMar>
          </w:tcPr>
          <w:p>
            <w:r>
              <w:rPr>
                <w:rFonts w:ascii="Arial" w:cs="Arial" w:eastAsia="Arial" w:hAnsi="Arial"/>
                <w:b/>
                <w:bCs/>
                <w:color w:val="C62828"/>
                <w:sz w:val="20"/>
                <w:szCs w:val="20"/>
              </w:rPr>
              <w:t xml:space="preserve">Projected returns at peak hashprice only</w:t>
            </w:r>
          </w:p>
        </w:tc>
        <w:tc>
          <w:tcPr>
            <w:tcW w:type="dxa" w:w="5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Financial model shows returns at current or historical peak hashprice without downside scenarios. A −50% hashprice stress test is not presented.</w:t>
            </w:r>
          </w:p>
        </w:tc>
      </w:tr>
      <w:tr>
        <w:tc>
          <w:tcPr>
            <w:tcW w:type="dxa" w:w="240"/>
            <w:tcBorders>
              <w:top w:val="single" w:color="DDDDDD" w:sz="1"/>
              <w:left w:val="single" w:color="DDDDDD" w:sz="1"/>
              <w:bottom w:val="single" w:color="DDDDDD" w:sz="1"/>
              <w:right w:val="single" w:color="DDDDDD" w:sz="1"/>
            </w:tcBorders>
            <w:shd w:fill="EAF5EA" w:val="clear"/>
            <w:tcMar>
              <w:top w:type="dxa" w:w="110"/>
              <w:left w:type="dxa" w:w="160"/>
              <w:bottom w:type="dxa" w:w="110"/>
              <w:right w:type="dxa" w:w="160"/>
            </w:tcMar>
          </w:tcPr>
          <w:p>
            <w:pPr>
              <w:jc w:val="center"/>
            </w:pPr>
            <w:r>
              <w:rPr>
                <w:rFonts w:ascii="Arial" w:cs="Arial" w:eastAsia="Arial" w:hAnsi="Arial"/>
                <w:b/>
                <w:bCs/>
                <w:color w:val="2E7D32"/>
                <w:sz w:val="22"/>
                <w:szCs w:val="22"/>
              </w:rPr>
              <w:t xml:space="preserve">✓</w:t>
            </w:r>
          </w:p>
        </w:tc>
        <w:tc>
          <w:tcPr>
            <w:tcW w:type="dxa" w:w="2640"/>
            <w:tcBorders>
              <w:top w:val="single" w:color="DDDDDD" w:sz="1"/>
              <w:left w:val="single" w:color="DDDDDD" w:sz="1"/>
              <w:bottom w:val="single" w:color="DDDDDD" w:sz="1"/>
              <w:right w:val="single" w:color="DDDDDD" w:sz="1"/>
            </w:tcBorders>
            <w:shd w:fill="FAFFFA" w:val="clear"/>
            <w:tcMar>
              <w:top w:type="dxa" w:w="110"/>
              <w:left w:type="dxa" w:w="160"/>
              <w:bottom w:type="dxa" w:w="110"/>
              <w:right w:type="dxa" w:w="160"/>
            </w:tcMar>
          </w:tcPr>
          <w:p>
            <w:r>
              <w:rPr>
                <w:rFonts w:ascii="Arial" w:cs="Arial" w:eastAsia="Arial" w:hAnsi="Arial"/>
                <w:b/>
                <w:bCs/>
                <w:color w:val="2E7D32"/>
                <w:sz w:val="20"/>
                <w:szCs w:val="20"/>
              </w:rPr>
              <w:t xml:space="preserve">Custody-first with blockchain transaction IDs</w:t>
            </w:r>
          </w:p>
        </w:tc>
        <w:tc>
          <w:tcPr>
            <w:tcW w:type="dxa" w:w="5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Each distribution is documented with an on-chain transaction ID the investor can verify independently. No operator discretion over timing or conversion.</w:t>
            </w:r>
          </w:p>
        </w:tc>
      </w:tr>
      <w:tr>
        <w:tc>
          <w:tcPr>
            <w:tcW w:type="dxa" w:w="240"/>
            <w:tcBorders>
              <w:top w:val="single" w:color="DDDDDD" w:sz="1"/>
              <w:left w:val="single" w:color="DDDDDD" w:sz="1"/>
              <w:bottom w:val="single" w:color="DDDDDD" w:sz="1"/>
              <w:right w:val="single" w:color="DDDDDD" w:sz="1"/>
            </w:tcBorders>
            <w:shd w:fill="EAF5EA" w:val="clear"/>
            <w:tcMar>
              <w:top w:type="dxa" w:w="110"/>
              <w:left w:type="dxa" w:w="160"/>
              <w:bottom w:type="dxa" w:w="110"/>
              <w:right w:type="dxa" w:w="160"/>
            </w:tcMar>
          </w:tcPr>
          <w:p>
            <w:pPr>
              <w:jc w:val="center"/>
            </w:pPr>
            <w:r>
              <w:rPr>
                <w:rFonts w:ascii="Arial" w:cs="Arial" w:eastAsia="Arial" w:hAnsi="Arial"/>
                <w:b/>
                <w:bCs/>
                <w:color w:val="2E7D32"/>
                <w:sz w:val="22"/>
                <w:szCs w:val="22"/>
              </w:rPr>
              <w:t xml:space="preserve">✓</w:t>
            </w:r>
          </w:p>
        </w:tc>
        <w:tc>
          <w:tcPr>
            <w:tcW w:type="dxa" w:w="2640"/>
            <w:tcBorders>
              <w:top w:val="single" w:color="DDDDDD" w:sz="1"/>
              <w:left w:val="single" w:color="DDDDDD" w:sz="1"/>
              <w:bottom w:val="single" w:color="DDDDDD" w:sz="1"/>
              <w:right w:val="single" w:color="DDDDDD" w:sz="1"/>
            </w:tcBorders>
            <w:shd w:fill="FAFFFA" w:val="clear"/>
            <w:tcMar>
              <w:top w:type="dxa" w:w="110"/>
              <w:left w:type="dxa" w:w="160"/>
              <w:bottom w:type="dxa" w:w="110"/>
              <w:right w:type="dxa" w:w="160"/>
            </w:tcMar>
          </w:tcPr>
          <w:p>
            <w:r>
              <w:rPr>
                <w:rFonts w:ascii="Arial" w:cs="Arial" w:eastAsia="Arial" w:hAnsi="Arial"/>
                <w:b/>
                <w:bCs/>
                <w:color w:val="2E7D32"/>
                <w:sz w:val="20"/>
                <w:szCs w:val="20"/>
              </w:rPr>
              <w:t xml:space="preserve">Component-level uptime reporting</w:t>
            </w:r>
          </w:p>
        </w:tc>
        <w:tc>
          <w:tcPr>
            <w:tcW w:type="dxa" w:w="5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Monthly report breaks out generator uptime, ASIC uptime, and connectivity uptime separately. Maintenance events documented with dates and resolution.</w:t>
            </w:r>
          </w:p>
        </w:tc>
      </w:tr>
      <w:tr>
        <w:tc>
          <w:tcPr>
            <w:tcW w:type="dxa" w:w="240"/>
            <w:tcBorders>
              <w:top w:val="single" w:color="DDDDDD" w:sz="1"/>
              <w:left w:val="single" w:color="DDDDDD" w:sz="1"/>
              <w:bottom w:val="single" w:color="DDDDDD" w:sz="1"/>
              <w:right w:val="single" w:color="DDDDDD" w:sz="1"/>
            </w:tcBorders>
            <w:shd w:fill="EAF5EA" w:val="clear"/>
            <w:tcMar>
              <w:top w:type="dxa" w:w="110"/>
              <w:left w:type="dxa" w:w="160"/>
              <w:bottom w:type="dxa" w:w="110"/>
              <w:right w:type="dxa" w:w="160"/>
            </w:tcMar>
          </w:tcPr>
          <w:p>
            <w:pPr>
              <w:jc w:val="center"/>
            </w:pPr>
            <w:r>
              <w:rPr>
                <w:rFonts w:ascii="Arial" w:cs="Arial" w:eastAsia="Arial" w:hAnsi="Arial"/>
                <w:b/>
                <w:bCs/>
                <w:color w:val="2E7D32"/>
                <w:sz w:val="22"/>
                <w:szCs w:val="22"/>
              </w:rPr>
              <w:t xml:space="preserve">✓</w:t>
            </w:r>
          </w:p>
        </w:tc>
        <w:tc>
          <w:tcPr>
            <w:tcW w:type="dxa" w:w="2640"/>
            <w:tcBorders>
              <w:top w:val="single" w:color="DDDDDD" w:sz="1"/>
              <w:left w:val="single" w:color="DDDDDD" w:sz="1"/>
              <w:bottom w:val="single" w:color="DDDDDD" w:sz="1"/>
              <w:right w:val="single" w:color="DDDDDD" w:sz="1"/>
            </w:tcBorders>
            <w:shd w:fill="FAFFFA" w:val="clear"/>
            <w:tcMar>
              <w:top w:type="dxa" w:w="110"/>
              <w:left w:type="dxa" w:w="160"/>
              <w:bottom w:type="dxa" w:w="110"/>
              <w:right w:type="dxa" w:w="160"/>
            </w:tcMar>
          </w:tcPr>
          <w:p>
            <w:r>
              <w:rPr>
                <w:rFonts w:ascii="Arial" w:cs="Arial" w:eastAsia="Arial" w:hAnsi="Arial"/>
                <w:b/>
                <w:bCs/>
                <w:color w:val="2E7D32"/>
                <w:sz w:val="20"/>
                <w:szCs w:val="20"/>
              </w:rPr>
              <w:t xml:space="preserve">Direct references from active pads</w:t>
            </w:r>
          </w:p>
        </w:tc>
        <w:tc>
          <w:tcPr>
            <w:tcW w:type="dxa" w:w="5760"/>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color w:val="4A4A4A"/>
                <w:sz w:val="20"/>
                <w:szCs w:val="20"/>
              </w:rPr>
              <w:t xml:space="preserve">Investor can contact operators on currently running pads—not completed deployments—directly, without operator involvement.</w:t>
            </w:r>
          </w:p>
        </w:tc>
      </w:tr>
    </w:tbl>
    <w:p>
      <w:pPr>
        <w:spacing w:before="160" w:after="80"/>
      </w:pPr>
      <w:r>
        <w:t xml:space="preserve"/>
      </w:r>
    </w:p>
    <w:p>
      <w:pPr>
        <w:pStyle w:val="Heading2"/>
        <w:pBdr>
          <w:bottom w:val="single" w:color="E8500A" w:sz="4" w:space="4"/>
        </w:pBdr>
        <w:spacing w:before="320" w:after="100"/>
      </w:pPr>
      <w:r>
        <w:rPr>
          <w:rFonts w:ascii="Arial" w:cs="Arial" w:eastAsia="Arial" w:hAnsi="Arial"/>
          <w:b/>
          <w:bCs/>
          <w:color w:val="1A1A1A"/>
          <w:sz w:val="26"/>
          <w:szCs w:val="26"/>
        </w:rPr>
        <w:t xml:space="preserve">What Custody-First Actually Looks Like</w:t>
      </w:r>
    </w:p>
    <w:p>
      <w:pPr>
        <w:spacing w:before="100" w:after="160"/>
      </w:pPr>
      <w:r>
        <w:rPr>
          <w:rFonts w:ascii="Arial" w:cs="Arial" w:eastAsia="Arial" w:hAnsi="Arial"/>
          <w:color w:val="4A4A4A"/>
          <w:sz w:val="22"/>
          <w:szCs w:val="22"/>
        </w:rPr>
        <w:t xml:space="preserve">Custody-first is the term serious operators use to describe a Bitcoin payout structure where the investor’s share of mined Bitcoin is delivered directly to the investor’s self-custody wallet as the first transaction—before any other distributions, conversions, or operator holdings. It is not a marketing term. It is a specific, verifiable structure with a clear on-chain record.</w:t>
      </w:r>
    </w:p>
    <w:p>
      <w:pPr>
        <w:spacing w:before="100" w:after="160"/>
      </w:pPr>
      <w:r>
        <w:rPr>
          <w:rFonts w:ascii="Arial" w:cs="Arial" w:eastAsia="Arial" w:hAnsi="Arial"/>
          <w:color w:val="4A4A4A"/>
          <w:sz w:val="22"/>
          <w:szCs w:val="22"/>
        </w:rPr>
        <w:t xml:space="preserve">In practice, it works like this: the mining pool accumulates Bitcoin as blocks are validated. At the defined distribution interval—typically monthly—Bitcoin is sent directly from the pool wallet to each party’s designated self-custody wallet in a single transaction. The investor receives a blockchain transaction ID with the monthly reporting package. They can verify the amount and timing independently on any block explorer. The operator never holds the investor’s Bitcoin.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A3A5C" w:sz="10"/>
              <w:bottom w:val="none" w:color="FFFFFF" w:sz="0"/>
              <w:right w:val="none" w:color="FFFFFF" w:sz="0"/>
            </w:tcBorders>
            <w:shd w:fill="FFF6F2" w:val="clear"/>
            <w:tcMar>
              <w:top w:type="dxa" w:w="140"/>
              <w:left w:type="dxa" w:w="200"/>
              <w:bottom w:type="dxa" w:w="140"/>
              <w:right w:type="dxa" w:w="200"/>
            </w:tcMar>
          </w:tcPr>
          <w:p>
            <w:pPr>
              <w:spacing w:before="0" w:after="60"/>
            </w:pPr>
            <w:r>
              <w:rPr>
                <w:rFonts w:ascii="Arial" w:cs="Arial" w:eastAsia="Arial" w:hAnsi="Arial"/>
                <w:b/>
                <w:bCs/>
                <w:color w:val="1A3A5C"/>
                <w:sz w:val="21"/>
                <w:szCs w:val="21"/>
              </w:rPr>
              <w:t xml:space="preserve">THE TEST QUESTION</w:t>
            </w:r>
          </w:p>
          <w:p>
            <w:pPr>
              <w:spacing w:before="0" w:after="0"/>
            </w:pPr>
            <w:r>
              <w:rPr>
                <w:rFonts w:ascii="Arial" w:cs="Arial" w:eastAsia="Arial" w:hAnsi="Arial"/>
                <w:color w:val="4A4A4A"/>
                <w:sz w:val="21"/>
                <w:szCs w:val="21"/>
              </w:rPr>
              <w:t xml:space="preserve">Ask any operator you are evaluating: “Can you show me the blockchain transaction IDs for the last six months of investor distributions from an active deployment?” A credible operator will provide them without hesitation. An operator who cannot—or who offers USD settlement summaries instead of on-chain records—is either not running a custody-first structure or does not have adequate reporting infrastructure. Both are disqualifying for institutional capital.</w:t>
            </w:r>
          </w:p>
        </w:tc>
      </w:tr>
    </w:tbl>
    <w:p>
      <w:pPr>
        <w:spacing w:before="160" w:after="80"/>
      </w:pPr>
      <w:r>
        <w:t xml:space="preserve"/>
      </w:r>
    </w:p>
    <w:p>
      <w:pPr>
        <w:pStyle w:val="Heading2"/>
        <w:pBdr>
          <w:bottom w:val="single" w:color="E8500A" w:sz="4" w:space="4"/>
        </w:pBdr>
        <w:spacing w:before="320" w:after="100"/>
      </w:pPr>
      <w:r>
        <w:rPr>
          <w:rFonts w:ascii="Arial" w:cs="Arial" w:eastAsia="Arial" w:hAnsi="Arial"/>
          <w:b/>
          <w:bCs/>
          <w:color w:val="1A1A1A"/>
          <w:sz w:val="26"/>
          <w:szCs w:val="26"/>
        </w:rPr>
        <w:t xml:space="preserve">What Sophisticated Investors Should Actually Evaluate</w:t>
      </w:r>
    </w:p>
    <w:p>
      <w:pPr>
        <w:spacing w:before="100" w:after="160"/>
      </w:pPr>
      <w:r>
        <w:rPr>
          <w:rFonts w:ascii="Arial" w:cs="Arial" w:eastAsia="Arial" w:hAnsi="Arial"/>
          <w:color w:val="4A4A4A"/>
          <w:sz w:val="22"/>
          <w:szCs w:val="22"/>
        </w:rPr>
        <w:t xml:space="preserve">The evaluation framework for a gas-to-hash investment is not fundamentally different from any direct infrastructure deal. The Bitcoin layer adds specificity to some questions but doesn’t change the underlying diligence structure. Three areas that distinguish rigorous from superficial evaluation:</w:t>
      </w:r>
    </w:p>
    <w:p>
      <w:pPr>
        <w:spacing w:before="100" w:after="160"/>
      </w:pPr>
      <w:r>
        <w:rPr>
          <w:rFonts w:ascii="Arial" w:cs="Arial" w:eastAsia="Arial" w:hAnsi="Arial"/>
          <w:color w:val="4A4A4A"/>
          <w:sz w:val="22"/>
          <w:szCs w:val="22"/>
        </w:rPr>
        <w:t xml:space="preserve">Operational track record, not portfolio size. An operator with eight deployed sites and documented uptime records across all of them is more valuable than an operator with twenty sites and anecdotal performance claims. Ask for the uptime data on every active site. If the operator cannot produce it, that is the answer.</w:t>
      </w:r>
    </w:p>
    <w:p>
      <w:pPr>
        <w:spacing w:before="100" w:after="160"/>
      </w:pPr>
      <w:r>
        <w:rPr>
          <w:rFonts w:ascii="Arial" w:cs="Arial" w:eastAsia="Arial" w:hAnsi="Arial"/>
          <w:color w:val="4A4A4A"/>
          <w:sz w:val="22"/>
          <w:szCs w:val="22"/>
        </w:rPr>
        <w:t xml:space="preserve">Lease and gas supply verification, not projections. The gas volumes that underpin the financial model must be confirmed against current production data, not projected from initial well rates. Ask for the most recent gas analysis and the production history on the specific well or wells that will power the deployment. Decline curves matter. A well producing 400 Mcfd today may produce 180 Mcfd in eighteen months.</w:t>
      </w:r>
    </w:p>
    <w:p>
      <w:pPr>
        <w:spacing w:before="100" w:after="160"/>
      </w:pPr>
      <w:r>
        <w:rPr>
          <w:rFonts w:ascii="Arial" w:cs="Arial" w:eastAsia="Arial" w:hAnsi="Arial"/>
          <w:color w:val="4A4A4A"/>
          <w:sz w:val="22"/>
          <w:szCs w:val="22"/>
        </w:rPr>
        <w:t xml:space="preserve">Exit provisions, not just entry terms. The deployment agreement must clearly define what happens when the term ends, when either party wants to exit early, when gas production falls below minimum viable threshold, and when Bitcoin economics make operations unviable for the miner. Investors who focus on entry economics and overlook exit provisions discover the gap at the worst possible time.</w:t>
      </w:r>
    </w:p>
    <w:p>
      <w:pPr>
        <w:spacing w:before="80" w:after="60"/>
      </w:pPr>
      <w:r>
        <w:t xml:space="preserve"/>
      </w:r>
    </w:p>
    <w:p>
      <w:pPr>
        <w:spacing w:before="100" w:after="160"/>
      </w:pPr>
      <w:r>
        <w:rPr>
          <w:rFonts w:ascii="Arial" w:cs="Arial" w:eastAsia="Arial" w:hAnsi="Arial"/>
          <w:color w:val="1A1A1A"/>
          <w:sz w:val="22"/>
          <w:szCs w:val="22"/>
        </w:rPr>
        <w:t xml:space="preserve">The investors who will find what they are looking for in this category are the ones who treat it as a direct infrastructure deal and apply the same diligence rigor they would apply to a commercial real estate investment or a private credit position. The investors who won’t are the ones who are attracted by the thesis and let the thesis substitute for diligence.</w:t>
      </w:r>
    </w:p>
    <w:p>
      <w:pPr>
        <w:spacing w:before="160" w:after="10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8500A" w:sz="12"/>
              <w:left w:val="none" w:color="FFFFFF" w:sz="0"/>
              <w:bottom w:val="single" w:color="E8500A" w:sz="12"/>
              <w:right w:val="none" w:color="FFFFFF" w:sz="0"/>
            </w:tcBorders>
            <w:shd w:fill="1A1A1A" w:val="clear"/>
            <w:tcMar>
              <w:top w:type="dxa" w:w="240"/>
              <w:left w:type="dxa" w:w="320"/>
              <w:bottom w:type="dxa" w:w="240"/>
              <w:right w:type="dxa" w:w="320"/>
            </w:tcMar>
          </w:tcPr>
          <w:p>
            <w:pPr>
              <w:spacing w:before="0" w:after="80"/>
              <w:jc w:val="center"/>
            </w:pPr>
            <w:r>
              <w:rPr>
                <w:rFonts w:ascii="Arial" w:cs="Arial" w:eastAsia="Arial" w:hAnsi="Arial"/>
                <w:b/>
                <w:bCs/>
                <w:color w:val="FFFFFF"/>
                <w:sz w:val="25"/>
                <w:szCs w:val="25"/>
              </w:rPr>
              <w:t xml:space="preserve">Evaluate a specific deployment opportunity.</w:t>
            </w:r>
          </w:p>
          <w:p>
            <w:pPr>
              <w:spacing w:before="0" w:after="100"/>
              <w:jc w:val="center"/>
            </w:pPr>
            <w:r>
              <w:rPr>
                <w:rFonts w:ascii="Arial" w:cs="Arial" w:eastAsia="Arial" w:hAnsi="Arial"/>
                <w:color w:val="BBBBBB"/>
                <w:sz w:val="20"/>
                <w:szCs w:val="20"/>
              </w:rPr>
              <w:t xml:space="preserve">MCF.digital works with family offices and HNWIs ready to move from research to diligence. Book a 15-minute introduction to review current site availability, deal structures, and reporting standards.</w:t>
            </w:r>
          </w:p>
          <w:p>
            <w:pPr>
              <w:spacing w:before="0" w:after="0"/>
              <w:jc w:val="center"/>
            </w:pPr>
            <w:r>
              <w:rPr>
                <w:rFonts w:ascii="Arial" w:cs="Arial" w:eastAsia="Arial" w:hAnsi="Arial"/>
                <w:b/>
                <w:bCs/>
                <w:color w:val="E8500A"/>
                <w:sz w:val="22"/>
                <w:szCs w:val="22"/>
              </w:rPr>
              <w:t xml:space="preserve">mcf.digital/hnwi-family-offices</w:t>
            </w:r>
            <w:r>
              <w:rPr>
                <w:rFonts w:ascii="Arial" w:cs="Arial" w:eastAsia="Arial" w:hAnsi="Arial"/>
                <w:color w:val="E8500A"/>
                <w:sz w:val="20"/>
                <w:szCs w:val="20"/>
              </w:rPr>
              <w:t xml:space="preserve">   ·   Book a 15-minute introduction</w:t>
            </w:r>
          </w:p>
        </w:tc>
      </w:tr>
    </w:tbl>
    <w:p>
      <w:pPr>
        <w:spacing w:before="200" w:after="80"/>
      </w:pPr>
      <w:r>
        <w:t xml:space="preserve"/>
      </w:r>
    </w:p>
    <w:p>
      <w:pPr>
        <w:pBdr>
          <w:top w:val="single" w:color="DDDDDD" w:sz="4" w:space="4"/>
        </w:pBdr>
        <w:spacing w:before="0" w:after="0"/>
      </w:pPr>
      <w:r>
        <w:t xml:space="preserve"/>
      </w:r>
    </w:p>
    <w:p>
      <w:pPr>
        <w:spacing w:before="80" w:after="40"/>
      </w:pPr>
      <w:r>
        <w:t xml:space="preserve"/>
      </w:r>
    </w:p>
    <w:p>
      <w:pPr>
        <w:spacing w:before="0" w:after="60"/>
      </w:pPr>
      <w:r>
        <w:rPr>
          <w:rFonts w:ascii="Arial" w:cs="Arial" w:eastAsia="Arial" w:hAnsi="Arial"/>
          <w:b/>
          <w:bCs/>
          <w:color w:val="1A1A1A"/>
          <w:sz w:val="20"/>
          <w:szCs w:val="20"/>
        </w:rPr>
        <w:t xml:space="preserve">Related Reading</w:t>
      </w:r>
    </w:p>
    <w:p>
      <w:pPr>
        <w:pStyle w:val="ListParagraph"/>
        <w:numPr>
          <w:ilvl w:val="0"/>
          <w:numId w:val="2"/>
        </w:numPr>
        <w:spacing w:before="40" w:after="40"/>
      </w:pPr>
      <w:r>
        <w:rPr>
          <w:rFonts w:ascii="Arial" w:cs="Arial" w:eastAsia="Arial" w:hAnsi="Arial"/>
          <w:color w:val="666666"/>
          <w:sz w:val="20"/>
          <w:szCs w:val="20"/>
        </w:rPr>
        <w:t xml:space="preserve">Investing in Stranded Gas Bitcoin Mining: A Family Office and HNWI Primer — mcf.digital/guides/hnwi-family-office-primer</w:t>
      </w:r>
    </w:p>
    <w:p>
      <w:pPr>
        <w:pStyle w:val="ListParagraph"/>
        <w:numPr>
          <w:ilvl w:val="0"/>
          <w:numId w:val="2"/>
        </w:numPr>
        <w:spacing w:before="40" w:after="40"/>
      </w:pPr>
      <w:r>
        <w:rPr>
          <w:rFonts w:ascii="Arial" w:cs="Arial" w:eastAsia="Arial" w:hAnsi="Arial"/>
          <w:color w:val="666666"/>
          <w:sz w:val="20"/>
          <w:szCs w:val="20"/>
        </w:rPr>
        <w:t xml:space="preserve">HNWI &amp; Family Offices: Work with MCF.digital — mcf.digital/hnwi-family-offices</w:t>
      </w:r>
    </w:p>
    <w:p>
      <w:pPr>
        <w:pStyle w:val="ListParagraph"/>
        <w:numPr>
          <w:ilvl w:val="0"/>
          <w:numId w:val="2"/>
        </w:numPr>
        <w:spacing w:before="40" w:after="40"/>
      </w:pPr>
      <w:r>
        <w:rPr>
          <w:rFonts w:ascii="Arial" w:cs="Arial" w:eastAsia="Arial" w:hAnsi="Arial"/>
          <w:color w:val="666666"/>
          <w:sz w:val="20"/>
          <w:szCs w:val="20"/>
        </w:rPr>
        <w:t xml:space="preserve">What Is Custody-First Bitcoin Payout? — mcf.digital/glossary/what-is-custody-first-bitcoin-payout</w:t>
      </w:r>
    </w:p>
    <w:p>
      <w:pPr>
        <w:pStyle w:val="ListParagraph"/>
        <w:numPr>
          <w:ilvl w:val="0"/>
          <w:numId w:val="2"/>
        </w:numPr>
        <w:spacing w:before="40" w:after="40"/>
      </w:pPr>
      <w:r>
        <w:rPr>
          <w:rFonts w:ascii="Arial" w:cs="Arial" w:eastAsia="Arial" w:hAnsi="Arial"/>
          <w:color w:val="666666"/>
          <w:sz w:val="20"/>
          <w:szCs w:val="20"/>
        </w:rPr>
        <w:t xml:space="preserve">Commodity Risk, Uptime Risk, and Site Risk: The Three Risk Categories — mcf.digital/operator-guides/three-risk-categories</w:t>
      </w:r>
    </w:p>
    <w:p>
      <w:pPr>
        <w:spacing w:before="100" w:after="60"/>
      </w:pPr>
      <w:r>
        <w:t xml:space="preserve"/>
      </w:r>
    </w:p>
    <w:p>
      <w:pPr>
        <w:spacing w:before="0" w:after="0"/>
      </w:pPr>
      <w:r>
        <w:rPr>
          <w:rFonts w:ascii="Arial" w:cs="Arial" w:eastAsia="Arial" w:hAnsi="Arial"/>
          <w:b/>
          <w:bCs/>
          <w:color w:val="1A1A1A"/>
          <w:sz w:val="19"/>
          <w:szCs w:val="19"/>
        </w:rPr>
        <w:t xml:space="preserve">MCF.digital</w:t>
      </w:r>
      <w:r>
        <w:rPr>
          <w:rFonts w:ascii="Arial" w:cs="Arial" w:eastAsia="Arial" w:hAnsi="Arial"/>
          <w:color w:val="999999"/>
          <w:sz w:val="18"/>
          <w:szCs w:val="18"/>
        </w:rPr>
        <w:t xml:space="preserve">  ·  On-Lease Bitcoin Mining  ·  Flare Gas Monetization  ·  Gas-to-Hash Operator</w:t>
      </w:r>
    </w:p>
    <w:p>
      <w:pPr>
        <w:spacing w:before="40" w:after="0"/>
      </w:pPr>
      <w:r>
        <w:rPr>
          <w:rFonts w:ascii="Arial" w:cs="Arial" w:eastAsia="Arial" w:hAnsi="Arial"/>
          <w:color w:val="BBBBBB"/>
          <w:sz w:val="16"/>
          <w:szCs w:val="16"/>
        </w:rPr>
        <w:t xml:space="preserve">Audience: Investors, Family Offices, HNWIs  ·  Category: Thought Leadership  ·  mcf.digital/articles/why-family-offices-looking-at-stranded-gas</w:t>
      </w:r>
    </w:p>
    <w:sectPr>
      <w:headerReference w:type="default" r:id="rId6"/>
      <w:footerReference w:type="default" r:id="rId7"/>
      <w:pgSz w:w="12240" w:h="15840" w:orient="portrait"/>
      <w:pgMar w:top="1080" w:right="1980" w:bottom="1080" w:left="1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4" w:space="2"/>
      </w:pBdr>
      <w:tabs>
        <w:tab w:val="right" w:pos="8280"/>
      </w:tabs>
      <w:spacing w:before="120" w:after="0"/>
    </w:pPr>
    <w:r>
      <w:rPr>
        <w:rFonts w:ascii="Arial" w:cs="Arial" w:eastAsia="Arial" w:hAnsi="Arial"/>
        <w:color w:val="999999"/>
        <w:sz w:val="18"/>
        <w:szCs w:val="18"/>
      </w:rPr>
      <w:t xml:space="preserve">mcf.digital</w:t>
    </w:r>
    <w:r>
      <w:rPr>
        <w:rFonts w:ascii="Arial" w:cs="Arial" w:eastAsia="Arial" w:hAnsi="Arial"/>
        <w:color w:val="BBBBBB"/>
        <w:sz w:val="18"/>
        <w:szCs w:val="18"/>
      </w:rPr>
      <w:t xml:space="preserve">	mcf.digital/articles/why-family-offices-looking-at-stranded-gas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space="2"/>
      </w:pBdr>
      <w:spacing w:before="0" w:after="160"/>
    </w:pPr>
    <w:r>
      <w:rPr>
        <w:rFonts w:ascii="Arial" w:cs="Arial" w:eastAsia="Arial" w:hAnsi="Arial"/>
        <w:b/>
        <w:bCs/>
        <w:color w:val="E8500A"/>
        <w:sz w:val="22"/>
        <w:szCs w:val="22"/>
      </w:rPr>
      <w:t xml:space="preserve">MCF</w:t>
    </w:r>
    <w:r>
      <w:rPr>
        <w:rFonts w:ascii="Arial" w:cs="Arial" w:eastAsia="Arial" w:hAnsi="Arial"/>
        <w:b/>
        <w:bCs/>
        <w:color w:val="1A1A1A"/>
        <w:sz w:val="22"/>
        <w:szCs w:val="22"/>
      </w:rPr>
      <w:t xml:space="preserve">.DIGITAL</w:t>
    </w:r>
    <w:r>
      <w:rPr>
        <w:rFonts w:ascii="Arial" w:cs="Arial" w:eastAsia="Arial" w:hAnsi="Arial"/>
        <w:color w:val="999999"/>
        <w:sz w:val="18"/>
        <w:szCs w:val="18"/>
      </w:rPr>
      <w:t xml:space="preserve">   THOUGHT LEADERSHIP  |  Why Family Offices Are Looking at Stranded Gas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20" w:after="10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2026-02-27T00:56:35.657Z</dcterms:created>
  <dcterms:modified xsi:type="dcterms:W3CDTF">2026-02-27T00:56:35.658Z</dcterms:modified>
</cp:coreProperties>
</file>

<file path=docProps/custom.xml><?xml version="1.0" encoding="utf-8"?>
<Properties xmlns="http://schemas.openxmlformats.org/officeDocument/2006/custom-properties" xmlns:vt="http://schemas.openxmlformats.org/officeDocument/2006/docPropsVTypes"/>
</file>