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rFonts w:ascii="Arial" w:cs="Arial" w:eastAsia="Arial" w:hAnsi="Arial"/>
          <w:caps/>
          <w:color w:val="AAAAAA"/>
          <w:sz w:val="17"/>
          <w:szCs w:val="17"/>
        </w:rPr>
        <w:t xml:space="preserve">THOUGHT LEADERSHIP  //  OPERATORS</w:t>
      </w:r>
    </w:p>
    <w:p>
      <w:pPr>
        <w:spacing w:before="40" w:after="60"/>
      </w:pPr>
      <w:r>
        <w:rPr>
          <w:rFonts w:ascii="Arial" w:cs="Arial" w:eastAsia="Arial" w:hAnsi="Arial"/>
          <w:b/>
          <w:bCs/>
          <w:color w:val="1A1A1A"/>
          <w:sz w:val="50"/>
          <w:szCs w:val="50"/>
        </w:rPr>
        <w:t xml:space="preserve">The Four Questions</w:t>
      </w:r>
    </w:p>
    <w:p>
      <w:pPr>
        <w:spacing w:before="0" w:after="60"/>
      </w:pPr>
      <w:r>
        <w:rPr>
          <w:rFonts w:ascii="Arial" w:cs="Arial" w:eastAsia="Arial" w:hAnsi="Arial"/>
          <w:b/>
          <w:bCs/>
          <w:color w:val="E8500A"/>
          <w:sz w:val="50"/>
          <w:szCs w:val="50"/>
        </w:rPr>
        <w:t xml:space="preserve">Every Operator Should Ask</w:t>
      </w:r>
    </w:p>
    <w:p>
      <w:pPr>
        <w:spacing w:before="0" w:after="80"/>
      </w:pPr>
      <w:r>
        <w:rPr>
          <w:rFonts w:ascii="Arial" w:cs="Arial" w:eastAsia="Arial" w:hAnsi="Arial"/>
          <w:b/>
          <w:bCs/>
          <w:color w:val="1A1A1A"/>
          <w:sz w:val="34"/>
          <w:szCs w:val="34"/>
        </w:rPr>
        <w:t xml:space="preserve">Before Signing a Gas-to-Hash Agreement</w:t>
      </w:r>
    </w:p>
    <w:p>
      <w:pPr>
        <w:spacing w:before="40" w:after="0"/>
      </w:pPr>
      <w:r>
        <w:t xml:space="preserve"/>
      </w:r>
    </w:p>
    <w:p>
      <w:pPr>
        <w:pBdr>
          <w:bottom w:val="single" w:color="E0E0E0" w:sz="2" w:space="8"/>
        </w:pBdr>
        <w:spacing w:before="0" w:after="0"/>
      </w:pPr>
      <w:r>
        <w:rPr>
          <w:rFonts w:ascii="Arial" w:cs="Arial" w:eastAsia="Arial" w:hAnsi="Arial"/>
          <w:b/>
          <w:bCs/>
          <w:color w:val="E8500A"/>
          <w:sz w:val="19"/>
          <w:szCs w:val="19"/>
        </w:rPr>
        <w:t xml:space="preserve">By MCF.digital Operations Team</w:t>
      </w:r>
      <w:r>
        <w:rPr>
          <w:rFonts w:ascii="Arial" w:cs="Arial" w:eastAsia="Arial" w:hAnsi="Arial"/>
          <w:color w:val="AAAAAA"/>
          <w:sz w:val="19"/>
          <w:szCs w:val="19"/>
        </w:rPr>
        <w:t xml:space="preserve">   ·   mcf.digital/articles/four-questions-before-signing</w:t>
      </w:r>
    </w:p>
    <w:p>
      <w:pPr>
        <w:spacing w:before="200" w:after="0"/>
      </w:pPr>
      <w:r>
        <w:t xml:space="preserve"/>
      </w:r>
    </w:p>
    <w:p>
      <w:pPr>
        <w:spacing w:before="0" w:after="220"/>
      </w:pPr>
      <w:r>
        <w:rPr>
          <w:rFonts w:ascii="Arial" w:cs="Arial" w:eastAsia="Arial" w:hAnsi="Arial"/>
          <w:i/>
          <w:iCs/>
          <w:color w:val="4A4A4A"/>
          <w:sz w:val="25"/>
          <w:szCs w:val="25"/>
        </w:rPr>
        <w:t xml:space="preserve">Most operators who have a bad experience with a gas-to-hash deployment didn’t ask the wrong questions. They didn’t ask any questions. The pitch was compelling, the numbers looked right, and the agreement got signed. Four specific questions, asked before signing, would have changed most of those outcomes.</w:t>
      </w:r>
    </w:p>
    <w:p>
      <w:pPr>
        <w:spacing w:before="100" w:after="160"/>
      </w:pPr>
      <w:r>
        <w:rPr>
          <w:rFonts w:ascii="Arial" w:cs="Arial" w:eastAsia="Arial" w:hAnsi="Arial"/>
          <w:color w:val="4A4A4A"/>
          <w:sz w:val="22"/>
          <w:szCs w:val="22"/>
        </w:rPr>
        <w:t xml:space="preserve">These are not trick questions. They are not designed to catch operators in gotcha moments. They are the four things you genuinely need to know before you put equipment on your pad and commit your gas to a deployment—and they are questions that any competent operator should be able to answer directly, without hedging.</w:t>
      </w:r>
    </w:p>
    <w:p>
      <w:pPr>
        <w:spacing w:before="100" w:after="160"/>
      </w:pPr>
      <w:r>
        <w:rPr>
          <w:rFonts w:ascii="Arial" w:cs="Arial" w:eastAsia="Arial" w:hAnsi="Arial"/>
          <w:color w:val="4A4A4A"/>
          <w:sz w:val="22"/>
          <w:szCs w:val="22"/>
        </w:rPr>
        <w:t xml:space="preserve">If the operator you’re evaluating cannot answer all four of them clearly and specifically, that is your answer.</w:t>
      </w:r>
    </w:p>
    <w:p>
      <w:pPr>
        <w:spacing w:before="12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DDDDDD" w:sz="1"/>
              <w:right w:val="single" w:color="DDDDDD" w:sz="1"/>
            </w:tcBorders>
            <w:shd w:fill="1A1A1A" w:val="clear"/>
            <w:tcMar>
              <w:top w:type="dxa" w:w="120"/>
              <w:left w:type="dxa" w:w="220"/>
              <w:bottom w:type="dxa" w:w="120"/>
              <w:right w:type="dxa" w:w="220"/>
            </w:tcMar>
          </w:tcPr>
          <w:p>
            <w:pPr>
              <w:spacing w:before="0" w:after="40"/>
            </w:pPr>
            <w:r>
              <w:rPr>
                <w:rFonts w:ascii="Arial" w:cs="Arial" w:eastAsia="Arial" w:hAnsi="Arial"/>
                <w:b/>
                <w:bCs/>
                <w:caps/>
                <w:color w:val="E8500A"/>
                <w:sz w:val="17"/>
                <w:szCs w:val="17"/>
              </w:rPr>
              <w:t xml:space="preserve">QUESTION 1</w:t>
            </w:r>
          </w:p>
          <w:p>
            <w:pPr>
              <w:spacing w:before="0" w:after="0"/>
            </w:pPr>
            <w:r>
              <w:rPr>
                <w:rFonts w:ascii="Arial" w:cs="Arial" w:eastAsia="Arial" w:hAnsi="Arial"/>
                <w:b/>
                <w:bCs/>
                <w:color w:val="FFFFFF"/>
                <w:sz w:val="28"/>
                <w:szCs w:val="28"/>
              </w:rPr>
              <w:t xml:space="preserve">Who handles operations when something breaks—and how fast?</w:t>
            </w:r>
          </w:p>
        </w:tc>
      </w:tr>
      <w:tr>
        <w:tc>
          <w:tcPr>
            <w:tcW w:type="dxa" w:w="8640"/>
            <w:tcBorders>
              <w:top w:val="single" w:color="DDDDDD" w:sz="1"/>
              <w:left w:val="single" w:color="DDDDDD" w:sz="1"/>
              <w:bottom w:val="single" w:color="DDDDDD" w:sz="1"/>
              <w:right w:val="single" w:color="DDDDDD" w:sz="1"/>
            </w:tcBorders>
            <w:shd w:fill="F7F7F7" w:val="clear"/>
            <w:tcMar>
              <w:top w:type="dxa" w:w="140"/>
              <w:left w:type="dxa" w:w="220"/>
              <w:bottom w:type="dxa" w:w="140"/>
              <w:right w:type="dxa" w:w="220"/>
            </w:tcMar>
          </w:tcPr>
          <w:p>
            <w:r>
              <w:rPr>
                <w:rFonts w:ascii="Arial" w:cs="Arial" w:eastAsia="Arial" w:hAnsi="Arial"/>
                <w:i/>
                <w:iCs/>
                <w:color w:val="4A4A4A"/>
                <w:sz w:val="21"/>
                <w:szCs w:val="21"/>
              </w:rPr>
              <w:t xml:space="preserve">This question separates operators who run deployments from operators who manage deployments. Remote monitoring is not operations. A dashboard is not a response. What you need to know is: who specifically gets in a truck when the generator goes down at 2am on a Sunday, and how long before they arrive at your pad?</w:t>
            </w:r>
          </w:p>
        </w:tc>
      </w:tr>
      <w:tr>
        <w:tc>
          <w:tcPr>
            <w:tcW w:type="dxa" w:w="8640"/>
            <w:tcBorders>
              <w:top w:val="single" w:color="DDDDDD" w:sz="1"/>
              <w:left w:val="single" w:color="DDDDDD" w:sz="1"/>
              <w:bottom w:val="single" w:color="DDDDDD" w:sz="1"/>
              <w:right w:val="single" w:color="DDDDDD" w:sz="1"/>
            </w:tcBorders>
            <w:shd w:fill="EAF5EA" w:val="clear"/>
            <w:tcMar>
              <w:top w:type="dxa" w:w="100"/>
              <w:left w:type="dxa" w:w="220"/>
              <w:bottom w:type="dxa" w:w="100"/>
              <w:right w:type="dxa" w:w="220"/>
            </w:tcMar>
          </w:tcPr>
          <w:p>
            <w:pPr>
              <w:spacing w:before="0" w:after="50"/>
            </w:pPr>
            <w:r>
              <w:rPr>
                <w:rFonts w:ascii="Arial" w:cs="Arial" w:eastAsia="Arial" w:hAnsi="Arial"/>
                <w:b/>
                <w:bCs/>
                <w:caps/>
                <w:color w:val="2E7D32"/>
                <w:sz w:val="19"/>
                <w:szCs w:val="19"/>
              </w:rPr>
              <w:t xml:space="preserve">Good answer</w:t>
            </w:r>
          </w:p>
          <w:p>
            <w:pPr>
              <w:spacing w:before="0" w:after="0"/>
            </w:pPr>
            <w:r>
              <w:rPr>
                <w:rFonts w:ascii="Arial" w:cs="Arial" w:eastAsia="Arial" w:hAnsi="Arial"/>
                <w:color w:val="4A4A4A"/>
                <w:sz w:val="20"/>
                <w:szCs w:val="20"/>
              </w:rPr>
              <w:t xml:space="preserve">Named field technicians, documented response time commitments (ideally under 4 hours to site for critical failures), spare parts staged within the service radius, and maintenance intervals that match the generator manufacturer’s schedule. Bonus: the operator can tell you the furthest active pad from their nearest staging point and what the response time is from there.</w:t>
            </w:r>
          </w:p>
        </w:tc>
      </w:tr>
      <w:tr>
        <w:tc>
          <w:tcPr>
            <w:tcW w:type="dxa" w:w="8640"/>
            <w:tcBorders>
              <w:top w:val="single" w:color="DDDDDD" w:sz="1"/>
              <w:left w:val="single" w:color="DDDDDD" w:sz="1"/>
              <w:bottom w:val="single" w:color="DDDDDD" w:sz="1"/>
              <w:right w:val="single" w:color="DDDDDD" w:sz="1"/>
            </w:tcBorders>
            <w:shd w:fill="FEF9E7" w:val="clear"/>
            <w:tcMar>
              <w:top w:type="dxa" w:w="100"/>
              <w:left w:type="dxa" w:w="220"/>
              <w:bottom w:type="dxa" w:w="100"/>
              <w:right w:type="dxa" w:w="220"/>
            </w:tcMar>
          </w:tcPr>
          <w:p>
            <w:pPr>
              <w:spacing w:before="0" w:after="50"/>
            </w:pPr>
            <w:r>
              <w:rPr>
                <w:rFonts w:ascii="Arial" w:cs="Arial" w:eastAsia="Arial" w:hAnsi="Arial"/>
                <w:b/>
                <w:bCs/>
                <w:caps/>
                <w:color w:val="7A4800"/>
                <w:sz w:val="19"/>
                <w:szCs w:val="19"/>
              </w:rPr>
              <w:t xml:space="preserve">Vague answer</w:t>
            </w:r>
          </w:p>
          <w:p>
            <w:pPr>
              <w:spacing w:before="0" w:after="0"/>
            </w:pPr>
            <w:r>
              <w:rPr>
                <w:rFonts w:ascii="Arial" w:cs="Arial" w:eastAsia="Arial" w:hAnsi="Arial"/>
                <w:color w:val="4A4A4A"/>
                <w:sz w:val="20"/>
                <w:szCs w:val="20"/>
              </w:rPr>
              <w:t xml:space="preserve">“We have a team that monitors all sites remotely and dispatches as needed.” This describes monitoring, not operations. Ask: who dispatches, from where, and what is the contractual response time commitment? If there’s no contractual commitment, there’s no commitment.</w:t>
            </w:r>
          </w:p>
        </w:tc>
      </w:tr>
      <w:tr>
        <w:tc>
          <w:tcPr>
            <w:tcW w:type="dxa" w:w="8640"/>
            <w:tcBorders>
              <w:top w:val="single" w:color="DDDDDD" w:sz="1"/>
              <w:left w:val="single" w:color="DDDDDD" w:sz="1"/>
              <w:bottom w:val="single" w:color="DDDDDD" w:sz="1"/>
              <w:right w:val="single" w:color="DDDDDD" w:sz="1"/>
            </w:tcBorders>
            <w:shd w:fill="FDECEA" w:val="clear"/>
            <w:tcMar>
              <w:top w:type="dxa" w:w="100"/>
              <w:left w:type="dxa" w:w="220"/>
              <w:bottom w:type="dxa" w:w="100"/>
              <w:right w:type="dxa" w:w="220"/>
            </w:tcMar>
          </w:tcPr>
          <w:p>
            <w:pPr>
              <w:spacing w:before="0" w:after="50"/>
            </w:pPr>
            <w:r>
              <w:rPr>
                <w:rFonts w:ascii="Arial" w:cs="Arial" w:eastAsia="Arial" w:hAnsi="Arial"/>
                <w:b/>
                <w:bCs/>
                <w:caps/>
                <w:color w:val="C62828"/>
                <w:sz w:val="19"/>
                <w:szCs w:val="19"/>
              </w:rPr>
              <w:t xml:space="preserve">Bad answer</w:t>
            </w:r>
          </w:p>
          <w:p>
            <w:pPr>
              <w:spacing w:before="0" w:after="0"/>
            </w:pPr>
            <w:r>
              <w:rPr>
                <w:rFonts w:ascii="Arial" w:cs="Arial" w:eastAsia="Arial" w:hAnsi="Arial"/>
                <w:color w:val="4A4A4A"/>
                <w:sz w:val="20"/>
                <w:szCs w:val="20"/>
              </w:rPr>
              <w:t xml:space="preserve">Any response that mentions a third-party service contractor without being able to name them, describe their SLA, or confirm they have parts availability for the specific generator model on your pad.</w:t>
            </w:r>
          </w:p>
        </w:tc>
      </w:tr>
    </w:tbl>
    <w:p>
      <w:pPr>
        <w:spacing w:before="120" w:after="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DDDDDD" w:sz="1"/>
              <w:right w:val="single" w:color="DDDDDD" w:sz="1"/>
            </w:tcBorders>
            <w:shd w:fill="1A1A1A" w:val="clear"/>
            <w:tcMar>
              <w:top w:type="dxa" w:w="120"/>
              <w:left w:type="dxa" w:w="220"/>
              <w:bottom w:type="dxa" w:w="120"/>
              <w:right w:type="dxa" w:w="220"/>
            </w:tcMar>
          </w:tcPr>
          <w:p>
            <w:pPr>
              <w:spacing w:before="0" w:after="40"/>
            </w:pPr>
            <w:r>
              <w:rPr>
                <w:rFonts w:ascii="Arial" w:cs="Arial" w:eastAsia="Arial" w:hAnsi="Arial"/>
                <w:b/>
                <w:bCs/>
                <w:caps/>
                <w:color w:val="E8500A"/>
                <w:sz w:val="17"/>
                <w:szCs w:val="17"/>
              </w:rPr>
              <w:t xml:space="preserve">QUESTION 2</w:t>
            </w:r>
          </w:p>
          <w:p>
            <w:pPr>
              <w:spacing w:before="0" w:after="0"/>
            </w:pPr>
            <w:r>
              <w:rPr>
                <w:rFonts w:ascii="Arial" w:cs="Arial" w:eastAsia="Arial" w:hAnsi="Arial"/>
                <w:b/>
                <w:bCs/>
                <w:color w:val="FFFFFF"/>
                <w:sz w:val="28"/>
                <w:szCs w:val="28"/>
              </w:rPr>
              <w:t xml:space="preserve">What happens to my site if Bitcoin price drops 50%?</w:t>
            </w:r>
          </w:p>
        </w:tc>
      </w:tr>
      <w:tr>
        <w:tc>
          <w:tcPr>
            <w:tcW w:type="dxa" w:w="8640"/>
            <w:tcBorders>
              <w:top w:val="single" w:color="DDDDDD" w:sz="1"/>
              <w:left w:val="single" w:color="DDDDDD" w:sz="1"/>
              <w:bottom w:val="single" w:color="DDDDDD" w:sz="1"/>
              <w:right w:val="single" w:color="DDDDDD" w:sz="1"/>
            </w:tcBorders>
            <w:shd w:fill="F7F7F7" w:val="clear"/>
            <w:tcMar>
              <w:top w:type="dxa" w:w="140"/>
              <w:left w:type="dxa" w:w="220"/>
              <w:bottom w:type="dxa" w:w="140"/>
              <w:right w:type="dxa" w:w="220"/>
            </w:tcMar>
          </w:tcPr>
          <w:p>
            <w:r>
              <w:rPr>
                <w:rFonts w:ascii="Arial" w:cs="Arial" w:eastAsia="Arial" w:hAnsi="Arial"/>
                <w:i/>
                <w:iCs/>
                <w:color w:val="4A4A4A"/>
                <w:sz w:val="21"/>
                <w:szCs w:val="21"/>
              </w:rPr>
              <w:t xml:space="preserve">This is not a hypothetical. Bitcoin has dropped more than 50% multiple times in its history and will likely do so again. The question is not whether it will happen—it’s what the specific contractual and operational consequences are for your pad when it does. The answer varies significantly by deal structure.</w:t>
            </w:r>
          </w:p>
        </w:tc>
      </w:tr>
      <w:tr>
        <w:tc>
          <w:tcPr>
            <w:tcW w:type="dxa" w:w="8640"/>
            <w:tcBorders>
              <w:top w:val="single" w:color="DDDDDD" w:sz="1"/>
              <w:left w:val="single" w:color="DDDDDD" w:sz="1"/>
              <w:bottom w:val="single" w:color="DDDDDD" w:sz="1"/>
              <w:right w:val="single" w:color="DDDDDD" w:sz="1"/>
            </w:tcBorders>
            <w:shd w:fill="EAF5EA" w:val="clear"/>
            <w:tcMar>
              <w:top w:type="dxa" w:w="100"/>
              <w:left w:type="dxa" w:w="220"/>
              <w:bottom w:type="dxa" w:w="100"/>
              <w:right w:type="dxa" w:w="220"/>
            </w:tcMar>
          </w:tcPr>
          <w:p>
            <w:pPr>
              <w:spacing w:before="0" w:after="50"/>
            </w:pPr>
            <w:r>
              <w:rPr>
                <w:rFonts w:ascii="Arial" w:cs="Arial" w:eastAsia="Arial" w:hAnsi="Arial"/>
                <w:b/>
                <w:bCs/>
                <w:caps/>
                <w:color w:val="2E7D32"/>
                <w:sz w:val="19"/>
                <w:szCs w:val="19"/>
              </w:rPr>
              <w:t xml:space="preserve">Good answer</w:t>
            </w:r>
          </w:p>
          <w:p>
            <w:pPr>
              <w:spacing w:before="0" w:after="0"/>
            </w:pPr>
            <w:r>
              <w:rPr>
                <w:rFonts w:ascii="Arial" w:cs="Arial" w:eastAsia="Arial" w:hAnsi="Arial"/>
                <w:color w:val="4A4A4A"/>
                <w:sz w:val="20"/>
                <w:szCs w:val="20"/>
              </w:rPr>
              <w:t xml:space="preserve">A specific walkthrough of the downside scenarios by deal structure: under hosting, your USD revenue is fixed and unchanged; under revenue share, your revenue declines proportionally; under direct mining, you absorb the full decline. For any structure where your revenue is BTC-correlated, the operator should present a stress-tested pro forma at −50% hashprice, show you what the suspension clause looks like, and tell you the minimum notice period before they can exit.</w:t>
            </w:r>
          </w:p>
        </w:tc>
      </w:tr>
      <w:tr>
        <w:tc>
          <w:tcPr>
            <w:tcW w:type="dxa" w:w="8640"/>
            <w:tcBorders>
              <w:top w:val="single" w:color="DDDDDD" w:sz="1"/>
              <w:left w:val="single" w:color="DDDDDD" w:sz="1"/>
              <w:bottom w:val="single" w:color="DDDDDD" w:sz="1"/>
              <w:right w:val="single" w:color="DDDDDD" w:sz="1"/>
            </w:tcBorders>
            <w:shd w:fill="FEF9E7" w:val="clear"/>
            <w:tcMar>
              <w:top w:type="dxa" w:w="100"/>
              <w:left w:type="dxa" w:w="220"/>
              <w:bottom w:type="dxa" w:w="100"/>
              <w:right w:type="dxa" w:w="220"/>
            </w:tcMar>
          </w:tcPr>
          <w:p>
            <w:pPr>
              <w:spacing w:before="0" w:after="50"/>
            </w:pPr>
            <w:r>
              <w:rPr>
                <w:rFonts w:ascii="Arial" w:cs="Arial" w:eastAsia="Arial" w:hAnsi="Arial"/>
                <w:b/>
                <w:bCs/>
                <w:caps/>
                <w:color w:val="7A4800"/>
                <w:sz w:val="19"/>
                <w:szCs w:val="19"/>
              </w:rPr>
              <w:t xml:space="preserve">Vague answer</w:t>
            </w:r>
          </w:p>
          <w:p>
            <w:pPr>
              <w:spacing w:before="0" w:after="0"/>
            </w:pPr>
            <w:r>
              <w:rPr>
                <w:rFonts w:ascii="Arial" w:cs="Arial" w:eastAsia="Arial" w:hAnsi="Arial"/>
                <w:color w:val="4A4A4A"/>
                <w:sz w:val="20"/>
                <w:szCs w:val="20"/>
              </w:rPr>
              <w:t xml:space="preserve">“Bitcoin has always recovered long-term” or “we’re confident in Bitcoin’s fundamentals.” These are not answers to the question you asked. The question was about the contractual and operational consequences, not about Bitcoin price predictions.</w:t>
            </w:r>
          </w:p>
        </w:tc>
      </w:tr>
      <w:tr>
        <w:tc>
          <w:tcPr>
            <w:tcW w:type="dxa" w:w="8640"/>
            <w:tcBorders>
              <w:top w:val="single" w:color="DDDDDD" w:sz="1"/>
              <w:left w:val="single" w:color="DDDDDD" w:sz="1"/>
              <w:bottom w:val="single" w:color="DDDDDD" w:sz="1"/>
              <w:right w:val="single" w:color="DDDDDD" w:sz="1"/>
            </w:tcBorders>
            <w:shd w:fill="FDECEA" w:val="clear"/>
            <w:tcMar>
              <w:top w:type="dxa" w:w="100"/>
              <w:left w:type="dxa" w:w="220"/>
              <w:bottom w:type="dxa" w:w="100"/>
              <w:right w:type="dxa" w:w="220"/>
            </w:tcMar>
          </w:tcPr>
          <w:p>
            <w:pPr>
              <w:spacing w:before="0" w:after="50"/>
            </w:pPr>
            <w:r>
              <w:rPr>
                <w:rFonts w:ascii="Arial" w:cs="Arial" w:eastAsia="Arial" w:hAnsi="Arial"/>
                <w:b/>
                <w:bCs/>
                <w:caps/>
                <w:color w:val="C62828"/>
                <w:sz w:val="19"/>
                <w:szCs w:val="19"/>
              </w:rPr>
              <w:t xml:space="preserve">Bad answer</w:t>
            </w:r>
          </w:p>
          <w:p>
            <w:pPr>
              <w:spacing w:before="0" w:after="0"/>
            </w:pPr>
            <w:r>
              <w:rPr>
                <w:rFonts w:ascii="Arial" w:cs="Arial" w:eastAsia="Arial" w:hAnsi="Arial"/>
                <w:color w:val="4A4A4A"/>
                <w:sz w:val="20"/>
                <w:szCs w:val="20"/>
              </w:rPr>
              <w:t xml:space="preserve">Any response that does not address the suspension clause or that cannot produce a downside scenario in the financial model. If the only pro forma you’ve been shown is at current or peak hashprice, you have not been shown a pro forma—you’ve been shown a sales document.</w:t>
            </w:r>
          </w:p>
        </w:tc>
      </w:tr>
    </w:tbl>
    <w:p>
      <w:pPr>
        <w:spacing w:before="120" w:after="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FFF6F2" w:val="clear"/>
            <w:tcMar>
              <w:top w:type="dxa" w:w="220"/>
              <w:left w:type="dxa" w:w="280"/>
              <w:bottom w:type="dxa" w:w="220"/>
              <w:right w:type="dxa" w:w="280"/>
            </w:tcMar>
          </w:tcPr>
          <w:p>
            <w:pPr>
              <w:jc w:val="center"/>
            </w:pPr>
            <w:r>
              <w:rPr>
                <w:rFonts w:ascii="Arial" w:cs="Arial" w:eastAsia="Arial" w:hAnsi="Arial"/>
                <w:b/>
                <w:bCs/>
                <w:i/>
                <w:iCs/>
                <w:color w:val="1A1A1A"/>
                <w:sz w:val="27"/>
                <w:szCs w:val="27"/>
              </w:rPr>
              <w:t xml:space="preserve">“The questions an operator can’t answer are more informative than the ones they can.”</w:t>
            </w:r>
          </w:p>
        </w:tc>
      </w:tr>
    </w:tbl>
    <w:p>
      <w:pPr>
        <w:spacing w:before="120" w:after="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DDDDDD" w:sz="1"/>
              <w:right w:val="single" w:color="DDDDDD" w:sz="1"/>
            </w:tcBorders>
            <w:shd w:fill="1A1A1A" w:val="clear"/>
            <w:tcMar>
              <w:top w:type="dxa" w:w="120"/>
              <w:left w:type="dxa" w:w="220"/>
              <w:bottom w:type="dxa" w:w="120"/>
              <w:right w:type="dxa" w:w="220"/>
            </w:tcMar>
          </w:tcPr>
          <w:p>
            <w:pPr>
              <w:spacing w:before="0" w:after="40"/>
            </w:pPr>
            <w:r>
              <w:rPr>
                <w:rFonts w:ascii="Arial" w:cs="Arial" w:eastAsia="Arial" w:hAnsi="Arial"/>
                <w:b/>
                <w:bCs/>
                <w:caps/>
                <w:color w:val="E8500A"/>
                <w:sz w:val="17"/>
                <w:szCs w:val="17"/>
              </w:rPr>
              <w:t xml:space="preserve">QUESTION 3</w:t>
            </w:r>
          </w:p>
          <w:p>
            <w:pPr>
              <w:spacing w:before="0" w:after="0"/>
            </w:pPr>
            <w:r>
              <w:rPr>
                <w:rFonts w:ascii="Arial" w:cs="Arial" w:eastAsia="Arial" w:hAnsi="Arial"/>
                <w:b/>
                <w:bCs/>
                <w:color w:val="FFFFFF"/>
                <w:sz w:val="28"/>
                <w:szCs w:val="28"/>
              </w:rPr>
              <w:t xml:space="preserve">How is my gas volume confirmed and metered—and who controls the meter?</w:t>
            </w:r>
          </w:p>
        </w:tc>
      </w:tr>
      <w:tr>
        <w:tc>
          <w:tcPr>
            <w:tcW w:type="dxa" w:w="8640"/>
            <w:tcBorders>
              <w:top w:val="single" w:color="DDDDDD" w:sz="1"/>
              <w:left w:val="single" w:color="DDDDDD" w:sz="1"/>
              <w:bottom w:val="single" w:color="DDDDDD" w:sz="1"/>
              <w:right w:val="single" w:color="DDDDDD" w:sz="1"/>
            </w:tcBorders>
            <w:shd w:fill="F7F7F7" w:val="clear"/>
            <w:tcMar>
              <w:top w:type="dxa" w:w="140"/>
              <w:left w:type="dxa" w:w="220"/>
              <w:bottom w:type="dxa" w:w="140"/>
              <w:right w:type="dxa" w:w="220"/>
            </w:tcMar>
          </w:tcPr>
          <w:p>
            <w:r>
              <w:rPr>
                <w:rFonts w:ascii="Arial" w:cs="Arial" w:eastAsia="Arial" w:hAnsi="Arial"/>
                <w:i/>
                <w:iCs/>
                <w:color w:val="4A4A4A"/>
                <w:sz w:val="21"/>
                <w:szCs w:val="21"/>
              </w:rPr>
              <w:t xml:space="preserve">Your revenue is calculated as a function of the gas you provide. The accuracy and independence of that measurement is not a technical detail—it is the foundation of the economic relationship. In any deal where you are receiving a gas-based payment (hosting rate per Mcf, revenue share based on gas consumption, or power credit), the metering methodology and custody of the meter data must be clear.</w:t>
            </w:r>
          </w:p>
        </w:tc>
      </w:tr>
      <w:tr>
        <w:tc>
          <w:tcPr>
            <w:tcW w:type="dxa" w:w="8640"/>
            <w:tcBorders>
              <w:top w:val="single" w:color="DDDDDD" w:sz="1"/>
              <w:left w:val="single" w:color="DDDDDD" w:sz="1"/>
              <w:bottom w:val="single" w:color="DDDDDD" w:sz="1"/>
              <w:right w:val="single" w:color="DDDDDD" w:sz="1"/>
            </w:tcBorders>
            <w:shd w:fill="EAF5EA" w:val="clear"/>
            <w:tcMar>
              <w:top w:type="dxa" w:w="100"/>
              <w:left w:type="dxa" w:w="220"/>
              <w:bottom w:type="dxa" w:w="100"/>
              <w:right w:type="dxa" w:w="220"/>
            </w:tcMar>
          </w:tcPr>
          <w:p>
            <w:pPr>
              <w:spacing w:before="0" w:after="50"/>
            </w:pPr>
            <w:r>
              <w:rPr>
                <w:rFonts w:ascii="Arial" w:cs="Arial" w:eastAsia="Arial" w:hAnsi="Arial"/>
                <w:b/>
                <w:bCs/>
                <w:caps/>
                <w:color w:val="2E7D32"/>
                <w:sz w:val="19"/>
                <w:szCs w:val="19"/>
              </w:rPr>
              <w:t xml:space="preserve">Good answer</w:t>
            </w:r>
          </w:p>
          <w:p>
            <w:pPr>
              <w:spacing w:before="0" w:after="0"/>
            </w:pPr>
            <w:r>
              <w:rPr>
                <w:rFonts w:ascii="Arial" w:cs="Arial" w:eastAsia="Arial" w:hAnsi="Arial"/>
                <w:color w:val="4A4A4A"/>
                <w:sz w:val="20"/>
                <w:szCs w:val="20"/>
              </w:rPr>
              <w:t xml:space="preserve">Revenue-grade metering at the wellhead or generator inlet, with data logged at 15-minute intervals and accessible to both parties. Monthly statements that reconcile metered volume against gas analysis and generator runtime. If there is a discrepancy between the meter reading and the generator’s fuel consumption log, the agreement specifies how it is resolved and which reading controls.</w:t>
            </w:r>
          </w:p>
        </w:tc>
      </w:tr>
      <w:tr>
        <w:tc>
          <w:tcPr>
            <w:tcW w:type="dxa" w:w="8640"/>
            <w:tcBorders>
              <w:top w:val="single" w:color="DDDDDD" w:sz="1"/>
              <w:left w:val="single" w:color="DDDDDD" w:sz="1"/>
              <w:bottom w:val="single" w:color="DDDDDD" w:sz="1"/>
              <w:right w:val="single" w:color="DDDDDD" w:sz="1"/>
            </w:tcBorders>
            <w:shd w:fill="FEF9E7" w:val="clear"/>
            <w:tcMar>
              <w:top w:type="dxa" w:w="100"/>
              <w:left w:type="dxa" w:w="220"/>
              <w:bottom w:type="dxa" w:w="100"/>
              <w:right w:type="dxa" w:w="220"/>
            </w:tcMar>
          </w:tcPr>
          <w:p>
            <w:pPr>
              <w:spacing w:before="0" w:after="50"/>
            </w:pPr>
            <w:r>
              <w:rPr>
                <w:rFonts w:ascii="Arial" w:cs="Arial" w:eastAsia="Arial" w:hAnsi="Arial"/>
                <w:b/>
                <w:bCs/>
                <w:caps/>
                <w:color w:val="7A4800"/>
                <w:sz w:val="19"/>
                <w:szCs w:val="19"/>
              </w:rPr>
              <w:t xml:space="preserve">Vague answer</w:t>
            </w:r>
          </w:p>
          <w:p>
            <w:pPr>
              <w:spacing w:before="0" w:after="0"/>
            </w:pPr>
            <w:r>
              <w:rPr>
                <w:rFonts w:ascii="Arial" w:cs="Arial" w:eastAsia="Arial" w:hAnsi="Arial"/>
                <w:color w:val="4A4A4A"/>
                <w:sz w:val="20"/>
                <w:szCs w:val="20"/>
              </w:rPr>
              <w:t xml:space="preserve">“We use standard oilfield metering.” Ask what standard, at what interval, and whether you have independent access to the data feed. Many field installations use non-revenue-grade meters that are sufficient for operations monitoring but not for settlement disputes.</w:t>
            </w:r>
          </w:p>
        </w:tc>
      </w:tr>
      <w:tr>
        <w:tc>
          <w:tcPr>
            <w:tcW w:type="dxa" w:w="8640"/>
            <w:tcBorders>
              <w:top w:val="single" w:color="DDDDDD" w:sz="1"/>
              <w:left w:val="single" w:color="DDDDDD" w:sz="1"/>
              <w:bottom w:val="single" w:color="DDDDDD" w:sz="1"/>
              <w:right w:val="single" w:color="DDDDDD" w:sz="1"/>
            </w:tcBorders>
            <w:shd w:fill="FDECEA" w:val="clear"/>
            <w:tcMar>
              <w:top w:type="dxa" w:w="100"/>
              <w:left w:type="dxa" w:w="220"/>
              <w:bottom w:type="dxa" w:w="100"/>
              <w:right w:type="dxa" w:w="220"/>
            </w:tcMar>
          </w:tcPr>
          <w:p>
            <w:pPr>
              <w:spacing w:before="0" w:after="50"/>
            </w:pPr>
            <w:r>
              <w:rPr>
                <w:rFonts w:ascii="Arial" w:cs="Arial" w:eastAsia="Arial" w:hAnsi="Arial"/>
                <w:b/>
                <w:bCs/>
                <w:caps/>
                <w:color w:val="C62828"/>
                <w:sz w:val="19"/>
                <w:szCs w:val="19"/>
              </w:rPr>
              <w:t xml:space="preserve">Bad answer</w:t>
            </w:r>
          </w:p>
          <w:p>
            <w:pPr>
              <w:spacing w:before="0" w:after="0"/>
            </w:pPr>
            <w:r>
              <w:rPr>
                <w:rFonts w:ascii="Arial" w:cs="Arial" w:eastAsia="Arial" w:hAnsi="Arial"/>
                <w:color w:val="4A4A4A"/>
                <w:sz w:val="20"/>
                <w:szCs w:val="20"/>
              </w:rPr>
              <w:t xml:space="preserve">Any arrangement where the operator controls the metering data without independent operator access, or where gas volume is estimated from generator runtime rather than directly measured. Generator runtime is not a substitute for gas metering—it does not capture BTU variation, it does not detect shrinkage, and it does not give you an independent verification point.</w:t>
            </w:r>
          </w:p>
        </w:tc>
      </w:tr>
    </w:tbl>
    <w:p>
      <w:pPr>
        <w:spacing w:before="120" w:after="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DDDDDD" w:sz="1"/>
              <w:right w:val="single" w:color="DDDDDD" w:sz="1"/>
            </w:tcBorders>
            <w:shd w:fill="1A1A1A" w:val="clear"/>
            <w:tcMar>
              <w:top w:type="dxa" w:w="120"/>
              <w:left w:type="dxa" w:w="220"/>
              <w:bottom w:type="dxa" w:w="120"/>
              <w:right w:type="dxa" w:w="220"/>
            </w:tcMar>
          </w:tcPr>
          <w:p>
            <w:pPr>
              <w:spacing w:before="0" w:after="40"/>
            </w:pPr>
            <w:r>
              <w:rPr>
                <w:rFonts w:ascii="Arial" w:cs="Arial" w:eastAsia="Arial" w:hAnsi="Arial"/>
                <w:b/>
                <w:bCs/>
                <w:caps/>
                <w:color w:val="E8500A"/>
                <w:sz w:val="17"/>
                <w:szCs w:val="17"/>
              </w:rPr>
              <w:t xml:space="preserve">QUESTION 4</w:t>
            </w:r>
          </w:p>
          <w:p>
            <w:pPr>
              <w:spacing w:before="0" w:after="0"/>
            </w:pPr>
            <w:r>
              <w:rPr>
                <w:rFonts w:ascii="Arial" w:cs="Arial" w:eastAsia="Arial" w:hAnsi="Arial"/>
                <w:b/>
                <w:bCs/>
                <w:color w:val="FFFFFF"/>
                <w:sz w:val="28"/>
                <w:szCs w:val="28"/>
              </w:rPr>
              <w:t xml:space="preserve">What are my exit options—and what are yours?</w:t>
            </w:r>
          </w:p>
        </w:tc>
      </w:tr>
      <w:tr>
        <w:tc>
          <w:tcPr>
            <w:tcW w:type="dxa" w:w="8640"/>
            <w:tcBorders>
              <w:top w:val="single" w:color="DDDDDD" w:sz="1"/>
              <w:left w:val="single" w:color="DDDDDD" w:sz="1"/>
              <w:bottom w:val="single" w:color="DDDDDD" w:sz="1"/>
              <w:right w:val="single" w:color="DDDDDD" w:sz="1"/>
            </w:tcBorders>
            <w:shd w:fill="F7F7F7" w:val="clear"/>
            <w:tcMar>
              <w:top w:type="dxa" w:w="140"/>
              <w:left w:type="dxa" w:w="220"/>
              <w:bottom w:type="dxa" w:w="140"/>
              <w:right w:type="dxa" w:w="220"/>
            </w:tcMar>
          </w:tcPr>
          <w:p>
            <w:r>
              <w:rPr>
                <w:rFonts w:ascii="Arial" w:cs="Arial" w:eastAsia="Arial" w:hAnsi="Arial"/>
                <w:i/>
                <w:iCs/>
                <w:color w:val="4A4A4A"/>
                <w:sz w:val="21"/>
                <w:szCs w:val="21"/>
              </w:rPr>
              <w:t xml:space="preserve">Exit provisions are the most-overlooked section of any gas-to-hash agreement and the most consequential when something goes wrong. You need to understand not just how you can exit, but how the other party can exit—because their exit affects your operation, your compliance status, and potentially your access to the equipment sitting on your pad.</w:t>
            </w:r>
          </w:p>
        </w:tc>
      </w:tr>
      <w:tr>
        <w:tc>
          <w:tcPr>
            <w:tcW w:type="dxa" w:w="8640"/>
            <w:tcBorders>
              <w:top w:val="single" w:color="DDDDDD" w:sz="1"/>
              <w:left w:val="single" w:color="DDDDDD" w:sz="1"/>
              <w:bottom w:val="single" w:color="DDDDDD" w:sz="1"/>
              <w:right w:val="single" w:color="DDDDDD" w:sz="1"/>
            </w:tcBorders>
            <w:shd w:fill="EAF5EA" w:val="clear"/>
            <w:tcMar>
              <w:top w:type="dxa" w:w="100"/>
              <w:left w:type="dxa" w:w="220"/>
              <w:bottom w:type="dxa" w:w="100"/>
              <w:right w:type="dxa" w:w="220"/>
            </w:tcMar>
          </w:tcPr>
          <w:p>
            <w:pPr>
              <w:spacing w:before="0" w:after="50"/>
            </w:pPr>
            <w:r>
              <w:rPr>
                <w:rFonts w:ascii="Arial" w:cs="Arial" w:eastAsia="Arial" w:hAnsi="Arial"/>
                <w:b/>
                <w:bCs/>
                <w:caps/>
                <w:color w:val="2E7D32"/>
                <w:sz w:val="19"/>
                <w:szCs w:val="19"/>
              </w:rPr>
              <w:t xml:space="preserve">Good answer</w:t>
            </w:r>
          </w:p>
          <w:p>
            <w:pPr>
              <w:spacing w:before="0" w:after="0"/>
            </w:pPr>
            <w:r>
              <w:rPr>
                <w:rFonts w:ascii="Arial" w:cs="Arial" w:eastAsia="Arial" w:hAnsi="Arial"/>
                <w:color w:val="4A4A4A"/>
                <w:sz w:val="20"/>
                <w:szCs w:val="20"/>
              </w:rPr>
              <w:t xml:space="preserve">Clear answers to all four exit scenarios: (1) What is your minimum notice period to terminate the agreement? (2) What is the operator’s minimum notice period to suspend or terminate? (3) What happens to the equipment if the operator exits—how long before it must be removed, and who pays for removal? (4) What happens if gas production falls below the minimum viable threshold—is there a cure period, and who has the right to terminate? These should all be in the agreement, not in a verbal conversation.</w:t>
            </w:r>
          </w:p>
        </w:tc>
      </w:tr>
      <w:tr>
        <w:tc>
          <w:tcPr>
            <w:tcW w:type="dxa" w:w="8640"/>
            <w:tcBorders>
              <w:top w:val="single" w:color="DDDDDD" w:sz="1"/>
              <w:left w:val="single" w:color="DDDDDD" w:sz="1"/>
              <w:bottom w:val="single" w:color="DDDDDD" w:sz="1"/>
              <w:right w:val="single" w:color="DDDDDD" w:sz="1"/>
            </w:tcBorders>
            <w:shd w:fill="FEF9E7" w:val="clear"/>
            <w:tcMar>
              <w:top w:type="dxa" w:w="100"/>
              <w:left w:type="dxa" w:w="220"/>
              <w:bottom w:type="dxa" w:w="100"/>
              <w:right w:type="dxa" w:w="220"/>
            </w:tcMar>
          </w:tcPr>
          <w:p>
            <w:pPr>
              <w:spacing w:before="0" w:after="50"/>
            </w:pPr>
            <w:r>
              <w:rPr>
                <w:rFonts w:ascii="Arial" w:cs="Arial" w:eastAsia="Arial" w:hAnsi="Arial"/>
                <w:b/>
                <w:bCs/>
                <w:caps/>
                <w:color w:val="7A4800"/>
                <w:sz w:val="19"/>
                <w:szCs w:val="19"/>
              </w:rPr>
              <w:t xml:space="preserve">Vague answer</w:t>
            </w:r>
          </w:p>
          <w:p>
            <w:pPr>
              <w:spacing w:before="0" w:after="0"/>
            </w:pPr>
            <w:r>
              <w:rPr>
                <w:rFonts w:ascii="Arial" w:cs="Arial" w:eastAsia="Arial" w:hAnsi="Arial"/>
                <w:color w:val="4A4A4A"/>
                <w:sz w:val="20"/>
                <w:szCs w:val="20"/>
              </w:rPr>
              <w:t xml:space="preserve">“We handle exits on a case-by-case basis” or “we’ve never had an operator who wanted to exit.” The first is a red flag—“case by case” means the stronger party decides. The second is irrelevant to whether the exit provisions in your agreement are adequate.</w:t>
            </w:r>
          </w:p>
        </w:tc>
      </w:tr>
      <w:tr>
        <w:tc>
          <w:tcPr>
            <w:tcW w:type="dxa" w:w="8640"/>
            <w:tcBorders>
              <w:top w:val="single" w:color="DDDDDD" w:sz="1"/>
              <w:left w:val="single" w:color="DDDDDD" w:sz="1"/>
              <w:bottom w:val="single" w:color="DDDDDD" w:sz="1"/>
              <w:right w:val="single" w:color="DDDDDD" w:sz="1"/>
            </w:tcBorders>
            <w:shd w:fill="FDECEA" w:val="clear"/>
            <w:tcMar>
              <w:top w:type="dxa" w:w="100"/>
              <w:left w:type="dxa" w:w="220"/>
              <w:bottom w:type="dxa" w:w="100"/>
              <w:right w:type="dxa" w:w="220"/>
            </w:tcMar>
          </w:tcPr>
          <w:p>
            <w:pPr>
              <w:spacing w:before="0" w:after="50"/>
            </w:pPr>
            <w:r>
              <w:rPr>
                <w:rFonts w:ascii="Arial" w:cs="Arial" w:eastAsia="Arial" w:hAnsi="Arial"/>
                <w:b/>
                <w:bCs/>
                <w:caps/>
                <w:color w:val="C62828"/>
                <w:sz w:val="19"/>
                <w:szCs w:val="19"/>
              </w:rPr>
              <w:t xml:space="preserve">Bad answer</w:t>
            </w:r>
          </w:p>
          <w:p>
            <w:pPr>
              <w:spacing w:before="0" w:after="0"/>
            </w:pPr>
            <w:r>
              <w:rPr>
                <w:rFonts w:ascii="Arial" w:cs="Arial" w:eastAsia="Arial" w:hAnsi="Arial"/>
                <w:color w:val="4A4A4A"/>
                <w:sz w:val="20"/>
                <w:szCs w:val="20"/>
              </w:rPr>
              <w:t xml:space="preserve">Any agreement where the operator’s suspension or termination right has shorter notice than your right to remove their equipment, or where there is no defined equipment removal timeline. If the operator can exit in 30 days but the agreement allows 90 days to remove equipment, you may have idle, non-generating equipment on your pad for three months with no revenue and no clear recourse.</w:t>
            </w:r>
          </w:p>
        </w:tc>
      </w:tr>
    </w:tbl>
    <w:p>
      <w:pPr>
        <w:spacing w:before="160" w:after="100"/>
      </w:pPr>
      <w:r>
        <w:t xml:space="preserve"/>
      </w:r>
    </w:p>
    <w:p>
      <w:pPr>
        <w:pBdr>
          <w:bottom w:val="single" w:color="E8500A" w:sz="4" w:space="4"/>
        </w:pBdr>
        <w:spacing w:before="0" w:after="100"/>
      </w:pPr>
      <w:r>
        <w:rPr>
          <w:rFonts w:ascii="Arial" w:cs="Arial" w:eastAsia="Arial" w:hAnsi="Arial"/>
          <w:b/>
          <w:bCs/>
          <w:color w:val="1A1A1A"/>
          <w:sz w:val="26"/>
          <w:szCs w:val="26"/>
        </w:rPr>
        <w:t xml:space="preserve">What to Do with the Answers</w:t>
      </w:r>
    </w:p>
    <w:p>
      <w:pPr>
        <w:spacing w:before="60" w:after="60"/>
      </w:pPr>
      <w:r>
        <w:t xml:space="preserve"/>
      </w:r>
    </w:p>
    <w:p>
      <w:pPr>
        <w:spacing w:before="100" w:after="160"/>
      </w:pPr>
      <w:r>
        <w:rPr>
          <w:rFonts w:ascii="Arial" w:cs="Arial" w:eastAsia="Arial" w:hAnsi="Arial"/>
          <w:color w:val="4A4A4A"/>
          <w:sz w:val="22"/>
          <w:szCs w:val="22"/>
        </w:rPr>
        <w:t xml:space="preserve">An operator who answers all four questions specifically, without evasion, and whose answers hold up when you ask for written confirmation is demonstrating something more important than competence: they are demonstrating that they have thought through the scenarios you are asking about. That preparation reflects in how the deployment runs.</w:t>
      </w:r>
    </w:p>
    <w:p>
      <w:pPr>
        <w:spacing w:before="100" w:after="160"/>
      </w:pPr>
      <w:r>
        <w:rPr>
          <w:rFonts w:ascii="Arial" w:cs="Arial" w:eastAsia="Arial" w:hAnsi="Arial"/>
          <w:color w:val="4A4A4A"/>
          <w:sz w:val="22"/>
          <w:szCs w:val="22"/>
        </w:rPr>
        <w:t xml:space="preserve">An operator who answers two of the four well and deflects the others is telling you which risks they have managed and which ones they haven’t. That tells you where the problems will come from.</w:t>
      </w:r>
    </w:p>
    <w:p>
      <w:pPr>
        <w:spacing w:before="100" w:after="160"/>
      </w:pPr>
      <w:r>
        <w:rPr>
          <w:rFonts w:ascii="Arial" w:cs="Arial" w:eastAsia="Arial" w:hAnsi="Arial"/>
          <w:b/>
          <w:bCs/>
          <w:color w:val="1A1A1A"/>
          <w:sz w:val="22"/>
          <w:szCs w:val="22"/>
        </w:rPr>
        <w:t xml:space="preserve">An operator who cannot answer any of them—or who treats the questions as obstacles to closing the deal rather than fair pre-qualification—has told you everything you need to know before signing anything.</w:t>
      </w:r>
    </w:p>
    <w:p>
      <w:pPr>
        <w:spacing w:before="160" w:after="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1A1A1A" w:val="clear"/>
            <w:tcMar>
              <w:top w:type="dxa" w:w="240"/>
              <w:left w:type="dxa" w:w="320"/>
              <w:bottom w:type="dxa" w:w="240"/>
              <w:right w:type="dxa" w:w="320"/>
            </w:tcMar>
          </w:tcPr>
          <w:p>
            <w:pPr>
              <w:spacing w:before="0" w:after="80"/>
              <w:jc w:val="center"/>
            </w:pPr>
            <w:r>
              <w:rPr>
                <w:rFonts w:ascii="Arial" w:cs="Arial" w:eastAsia="Arial" w:hAnsi="Arial"/>
                <w:b/>
                <w:bCs/>
                <w:color w:val="FFFFFF"/>
                <w:sz w:val="25"/>
                <w:szCs w:val="25"/>
              </w:rPr>
              <w:t xml:space="preserve">Ask us these four questions directly.</w:t>
            </w:r>
          </w:p>
          <w:p>
            <w:pPr>
              <w:spacing w:before="0" w:after="100"/>
              <w:jc w:val="center"/>
            </w:pPr>
            <w:r>
              <w:rPr>
                <w:rFonts w:ascii="Arial" w:cs="Arial" w:eastAsia="Arial" w:hAnsi="Arial"/>
                <w:color w:val="BBBBBB"/>
                <w:sz w:val="20"/>
                <w:szCs w:val="20"/>
              </w:rPr>
              <w:t xml:space="preserve">We’ll answer them with specifics: response time commitments, site-level uptime data, metering methodology, and the exact exit language from our standard agreement.</w:t>
            </w:r>
          </w:p>
          <w:p>
            <w:pPr>
              <w:spacing w:before="0" w:after="0"/>
              <w:jc w:val="center"/>
            </w:pPr>
            <w:r>
              <w:rPr>
                <w:rFonts w:ascii="Arial" w:cs="Arial" w:eastAsia="Arial" w:hAnsi="Arial"/>
                <w:b/>
                <w:bCs/>
                <w:color w:val="E8500A"/>
                <w:sz w:val="22"/>
                <w:szCs w:val="22"/>
              </w:rPr>
              <w:t xml:space="preserve">mcf.digital/flare-site-operators</w:t>
            </w:r>
            <w:r>
              <w:rPr>
                <w:rFonts w:ascii="Arial" w:cs="Arial" w:eastAsia="Arial" w:hAnsi="Arial"/>
                <w:color w:val="E8500A"/>
                <w:sz w:val="20"/>
                <w:szCs w:val="20"/>
              </w:rPr>
              <w:t xml:space="preserve">   ·   Book a 15-minute fit call</w:t>
            </w:r>
          </w:p>
        </w:tc>
      </w:tr>
    </w:tbl>
    <w:p>
      <w:pPr>
        <w:spacing w:before="200" w:after="80"/>
      </w:pPr>
      <w:r>
        <w:t xml:space="preserve"/>
      </w:r>
    </w:p>
    <w:p>
      <w:pPr>
        <w:pBdr>
          <w:top w:val="single" w:color="DDDDDD" w:sz="4" w:space="4"/>
        </w:pBdr>
        <w:spacing w:before="0" w:after="0"/>
      </w:pPr>
      <w:r>
        <w:t xml:space="preserve"/>
      </w:r>
    </w:p>
    <w:p>
      <w:pPr>
        <w:spacing w:before="80" w:after="40"/>
      </w:pPr>
      <w:r>
        <w:t xml:space="preserve"/>
      </w:r>
    </w:p>
    <w:p>
      <w:pPr>
        <w:spacing w:before="0" w:after="60"/>
      </w:pPr>
      <w:r>
        <w:rPr>
          <w:rFonts w:ascii="Arial" w:cs="Arial" w:eastAsia="Arial" w:hAnsi="Arial"/>
          <w:b/>
          <w:bCs/>
          <w:color w:val="1A1A1A"/>
          <w:sz w:val="20"/>
          <w:szCs w:val="20"/>
        </w:rPr>
        <w:t xml:space="preserve">Related Reading</w:t>
      </w:r>
    </w:p>
    <w:p>
      <w:pPr>
        <w:pStyle w:val="ListParagraph"/>
        <w:numPr>
          <w:ilvl w:val="0"/>
          <w:numId w:val="2"/>
        </w:numPr>
        <w:spacing w:before="40" w:after="40"/>
      </w:pPr>
      <w:r>
        <w:rPr>
          <w:rFonts w:ascii="Arial" w:cs="Arial" w:eastAsia="Arial" w:hAnsi="Arial"/>
          <w:color w:val="666666"/>
          <w:sz w:val="20"/>
          <w:szCs w:val="20"/>
        </w:rPr>
        <w:t xml:space="preserve">The Operator’s Due Diligence Checklist for a Gas-to-Hash Deployment — mcf.digital/operator-guides/due-diligence-checklist</w:t>
      </w:r>
    </w:p>
    <w:p>
      <w:pPr>
        <w:pStyle w:val="ListParagraph"/>
        <w:numPr>
          <w:ilvl w:val="0"/>
          <w:numId w:val="2"/>
        </w:numPr>
        <w:spacing w:before="40" w:after="40"/>
      </w:pPr>
      <w:r>
        <w:rPr>
          <w:rFonts w:ascii="Arial" w:cs="Arial" w:eastAsia="Arial" w:hAnsi="Arial"/>
          <w:color w:val="666666"/>
          <w:sz w:val="20"/>
          <w:szCs w:val="20"/>
        </w:rPr>
        <w:t xml:space="preserve">Why Most Flare Gas Bitcoin Mining Deals Fail — mcf.digital/articles/why-most-deals-fail</w:t>
      </w:r>
    </w:p>
    <w:p>
      <w:pPr>
        <w:pStyle w:val="ListParagraph"/>
        <w:numPr>
          <w:ilvl w:val="0"/>
          <w:numId w:val="2"/>
        </w:numPr>
        <w:spacing w:before="40" w:after="40"/>
      </w:pPr>
      <w:r>
        <w:rPr>
          <w:rFonts w:ascii="Arial" w:cs="Arial" w:eastAsia="Arial" w:hAnsi="Arial"/>
          <w:color w:val="666666"/>
          <w:sz w:val="20"/>
          <w:szCs w:val="20"/>
        </w:rPr>
        <w:t xml:space="preserve">Bitcoin Price Is Not the Risk You Think It Is — mcf.digital/articles/bitcoin-price-not-the-risk</w:t>
      </w:r>
    </w:p>
    <w:p>
      <w:pPr>
        <w:pStyle w:val="ListParagraph"/>
        <w:numPr>
          <w:ilvl w:val="0"/>
          <w:numId w:val="2"/>
        </w:numPr>
        <w:spacing w:before="40" w:after="40"/>
      </w:pPr>
      <w:r>
        <w:rPr>
          <w:rFonts w:ascii="Arial" w:cs="Arial" w:eastAsia="Arial" w:hAnsi="Arial"/>
          <w:color w:val="666666"/>
          <w:sz w:val="20"/>
          <w:szCs w:val="20"/>
        </w:rPr>
        <w:t xml:space="preserve">Commodity Risk, Uptime Risk, and Site Risk: The Three Risk Categories — mcf.digital/operator-guides/three-risk-categories</w:t>
      </w:r>
    </w:p>
    <w:p>
      <w:pPr>
        <w:spacing w:before="100" w:after="60"/>
      </w:pPr>
      <w:r>
        <w:t xml:space="preserve"/>
      </w:r>
    </w:p>
    <w:p>
      <w:pPr>
        <w:spacing w:before="0" w:after="0"/>
      </w:pPr>
      <w:r>
        <w:rPr>
          <w:rFonts w:ascii="Arial" w:cs="Arial" w:eastAsia="Arial" w:hAnsi="Arial"/>
          <w:b/>
          <w:bCs/>
          <w:color w:val="1A1A1A"/>
          <w:sz w:val="19"/>
          <w:szCs w:val="19"/>
        </w:rPr>
        <w:t xml:space="preserve">MCF.digital</w:t>
      </w:r>
      <w:r>
        <w:rPr>
          <w:rFonts w:ascii="Arial" w:cs="Arial" w:eastAsia="Arial" w:hAnsi="Arial"/>
          <w:color w:val="999999"/>
          <w:sz w:val="18"/>
          <w:szCs w:val="18"/>
        </w:rPr>
        <w:t xml:space="preserve">  ·  On-Lease Bitcoin Mining  ·  Flare Gas Monetization  ·  Gas-to-Hash Operator</w:t>
      </w:r>
    </w:p>
    <w:p>
      <w:pPr>
        <w:spacing w:before="40" w:after="0"/>
      </w:pPr>
      <w:r>
        <w:rPr>
          <w:rFonts w:ascii="Arial" w:cs="Arial" w:eastAsia="Arial" w:hAnsi="Arial"/>
          <w:color w:val="BBBBBB"/>
          <w:sz w:val="16"/>
          <w:szCs w:val="16"/>
        </w:rPr>
        <w:t xml:space="preserve">Audience: Operators  ·  Category: Thought Leadership  ·  mcf.digital/articles/four-questions-before-signing</w:t>
      </w:r>
    </w:p>
    <w:sectPr>
      <w:headerReference w:type="default" r:id="rId6"/>
      <w:footerReference w:type="default" r:id="rId7"/>
      <w:pgSz w:w="12240" w:h="15840" w:orient="portrait"/>
      <w:pgMar w:top="1080" w:right="1980" w:bottom="1080" w:left="1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828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mcf.digital/articles/four-questions-before-signing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THOUGHT LEADERSHIP  |  The Four Questions Every Operator Should 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2026-02-27T12:07:06.377Z</dcterms:created>
  <dcterms:modified xsi:type="dcterms:W3CDTF">2026-02-27T12:07:06.378Z</dcterms:modified>
</cp:coreProperties>
</file>

<file path=docProps/custom.xml><?xml version="1.0" encoding="utf-8"?>
<Properties xmlns="http://schemas.openxmlformats.org/officeDocument/2006/custom-properties" xmlns:vt="http://schemas.openxmlformats.org/officeDocument/2006/docPropsVTypes"/>
</file>